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88" w:rsidRPr="00CA07C3" w:rsidRDefault="00524388" w:rsidP="00524388">
      <w:pPr>
        <w:jc w:val="center"/>
        <w:rPr>
          <w:rFonts w:cs="Times New Roman"/>
          <w:sz w:val="22"/>
        </w:rPr>
      </w:pPr>
      <w:bookmarkStart w:id="0" w:name="_Toc383014526"/>
      <w:bookmarkStart w:id="1" w:name="_Toc383249574"/>
      <w:bookmarkStart w:id="2" w:name="_GoBack"/>
      <w:bookmarkEnd w:id="2"/>
      <w:r w:rsidRPr="005F7FF7">
        <w:rPr>
          <w:sz w:val="22"/>
        </w:rPr>
        <w:t>Corporat</w:t>
      </w:r>
      <w:r>
        <w:rPr>
          <w:sz w:val="22"/>
        </w:rPr>
        <w:t>e governance, Islamic governance</w:t>
      </w:r>
      <w:r w:rsidRPr="005F7FF7">
        <w:rPr>
          <w:sz w:val="22"/>
        </w:rPr>
        <w:t xml:space="preserve"> and earnings management in Oman: A new empirical insights from a behavioural theoretical framework</w:t>
      </w:r>
    </w:p>
    <w:p w:rsidR="00524388" w:rsidRPr="00CA07C3" w:rsidRDefault="00524388" w:rsidP="00524388">
      <w:pPr>
        <w:rPr>
          <w:rFonts w:cs="Times New Roman"/>
          <w:sz w:val="22"/>
        </w:rPr>
      </w:pPr>
    </w:p>
    <w:p w:rsidR="00524388" w:rsidRPr="00CA07C3" w:rsidRDefault="00524388" w:rsidP="00524388">
      <w:pPr>
        <w:jc w:val="center"/>
        <w:rPr>
          <w:rFonts w:cs="Times New Roman"/>
          <w:sz w:val="22"/>
        </w:rPr>
      </w:pPr>
    </w:p>
    <w:p w:rsidR="00524388" w:rsidRPr="00CA07C3" w:rsidRDefault="00524388" w:rsidP="00524388">
      <w:pPr>
        <w:jc w:val="center"/>
        <w:rPr>
          <w:rFonts w:cs="Times New Roman"/>
          <w:sz w:val="22"/>
        </w:rPr>
      </w:pPr>
    </w:p>
    <w:p w:rsidR="00524388" w:rsidRPr="00CA07C3" w:rsidRDefault="00524388" w:rsidP="00524388">
      <w:pPr>
        <w:jc w:val="center"/>
        <w:rPr>
          <w:rFonts w:cs="Times New Roman"/>
          <w:sz w:val="22"/>
        </w:rPr>
      </w:pPr>
    </w:p>
    <w:p w:rsidR="00524388" w:rsidRPr="00CA07C3" w:rsidRDefault="00524388" w:rsidP="00524388">
      <w:pPr>
        <w:jc w:val="center"/>
        <w:rPr>
          <w:rFonts w:cs="Times New Roman"/>
          <w:sz w:val="22"/>
        </w:rPr>
      </w:pPr>
    </w:p>
    <w:p w:rsidR="00524388" w:rsidRPr="00CA07C3" w:rsidRDefault="00524388" w:rsidP="00524388">
      <w:pPr>
        <w:jc w:val="center"/>
        <w:rPr>
          <w:rFonts w:cs="Times New Roman"/>
          <w:sz w:val="22"/>
        </w:rPr>
      </w:pPr>
    </w:p>
    <w:p w:rsidR="00524388" w:rsidRPr="00CA07C3" w:rsidRDefault="00524388" w:rsidP="00524388">
      <w:pPr>
        <w:jc w:val="center"/>
        <w:rPr>
          <w:rFonts w:cs="Times New Roman"/>
          <w:sz w:val="22"/>
        </w:rPr>
      </w:pPr>
    </w:p>
    <w:p w:rsidR="00524388" w:rsidRPr="00CA07C3" w:rsidRDefault="00524388" w:rsidP="00524388">
      <w:pPr>
        <w:jc w:val="center"/>
        <w:rPr>
          <w:rFonts w:cs="Times New Roman"/>
          <w:sz w:val="22"/>
          <w:vertAlign w:val="superscript"/>
        </w:rPr>
      </w:pPr>
      <w:r w:rsidRPr="00CA07C3">
        <w:rPr>
          <w:rFonts w:cs="Times New Roman"/>
          <w:sz w:val="22"/>
        </w:rPr>
        <w:t>Mohamed I. Elghuweel</w:t>
      </w:r>
      <w:r w:rsidRPr="00CA07C3">
        <w:rPr>
          <w:rFonts w:cs="Times New Roman"/>
          <w:sz w:val="22"/>
          <w:vertAlign w:val="superscript"/>
        </w:rPr>
        <w:t>a</w:t>
      </w:r>
      <w:r w:rsidRPr="00CA07C3">
        <w:rPr>
          <w:rFonts w:cs="Times New Roman"/>
          <w:sz w:val="22"/>
        </w:rPr>
        <w:t>, Collins G. Ntim</w:t>
      </w:r>
      <w:r w:rsidRPr="00CA07C3">
        <w:rPr>
          <w:rFonts w:cs="Times New Roman"/>
          <w:sz w:val="22"/>
          <w:vertAlign w:val="superscript"/>
        </w:rPr>
        <w:t>b</w:t>
      </w:r>
      <w:r>
        <w:rPr>
          <w:rStyle w:val="FootnoteReference"/>
        </w:rPr>
        <w:footnoteReference w:id="1"/>
      </w:r>
      <w:r w:rsidRPr="00CA07C3">
        <w:rPr>
          <w:rFonts w:cs="Times New Roman"/>
          <w:sz w:val="22"/>
        </w:rPr>
        <w:t>, Kwaku K. Opong</w:t>
      </w:r>
      <w:r w:rsidRPr="00CA07C3">
        <w:rPr>
          <w:rFonts w:cs="Times New Roman"/>
          <w:sz w:val="22"/>
          <w:vertAlign w:val="superscript"/>
        </w:rPr>
        <w:t>a</w:t>
      </w:r>
      <w:r w:rsidRPr="00CA07C3">
        <w:rPr>
          <w:rFonts w:cs="Times New Roman"/>
          <w:sz w:val="22"/>
        </w:rPr>
        <w:t>, and Lynn Avison</w:t>
      </w:r>
      <w:r w:rsidRPr="00CA07C3">
        <w:rPr>
          <w:rFonts w:cs="Times New Roman"/>
          <w:sz w:val="22"/>
          <w:vertAlign w:val="superscript"/>
        </w:rPr>
        <w:t>b</w:t>
      </w:r>
    </w:p>
    <w:p w:rsidR="00524388" w:rsidRPr="00CA07C3" w:rsidRDefault="00524388" w:rsidP="00524388">
      <w:pPr>
        <w:rPr>
          <w:rFonts w:cs="Times New Roman"/>
          <w:sz w:val="22"/>
        </w:rPr>
      </w:pPr>
    </w:p>
    <w:p w:rsidR="00524388" w:rsidRPr="00CA07C3" w:rsidRDefault="00524388" w:rsidP="00524388">
      <w:pPr>
        <w:rPr>
          <w:rFonts w:cs="Times New Roman"/>
          <w:sz w:val="22"/>
        </w:rPr>
      </w:pPr>
    </w:p>
    <w:p w:rsidR="00524388" w:rsidRPr="00CA07C3" w:rsidRDefault="00524388" w:rsidP="00524388">
      <w:pPr>
        <w:rPr>
          <w:rFonts w:cs="Times New Roman"/>
          <w:sz w:val="22"/>
        </w:rPr>
      </w:pPr>
    </w:p>
    <w:p w:rsidR="00524388" w:rsidRDefault="00524388" w:rsidP="00524388">
      <w:pPr>
        <w:rPr>
          <w:rFonts w:cs="Times New Roman"/>
          <w:sz w:val="22"/>
        </w:rPr>
      </w:pPr>
    </w:p>
    <w:p w:rsidR="00524388" w:rsidRDefault="00524388" w:rsidP="00524388">
      <w:pPr>
        <w:rPr>
          <w:rFonts w:cs="Times New Roman"/>
          <w:sz w:val="22"/>
        </w:rPr>
      </w:pPr>
    </w:p>
    <w:p w:rsidR="00524388" w:rsidRDefault="00524388" w:rsidP="00524388">
      <w:pPr>
        <w:rPr>
          <w:rFonts w:cs="Times New Roman"/>
          <w:sz w:val="22"/>
        </w:rPr>
      </w:pPr>
    </w:p>
    <w:p w:rsidR="00524388" w:rsidRDefault="00524388" w:rsidP="00524388">
      <w:pPr>
        <w:rPr>
          <w:rFonts w:cs="Times New Roman"/>
          <w:sz w:val="22"/>
        </w:rPr>
      </w:pPr>
    </w:p>
    <w:p w:rsidR="00524388" w:rsidRPr="00CA07C3" w:rsidRDefault="00524388" w:rsidP="00524388">
      <w:pPr>
        <w:rPr>
          <w:rFonts w:cs="Times New Roman"/>
          <w:sz w:val="22"/>
        </w:rPr>
      </w:pPr>
    </w:p>
    <w:p w:rsidR="00524388" w:rsidRPr="00CA07C3" w:rsidRDefault="00524388" w:rsidP="00524388">
      <w:pPr>
        <w:rPr>
          <w:rFonts w:cs="Times New Roman"/>
          <w:sz w:val="22"/>
        </w:rPr>
      </w:pPr>
    </w:p>
    <w:p w:rsidR="00524388" w:rsidRPr="00CA07C3" w:rsidRDefault="00524388" w:rsidP="00524388">
      <w:pPr>
        <w:rPr>
          <w:rFonts w:cs="Times New Roman"/>
          <w:sz w:val="22"/>
        </w:rPr>
      </w:pPr>
    </w:p>
    <w:p w:rsidR="00524388" w:rsidRPr="00CA07C3" w:rsidRDefault="00524388" w:rsidP="00524388">
      <w:pPr>
        <w:rPr>
          <w:rFonts w:cs="Times New Roman"/>
          <w:sz w:val="22"/>
        </w:rPr>
      </w:pPr>
    </w:p>
    <w:p w:rsidR="00524388" w:rsidRPr="00CA07C3" w:rsidRDefault="00524388" w:rsidP="00524388">
      <w:pPr>
        <w:jc w:val="center"/>
        <w:rPr>
          <w:rFonts w:cs="Times New Roman"/>
          <w:sz w:val="22"/>
        </w:rPr>
      </w:pPr>
      <w:r w:rsidRPr="00CA07C3">
        <w:rPr>
          <w:rFonts w:cs="Times New Roman"/>
          <w:sz w:val="22"/>
          <w:vertAlign w:val="superscript"/>
        </w:rPr>
        <w:t>a</w:t>
      </w:r>
      <w:r w:rsidRPr="00CA07C3">
        <w:rPr>
          <w:rFonts w:cs="Times New Roman"/>
          <w:sz w:val="22"/>
        </w:rPr>
        <w:t>Department of Accounting and Finance</w:t>
      </w:r>
    </w:p>
    <w:p w:rsidR="00524388" w:rsidRPr="00CA07C3" w:rsidRDefault="00524388" w:rsidP="00524388">
      <w:pPr>
        <w:jc w:val="center"/>
        <w:rPr>
          <w:rFonts w:cs="Times New Roman"/>
          <w:sz w:val="22"/>
        </w:rPr>
      </w:pPr>
      <w:r w:rsidRPr="00CA07C3">
        <w:rPr>
          <w:rFonts w:cs="Times New Roman"/>
          <w:sz w:val="22"/>
        </w:rPr>
        <w:t>Adam Smith Business School</w:t>
      </w:r>
    </w:p>
    <w:p w:rsidR="00524388" w:rsidRPr="00CA07C3" w:rsidRDefault="00524388" w:rsidP="00524388">
      <w:pPr>
        <w:jc w:val="center"/>
        <w:rPr>
          <w:rFonts w:cs="Times New Roman"/>
          <w:sz w:val="22"/>
        </w:rPr>
      </w:pPr>
      <w:r w:rsidRPr="00CA07C3">
        <w:rPr>
          <w:rFonts w:cs="Times New Roman"/>
          <w:sz w:val="22"/>
        </w:rPr>
        <w:t>University of Glasgow</w:t>
      </w:r>
    </w:p>
    <w:p w:rsidR="00524388" w:rsidRPr="00CA07C3" w:rsidRDefault="00524388" w:rsidP="00524388">
      <w:pPr>
        <w:jc w:val="center"/>
        <w:rPr>
          <w:rFonts w:cs="Times New Roman"/>
          <w:sz w:val="22"/>
        </w:rPr>
      </w:pPr>
      <w:r w:rsidRPr="00CA07C3">
        <w:rPr>
          <w:rFonts w:cs="Times New Roman"/>
          <w:sz w:val="22"/>
        </w:rPr>
        <w:t>Glasgow, UK</w:t>
      </w:r>
    </w:p>
    <w:p w:rsidR="00524388" w:rsidRPr="00CA07C3" w:rsidRDefault="00524388" w:rsidP="00524388">
      <w:pPr>
        <w:rPr>
          <w:rFonts w:cs="Times New Roman"/>
          <w:sz w:val="22"/>
        </w:rPr>
      </w:pPr>
      <w:r w:rsidRPr="00CA07C3">
        <w:rPr>
          <w:rFonts w:cs="Times New Roman"/>
          <w:sz w:val="22"/>
        </w:rPr>
        <w:t xml:space="preserve">                                                              </w:t>
      </w:r>
    </w:p>
    <w:p w:rsidR="00524388" w:rsidRPr="00CA07C3" w:rsidRDefault="00524388" w:rsidP="00524388">
      <w:pPr>
        <w:rPr>
          <w:rFonts w:cs="Times New Roman"/>
          <w:sz w:val="22"/>
        </w:rPr>
      </w:pPr>
    </w:p>
    <w:p w:rsidR="00524388" w:rsidRPr="00CA07C3" w:rsidRDefault="00524388" w:rsidP="00524388">
      <w:pPr>
        <w:jc w:val="center"/>
        <w:rPr>
          <w:rFonts w:cs="Times New Roman"/>
          <w:sz w:val="22"/>
        </w:rPr>
      </w:pPr>
    </w:p>
    <w:p w:rsidR="00524388" w:rsidRPr="00CA07C3" w:rsidRDefault="00524388" w:rsidP="00524388">
      <w:pPr>
        <w:rPr>
          <w:rFonts w:cs="Times New Roman"/>
          <w:sz w:val="22"/>
        </w:rPr>
      </w:pPr>
    </w:p>
    <w:p w:rsidR="00524388" w:rsidRDefault="00524388" w:rsidP="00524388">
      <w:pPr>
        <w:jc w:val="center"/>
        <w:rPr>
          <w:rFonts w:cs="Times New Roman"/>
          <w:sz w:val="22"/>
        </w:rPr>
      </w:pPr>
    </w:p>
    <w:p w:rsidR="00524388" w:rsidRDefault="00524388" w:rsidP="00524388">
      <w:pPr>
        <w:jc w:val="center"/>
        <w:rPr>
          <w:rFonts w:cs="Times New Roman"/>
          <w:sz w:val="22"/>
        </w:rPr>
      </w:pPr>
    </w:p>
    <w:p w:rsidR="00524388" w:rsidRDefault="00524388" w:rsidP="00524388">
      <w:pPr>
        <w:jc w:val="center"/>
        <w:rPr>
          <w:rFonts w:cs="Times New Roman"/>
          <w:sz w:val="22"/>
        </w:rPr>
      </w:pPr>
    </w:p>
    <w:p w:rsidR="00524388" w:rsidRDefault="00524388" w:rsidP="00524388">
      <w:pPr>
        <w:jc w:val="center"/>
        <w:rPr>
          <w:rFonts w:cs="Times New Roman"/>
          <w:sz w:val="22"/>
        </w:rPr>
      </w:pPr>
    </w:p>
    <w:p w:rsidR="00524388" w:rsidRPr="00CA07C3" w:rsidRDefault="00524388" w:rsidP="00524388">
      <w:pPr>
        <w:jc w:val="center"/>
        <w:rPr>
          <w:rFonts w:cs="Times New Roman"/>
          <w:sz w:val="22"/>
        </w:rPr>
      </w:pPr>
    </w:p>
    <w:p w:rsidR="00524388" w:rsidRPr="00CA07C3" w:rsidRDefault="00524388" w:rsidP="00524388">
      <w:pPr>
        <w:jc w:val="center"/>
        <w:rPr>
          <w:rFonts w:cs="Times New Roman"/>
          <w:sz w:val="22"/>
        </w:rPr>
      </w:pPr>
    </w:p>
    <w:p w:rsidR="00524388" w:rsidRPr="00CA07C3" w:rsidRDefault="00524388" w:rsidP="00524388">
      <w:pPr>
        <w:jc w:val="center"/>
        <w:rPr>
          <w:rFonts w:cs="Times New Roman"/>
          <w:sz w:val="22"/>
        </w:rPr>
      </w:pPr>
    </w:p>
    <w:p w:rsidR="00524388" w:rsidRPr="00E61725" w:rsidRDefault="00524388" w:rsidP="00524388">
      <w:pPr>
        <w:jc w:val="center"/>
        <w:rPr>
          <w:rFonts w:cs="Times New Roman"/>
          <w:sz w:val="22"/>
        </w:rPr>
      </w:pPr>
      <w:r w:rsidRPr="00E61725">
        <w:rPr>
          <w:rFonts w:cs="Times New Roman"/>
          <w:sz w:val="22"/>
        </w:rPr>
        <w:t>Financial Ethics and Governance Research Group</w:t>
      </w:r>
    </w:p>
    <w:p w:rsidR="00524388" w:rsidRPr="00CA07C3" w:rsidRDefault="00524388" w:rsidP="00524388">
      <w:pPr>
        <w:jc w:val="center"/>
        <w:rPr>
          <w:rFonts w:cs="Times New Roman"/>
          <w:sz w:val="22"/>
          <w:vertAlign w:val="superscript"/>
        </w:rPr>
      </w:pPr>
      <w:r w:rsidRPr="00CA07C3">
        <w:rPr>
          <w:rFonts w:cs="Times New Roman"/>
          <w:sz w:val="22"/>
          <w:vertAlign w:val="superscript"/>
        </w:rPr>
        <w:t>b</w:t>
      </w:r>
      <w:r w:rsidRPr="00CA07C3">
        <w:rPr>
          <w:rFonts w:cs="Times New Roman"/>
          <w:sz w:val="22"/>
        </w:rPr>
        <w:t>Dapartment of Accountancy and Finance</w:t>
      </w:r>
    </w:p>
    <w:p w:rsidR="00524388" w:rsidRPr="00CA07C3" w:rsidRDefault="00524388" w:rsidP="00524388">
      <w:pPr>
        <w:jc w:val="center"/>
        <w:rPr>
          <w:rFonts w:cs="Times New Roman"/>
          <w:sz w:val="22"/>
        </w:rPr>
      </w:pPr>
      <w:r w:rsidRPr="00CA07C3">
        <w:rPr>
          <w:rFonts w:cs="Times New Roman"/>
          <w:sz w:val="22"/>
        </w:rPr>
        <w:t>University of Huddersfield Business School</w:t>
      </w:r>
    </w:p>
    <w:p w:rsidR="00524388" w:rsidRPr="00CA07C3" w:rsidRDefault="00524388" w:rsidP="00524388">
      <w:pPr>
        <w:jc w:val="center"/>
        <w:rPr>
          <w:rFonts w:cs="Times New Roman"/>
          <w:sz w:val="22"/>
        </w:rPr>
      </w:pPr>
      <w:r w:rsidRPr="00CA07C3">
        <w:rPr>
          <w:rFonts w:cs="Times New Roman"/>
          <w:sz w:val="22"/>
        </w:rPr>
        <w:t>University of Huddersfield</w:t>
      </w:r>
    </w:p>
    <w:p w:rsidR="00524388" w:rsidRDefault="00524388" w:rsidP="00524388">
      <w:pPr>
        <w:jc w:val="center"/>
        <w:rPr>
          <w:rFonts w:cs="Times New Roman"/>
          <w:sz w:val="22"/>
        </w:rPr>
      </w:pPr>
      <w:r w:rsidRPr="00CA07C3">
        <w:rPr>
          <w:rFonts w:cs="Times New Roman"/>
          <w:sz w:val="22"/>
        </w:rPr>
        <w:t>Huddersfield, UK</w:t>
      </w:r>
    </w:p>
    <w:p w:rsidR="00524388" w:rsidRPr="00524388" w:rsidRDefault="00524388" w:rsidP="00524388">
      <w:pPr>
        <w:rPr>
          <w:rFonts w:cs="Times New Roman"/>
          <w:sz w:val="22"/>
        </w:rPr>
      </w:pPr>
    </w:p>
    <w:p w:rsidR="00524388" w:rsidRPr="00524388" w:rsidRDefault="00524388" w:rsidP="00524388">
      <w:pPr>
        <w:rPr>
          <w:rFonts w:cs="Times New Roman"/>
          <w:sz w:val="22"/>
        </w:rPr>
      </w:pPr>
    </w:p>
    <w:p w:rsidR="00524388" w:rsidRPr="00524388" w:rsidRDefault="00524388" w:rsidP="00524388">
      <w:pPr>
        <w:rPr>
          <w:rFonts w:cs="Times New Roman"/>
          <w:sz w:val="22"/>
        </w:rPr>
      </w:pPr>
    </w:p>
    <w:p w:rsidR="00524388" w:rsidRDefault="00524388" w:rsidP="00524388">
      <w:pPr>
        <w:rPr>
          <w:rFonts w:cs="Times New Roman"/>
          <w:sz w:val="22"/>
        </w:rPr>
      </w:pPr>
    </w:p>
    <w:p w:rsidR="00524388" w:rsidRDefault="00524388" w:rsidP="00524388">
      <w:pPr>
        <w:rPr>
          <w:rFonts w:cs="Times New Roman"/>
          <w:sz w:val="22"/>
        </w:rPr>
      </w:pPr>
    </w:p>
    <w:p w:rsidR="00524388" w:rsidRPr="00524388" w:rsidRDefault="00524388" w:rsidP="00524388">
      <w:pPr>
        <w:tabs>
          <w:tab w:val="left" w:pos="4050"/>
        </w:tabs>
        <w:rPr>
          <w:rFonts w:cs="Times New Roman"/>
          <w:i/>
          <w:sz w:val="22"/>
        </w:rPr>
      </w:pPr>
      <w:r>
        <w:rPr>
          <w:rFonts w:cs="Times New Roman"/>
          <w:sz w:val="22"/>
        </w:rPr>
        <w:t xml:space="preserve">Please note that this paper has been accepted for publication in the </w:t>
      </w:r>
      <w:r>
        <w:rPr>
          <w:rFonts w:cs="Times New Roman"/>
          <w:i/>
          <w:sz w:val="22"/>
        </w:rPr>
        <w:t xml:space="preserve">Journal of Accounting in Emerging Economies, March 2016 (DOI: </w:t>
      </w:r>
      <w:r>
        <w:rPr>
          <w:rFonts w:ascii="Courier New" w:hAnsi="Courier New" w:cs="Courier New"/>
        </w:rPr>
        <w:t>10.1108/JAEE-09-2015-0064).</w:t>
      </w:r>
    </w:p>
    <w:p w:rsidR="00901D89" w:rsidRDefault="00901D89" w:rsidP="0049401D">
      <w:pPr>
        <w:pStyle w:val="Title"/>
        <w:rPr>
          <w:rFonts w:ascii="Times New Roman" w:hAnsi="Times New Roman"/>
          <w:sz w:val="22"/>
          <w:szCs w:val="22"/>
        </w:rPr>
      </w:pPr>
    </w:p>
    <w:p w:rsidR="00901D89" w:rsidRPr="00102963" w:rsidRDefault="00901D89" w:rsidP="0049401D">
      <w:pPr>
        <w:pStyle w:val="Title"/>
        <w:rPr>
          <w:rFonts w:ascii="Times New Roman" w:hAnsi="Times New Roman"/>
          <w:sz w:val="22"/>
          <w:szCs w:val="22"/>
        </w:rPr>
      </w:pPr>
    </w:p>
    <w:p w:rsidR="00524388" w:rsidRDefault="00524388" w:rsidP="0049401D">
      <w:pPr>
        <w:pStyle w:val="Title"/>
        <w:rPr>
          <w:rFonts w:ascii="Times New Roman" w:hAnsi="Times New Roman"/>
          <w:sz w:val="22"/>
          <w:szCs w:val="22"/>
        </w:rPr>
      </w:pPr>
    </w:p>
    <w:p w:rsidR="00524388" w:rsidRDefault="00524388" w:rsidP="0049401D">
      <w:pPr>
        <w:pStyle w:val="Title"/>
        <w:rPr>
          <w:rFonts w:ascii="Times New Roman" w:hAnsi="Times New Roman"/>
          <w:sz w:val="22"/>
          <w:szCs w:val="22"/>
        </w:rPr>
      </w:pPr>
    </w:p>
    <w:p w:rsidR="00E36AE9" w:rsidRPr="005F7FF7" w:rsidRDefault="000E3D13" w:rsidP="0049401D">
      <w:pPr>
        <w:pStyle w:val="Title"/>
        <w:rPr>
          <w:rFonts w:ascii="Times New Roman" w:hAnsi="Times New Roman"/>
          <w:sz w:val="22"/>
          <w:szCs w:val="22"/>
        </w:rPr>
      </w:pPr>
      <w:r w:rsidRPr="005F7FF7">
        <w:rPr>
          <w:rFonts w:ascii="Times New Roman" w:hAnsi="Times New Roman"/>
          <w:sz w:val="22"/>
          <w:szCs w:val="22"/>
        </w:rPr>
        <w:t xml:space="preserve">Corporate </w:t>
      </w:r>
      <w:r w:rsidR="00AF6054" w:rsidRPr="005F7FF7">
        <w:rPr>
          <w:rFonts w:ascii="Times New Roman" w:hAnsi="Times New Roman"/>
          <w:sz w:val="22"/>
          <w:szCs w:val="22"/>
        </w:rPr>
        <w:t>governance</w:t>
      </w:r>
      <w:r w:rsidR="00C9615E">
        <w:rPr>
          <w:rFonts w:ascii="Times New Roman" w:hAnsi="Times New Roman"/>
          <w:sz w:val="22"/>
          <w:szCs w:val="22"/>
        </w:rPr>
        <w:t>, Islamic governance</w:t>
      </w:r>
      <w:r w:rsidR="00C03016" w:rsidRPr="005F7FF7">
        <w:rPr>
          <w:rFonts w:ascii="Times New Roman" w:hAnsi="Times New Roman"/>
          <w:sz w:val="22"/>
          <w:szCs w:val="22"/>
        </w:rPr>
        <w:t xml:space="preserve"> </w:t>
      </w:r>
      <w:r w:rsidR="00AF6054" w:rsidRPr="005F7FF7">
        <w:rPr>
          <w:rFonts w:ascii="Times New Roman" w:hAnsi="Times New Roman"/>
          <w:sz w:val="22"/>
          <w:szCs w:val="22"/>
        </w:rPr>
        <w:t>and earnings m</w:t>
      </w:r>
      <w:r w:rsidR="00AA6E6B" w:rsidRPr="005F7FF7">
        <w:rPr>
          <w:rFonts w:ascii="Times New Roman" w:hAnsi="Times New Roman"/>
          <w:sz w:val="22"/>
          <w:szCs w:val="22"/>
        </w:rPr>
        <w:t>anagement</w:t>
      </w:r>
      <w:r w:rsidRPr="005F7FF7">
        <w:rPr>
          <w:rFonts w:ascii="Times New Roman" w:hAnsi="Times New Roman"/>
          <w:sz w:val="22"/>
          <w:szCs w:val="22"/>
        </w:rPr>
        <w:t xml:space="preserve"> in</w:t>
      </w:r>
      <w:r w:rsidR="00E865C4" w:rsidRPr="005F7FF7">
        <w:rPr>
          <w:rFonts w:ascii="Times New Roman" w:hAnsi="Times New Roman"/>
          <w:sz w:val="22"/>
          <w:szCs w:val="22"/>
        </w:rPr>
        <w:t xml:space="preserve"> </w:t>
      </w:r>
      <w:r w:rsidR="0088682A" w:rsidRPr="005F7FF7">
        <w:rPr>
          <w:rFonts w:ascii="Times New Roman" w:hAnsi="Times New Roman"/>
          <w:sz w:val="22"/>
          <w:szCs w:val="22"/>
        </w:rPr>
        <w:t>Oman</w:t>
      </w:r>
      <w:r w:rsidR="00AF6054" w:rsidRPr="005F7FF7">
        <w:rPr>
          <w:rFonts w:ascii="Times New Roman" w:hAnsi="Times New Roman"/>
          <w:sz w:val="22"/>
          <w:szCs w:val="22"/>
        </w:rPr>
        <w:t>: A new empirical i</w:t>
      </w:r>
      <w:r w:rsidRPr="005F7FF7">
        <w:rPr>
          <w:rFonts w:ascii="Times New Roman" w:hAnsi="Times New Roman"/>
          <w:sz w:val="22"/>
          <w:szCs w:val="22"/>
        </w:rPr>
        <w:t xml:space="preserve">nsights </w:t>
      </w:r>
      <w:r w:rsidR="00AF6054" w:rsidRPr="005F7FF7">
        <w:rPr>
          <w:rFonts w:ascii="Times New Roman" w:hAnsi="Times New Roman"/>
          <w:sz w:val="22"/>
          <w:szCs w:val="22"/>
        </w:rPr>
        <w:t>from a behavioural theoretical framework</w:t>
      </w:r>
      <w:r w:rsidRPr="005F7FF7">
        <w:rPr>
          <w:rFonts w:ascii="Times New Roman" w:hAnsi="Times New Roman"/>
          <w:sz w:val="22"/>
          <w:szCs w:val="22"/>
        </w:rPr>
        <w:t xml:space="preserve"> </w:t>
      </w:r>
    </w:p>
    <w:p w:rsidR="00E36AE9" w:rsidRPr="005F7FF7" w:rsidRDefault="00E36AE9" w:rsidP="003D2F9B">
      <w:pPr>
        <w:rPr>
          <w:rFonts w:cs="Times New Roman"/>
          <w:b/>
          <w:sz w:val="22"/>
        </w:rPr>
      </w:pPr>
    </w:p>
    <w:p w:rsidR="008A7405" w:rsidRPr="005F7FF7" w:rsidRDefault="00AF6496" w:rsidP="003D2F9B">
      <w:pPr>
        <w:rPr>
          <w:rFonts w:cs="Times New Roman"/>
          <w:b/>
          <w:sz w:val="22"/>
        </w:rPr>
      </w:pPr>
      <w:r w:rsidRPr="005F7FF7">
        <w:rPr>
          <w:rFonts w:cs="Times New Roman"/>
          <w:b/>
          <w:sz w:val="22"/>
        </w:rPr>
        <w:t>Abstract</w:t>
      </w:r>
      <w:bookmarkEnd w:id="0"/>
      <w:bookmarkEnd w:id="1"/>
    </w:p>
    <w:p w:rsidR="009C2C43" w:rsidRPr="005F7FF7" w:rsidRDefault="009C2C43" w:rsidP="004C61DD">
      <w:pPr>
        <w:spacing w:line="276" w:lineRule="auto"/>
        <w:jc w:val="both"/>
        <w:rPr>
          <w:rFonts w:cs="Times New Roman"/>
          <w:b/>
          <w:bCs/>
          <w:sz w:val="22"/>
        </w:rPr>
      </w:pPr>
    </w:p>
    <w:p w:rsidR="001E25F8" w:rsidRDefault="001E25F8" w:rsidP="00AE0B30">
      <w:pPr>
        <w:spacing w:line="360" w:lineRule="auto"/>
        <w:jc w:val="both"/>
        <w:rPr>
          <w:rFonts w:cs="Times New Roman"/>
          <w:sz w:val="22"/>
        </w:rPr>
      </w:pPr>
      <w:r w:rsidRPr="00962937">
        <w:rPr>
          <w:rFonts w:cs="Times New Roman"/>
          <w:b/>
          <w:sz w:val="22"/>
        </w:rPr>
        <w:t>Purpose:</w:t>
      </w:r>
      <w:r>
        <w:rPr>
          <w:rFonts w:cs="Times New Roman"/>
          <w:sz w:val="22"/>
        </w:rPr>
        <w:t xml:space="preserve"> </w:t>
      </w:r>
      <w:r w:rsidR="008A7405" w:rsidRPr="005F7FF7">
        <w:rPr>
          <w:rFonts w:cs="Times New Roman"/>
          <w:sz w:val="22"/>
        </w:rPr>
        <w:t xml:space="preserve">This paper examines the impact of corporate </w:t>
      </w:r>
      <w:r w:rsidR="00A2645D" w:rsidRPr="005F7FF7">
        <w:rPr>
          <w:rFonts w:cs="Times New Roman"/>
          <w:sz w:val="22"/>
        </w:rPr>
        <w:t>(CG)</w:t>
      </w:r>
      <w:r w:rsidR="009C2C43" w:rsidRPr="005F7FF7">
        <w:rPr>
          <w:rFonts w:cs="Times New Roman"/>
          <w:sz w:val="22"/>
        </w:rPr>
        <w:t xml:space="preserve"> </w:t>
      </w:r>
      <w:r w:rsidR="0029239A" w:rsidRPr="005F7FF7">
        <w:rPr>
          <w:rFonts w:cs="Times New Roman"/>
          <w:sz w:val="22"/>
        </w:rPr>
        <w:t xml:space="preserve">and Islamic (IG) </w:t>
      </w:r>
      <w:r w:rsidR="00883A76" w:rsidRPr="005F7FF7">
        <w:rPr>
          <w:rFonts w:cs="Times New Roman"/>
          <w:sz w:val="22"/>
        </w:rPr>
        <w:t xml:space="preserve">governance mechanisms </w:t>
      </w:r>
      <w:r w:rsidR="008A7405" w:rsidRPr="005F7FF7">
        <w:rPr>
          <w:rFonts w:cs="Times New Roman"/>
          <w:sz w:val="22"/>
        </w:rPr>
        <w:t>on</w:t>
      </w:r>
      <w:r w:rsidR="009C2C43" w:rsidRPr="005F7FF7">
        <w:rPr>
          <w:rFonts w:cs="Times New Roman"/>
          <w:sz w:val="22"/>
        </w:rPr>
        <w:t xml:space="preserve"> </w:t>
      </w:r>
      <w:r w:rsidR="00A00614" w:rsidRPr="005F7FF7">
        <w:rPr>
          <w:rFonts w:cs="Times New Roman"/>
          <w:sz w:val="22"/>
        </w:rPr>
        <w:t>corporate</w:t>
      </w:r>
      <w:r w:rsidR="008A7405" w:rsidRPr="005F7FF7">
        <w:rPr>
          <w:rFonts w:cs="Times New Roman"/>
          <w:sz w:val="22"/>
        </w:rPr>
        <w:t xml:space="preserve"> earnings management</w:t>
      </w:r>
      <w:r w:rsidR="009C2C43" w:rsidRPr="005F7FF7">
        <w:rPr>
          <w:rFonts w:cs="Times New Roman"/>
          <w:sz w:val="22"/>
        </w:rPr>
        <w:t xml:space="preserve"> (EM)</w:t>
      </w:r>
      <w:r w:rsidR="008A7405" w:rsidRPr="005F7FF7">
        <w:rPr>
          <w:rFonts w:cs="Times New Roman"/>
          <w:sz w:val="22"/>
        </w:rPr>
        <w:t xml:space="preserve"> behaviour</w:t>
      </w:r>
      <w:r w:rsidR="000E3D13" w:rsidRPr="005F7FF7">
        <w:rPr>
          <w:rFonts w:cs="Times New Roman"/>
          <w:sz w:val="22"/>
        </w:rPr>
        <w:t xml:space="preserve"> in Oman</w:t>
      </w:r>
      <w:r w:rsidR="008A7405" w:rsidRPr="005F7FF7">
        <w:rPr>
          <w:rFonts w:cs="Times New Roman"/>
          <w:sz w:val="22"/>
        </w:rPr>
        <w:t xml:space="preserve">. </w:t>
      </w:r>
    </w:p>
    <w:p w:rsidR="001E25F8" w:rsidRDefault="001E25F8" w:rsidP="00AE0B30">
      <w:pPr>
        <w:spacing w:line="360" w:lineRule="auto"/>
        <w:jc w:val="both"/>
        <w:rPr>
          <w:rFonts w:cs="Times New Roman"/>
          <w:sz w:val="22"/>
        </w:rPr>
      </w:pPr>
    </w:p>
    <w:p w:rsidR="001E25F8" w:rsidRDefault="00962937" w:rsidP="00AE0B30">
      <w:pPr>
        <w:spacing w:line="360" w:lineRule="auto"/>
        <w:jc w:val="both"/>
        <w:rPr>
          <w:rFonts w:cs="Times New Roman"/>
          <w:sz w:val="22"/>
        </w:rPr>
      </w:pPr>
      <w:r w:rsidRPr="00962937">
        <w:rPr>
          <w:rFonts w:cs="Times New Roman"/>
          <w:b/>
          <w:sz w:val="22"/>
        </w:rPr>
        <w:t>Design/Methodology/Appro</w:t>
      </w:r>
      <w:r w:rsidR="00BC6878">
        <w:rPr>
          <w:rFonts w:cs="Times New Roman"/>
          <w:b/>
          <w:sz w:val="22"/>
        </w:rPr>
        <w:t>a</w:t>
      </w:r>
      <w:r w:rsidRPr="00962937">
        <w:rPr>
          <w:rFonts w:cs="Times New Roman"/>
          <w:b/>
          <w:sz w:val="22"/>
        </w:rPr>
        <w:t>ch</w:t>
      </w:r>
      <w:r>
        <w:rPr>
          <w:rFonts w:cs="Times New Roman"/>
          <w:sz w:val="22"/>
        </w:rPr>
        <w:t xml:space="preserve">: </w:t>
      </w:r>
      <w:r w:rsidR="00BD7E61" w:rsidRPr="005F7FF7">
        <w:rPr>
          <w:rFonts w:cs="Times New Roman"/>
          <w:sz w:val="22"/>
        </w:rPr>
        <w:t xml:space="preserve">We employ </w:t>
      </w:r>
      <w:r w:rsidR="005A79E1" w:rsidRPr="005F7FF7">
        <w:rPr>
          <w:rFonts w:cs="Times New Roman"/>
          <w:sz w:val="22"/>
        </w:rPr>
        <w:t>one of the largest</w:t>
      </w:r>
      <w:r w:rsidR="00B46F3B" w:rsidRPr="005F7FF7">
        <w:rPr>
          <w:rFonts w:cs="Times New Roman"/>
          <w:sz w:val="22"/>
        </w:rPr>
        <w:t xml:space="preserve"> and extensive</w:t>
      </w:r>
      <w:r w:rsidR="005A79E1" w:rsidRPr="005F7FF7">
        <w:rPr>
          <w:rFonts w:cs="Times New Roman"/>
          <w:sz w:val="22"/>
        </w:rPr>
        <w:t xml:space="preserve"> dataset</w:t>
      </w:r>
      <w:r w:rsidR="00E21D7F">
        <w:rPr>
          <w:rFonts w:cs="Times New Roman"/>
          <w:sz w:val="22"/>
        </w:rPr>
        <w:t>s</w:t>
      </w:r>
      <w:r w:rsidR="005A79E1" w:rsidRPr="005F7FF7">
        <w:rPr>
          <w:rFonts w:cs="Times New Roman"/>
          <w:sz w:val="22"/>
        </w:rPr>
        <w:t xml:space="preserve"> to-</w:t>
      </w:r>
      <w:r w:rsidR="000550D5" w:rsidRPr="005F7FF7">
        <w:rPr>
          <w:rFonts w:cs="Times New Roman"/>
          <w:sz w:val="22"/>
        </w:rPr>
        <w:t>date on CG</w:t>
      </w:r>
      <w:r w:rsidR="0029239A" w:rsidRPr="005F7FF7">
        <w:rPr>
          <w:rFonts w:cs="Times New Roman"/>
          <w:sz w:val="22"/>
        </w:rPr>
        <w:t>,</w:t>
      </w:r>
      <w:r w:rsidR="000550D5" w:rsidRPr="005F7FF7">
        <w:rPr>
          <w:rFonts w:cs="Times New Roman"/>
          <w:sz w:val="22"/>
        </w:rPr>
        <w:t xml:space="preserve"> </w:t>
      </w:r>
      <w:r w:rsidR="0029239A" w:rsidRPr="005F7FF7">
        <w:rPr>
          <w:rFonts w:cs="Times New Roman"/>
          <w:sz w:val="22"/>
        </w:rPr>
        <w:t xml:space="preserve">IG </w:t>
      </w:r>
      <w:r w:rsidR="000550D5" w:rsidRPr="005F7FF7">
        <w:rPr>
          <w:rFonts w:cs="Times New Roman"/>
          <w:sz w:val="22"/>
        </w:rPr>
        <w:t xml:space="preserve">and </w:t>
      </w:r>
      <w:r w:rsidR="0088682A" w:rsidRPr="005F7FF7">
        <w:rPr>
          <w:rFonts w:cs="Times New Roman"/>
          <w:sz w:val="22"/>
        </w:rPr>
        <w:t>EM in any developing country</w:t>
      </w:r>
      <w:r w:rsidR="008F2E7D" w:rsidRPr="005F7FF7">
        <w:rPr>
          <w:rFonts w:cs="Times New Roman"/>
          <w:sz w:val="22"/>
        </w:rPr>
        <w:t xml:space="preserve">, </w:t>
      </w:r>
      <w:r w:rsidR="00BD7E61" w:rsidRPr="005F7FF7">
        <w:rPr>
          <w:rFonts w:cs="Times New Roman"/>
          <w:sz w:val="22"/>
        </w:rPr>
        <w:t xml:space="preserve">consisting of </w:t>
      </w:r>
      <w:r w:rsidR="00536B4C" w:rsidRPr="005F7FF7">
        <w:rPr>
          <w:rFonts w:cs="Times New Roman"/>
          <w:sz w:val="22"/>
        </w:rPr>
        <w:t xml:space="preserve">a sample of 116 </w:t>
      </w:r>
      <w:r w:rsidR="00E21D7F">
        <w:rPr>
          <w:rFonts w:cs="Times New Roman"/>
          <w:sz w:val="22"/>
        </w:rPr>
        <w:t xml:space="preserve">unique </w:t>
      </w:r>
      <w:r w:rsidR="00536B4C" w:rsidRPr="005F7FF7">
        <w:rPr>
          <w:rFonts w:cs="Times New Roman"/>
          <w:sz w:val="22"/>
        </w:rPr>
        <w:t>Omani listed corpor</w:t>
      </w:r>
      <w:r w:rsidR="005A79E1" w:rsidRPr="005F7FF7">
        <w:rPr>
          <w:rFonts w:cs="Times New Roman"/>
          <w:sz w:val="22"/>
        </w:rPr>
        <w:t xml:space="preserve">ations from 2001 to 2011 </w:t>
      </w:r>
      <w:r w:rsidR="00BD7E61" w:rsidRPr="005F7FF7">
        <w:rPr>
          <w:rFonts w:cs="Times New Roman"/>
          <w:sz w:val="22"/>
        </w:rPr>
        <w:t>(i.e.,</w:t>
      </w:r>
      <w:r w:rsidR="00536B4C" w:rsidRPr="005F7FF7">
        <w:rPr>
          <w:rFonts w:cs="Times New Roman"/>
          <w:sz w:val="22"/>
        </w:rPr>
        <w:t>1,152 firm</w:t>
      </w:r>
      <w:r w:rsidR="00BD7E61" w:rsidRPr="005F7FF7">
        <w:rPr>
          <w:rFonts w:cs="Times New Roman"/>
          <w:sz w:val="22"/>
        </w:rPr>
        <w:t>-</w:t>
      </w:r>
      <w:r w:rsidR="00536B4C" w:rsidRPr="005F7FF7">
        <w:rPr>
          <w:rFonts w:cs="Times New Roman"/>
          <w:sz w:val="22"/>
        </w:rPr>
        <w:t>year observations) and a broad CG index c</w:t>
      </w:r>
      <w:r w:rsidR="008F2E7D" w:rsidRPr="005F7FF7">
        <w:rPr>
          <w:rFonts w:cs="Times New Roman"/>
          <w:sz w:val="22"/>
        </w:rPr>
        <w:t>ontaining</w:t>
      </w:r>
      <w:r w:rsidR="00536B4C" w:rsidRPr="005F7FF7">
        <w:rPr>
          <w:rFonts w:cs="Times New Roman"/>
          <w:sz w:val="22"/>
        </w:rPr>
        <w:t xml:space="preserve"> 72 CG provisions</w:t>
      </w:r>
      <w:r w:rsidR="00BD7E61" w:rsidRPr="005F7FF7">
        <w:rPr>
          <w:rFonts w:cs="Times New Roman"/>
          <w:sz w:val="22"/>
        </w:rPr>
        <w:t>.</w:t>
      </w:r>
      <w:r w:rsidR="00536B4C" w:rsidRPr="005F7FF7">
        <w:rPr>
          <w:rFonts w:cs="Times New Roman"/>
          <w:sz w:val="22"/>
        </w:rPr>
        <w:t xml:space="preserve"> </w:t>
      </w:r>
      <w:r w:rsidR="00C4573E">
        <w:rPr>
          <w:rFonts w:cs="Times New Roman"/>
          <w:sz w:val="22"/>
        </w:rPr>
        <w:t xml:space="preserve">We </w:t>
      </w:r>
      <w:r w:rsidR="00A86229">
        <w:rPr>
          <w:rFonts w:cs="Times New Roman"/>
          <w:sz w:val="22"/>
        </w:rPr>
        <w:t xml:space="preserve">also </w:t>
      </w:r>
      <w:r w:rsidR="00C4573E">
        <w:rPr>
          <w:rFonts w:cs="Times New Roman"/>
          <w:sz w:val="22"/>
        </w:rPr>
        <w:t>employ</w:t>
      </w:r>
      <w:r w:rsidR="00C4573E" w:rsidRPr="005F7FF7">
        <w:rPr>
          <w:rFonts w:cs="Times New Roman"/>
          <w:sz w:val="22"/>
        </w:rPr>
        <w:t xml:space="preserve"> a number of </w:t>
      </w:r>
      <w:r w:rsidR="00C4573E">
        <w:rPr>
          <w:rFonts w:cs="Times New Roman"/>
          <w:sz w:val="22"/>
        </w:rPr>
        <w:t xml:space="preserve">robust </w:t>
      </w:r>
      <w:r w:rsidR="00C4573E" w:rsidRPr="005F7FF7">
        <w:rPr>
          <w:rFonts w:cs="Times New Roman"/>
          <w:sz w:val="22"/>
        </w:rPr>
        <w:t>econometric models that sufficiently account for alternative CG</w:t>
      </w:r>
      <w:r w:rsidR="00C4573E">
        <w:rPr>
          <w:rFonts w:cs="Times New Roman"/>
          <w:sz w:val="22"/>
        </w:rPr>
        <w:t>/</w:t>
      </w:r>
      <w:r w:rsidR="00C4573E" w:rsidRPr="005F7FF7">
        <w:rPr>
          <w:rFonts w:cs="Times New Roman"/>
          <w:sz w:val="22"/>
        </w:rPr>
        <w:t>EM proxies</w:t>
      </w:r>
      <w:r w:rsidR="00C4573E">
        <w:rPr>
          <w:rFonts w:cs="Times New Roman"/>
          <w:sz w:val="22"/>
        </w:rPr>
        <w:t xml:space="preserve"> and </w:t>
      </w:r>
      <w:r w:rsidR="00C4573E" w:rsidRPr="005F7FF7">
        <w:rPr>
          <w:rFonts w:cs="Times New Roman"/>
          <w:sz w:val="22"/>
        </w:rPr>
        <w:t>potential endogeneit</w:t>
      </w:r>
      <w:r w:rsidR="00C4573E">
        <w:rPr>
          <w:rFonts w:cs="Times New Roman"/>
          <w:sz w:val="22"/>
        </w:rPr>
        <w:t>ies.</w:t>
      </w:r>
    </w:p>
    <w:p w:rsidR="001E25F8" w:rsidRDefault="001E25F8" w:rsidP="00AE0B30">
      <w:pPr>
        <w:spacing w:line="360" w:lineRule="auto"/>
        <w:jc w:val="both"/>
        <w:rPr>
          <w:rFonts w:cs="Times New Roman"/>
          <w:sz w:val="22"/>
        </w:rPr>
      </w:pPr>
    </w:p>
    <w:p w:rsidR="00536B4C" w:rsidRPr="005F7FF7" w:rsidRDefault="00962937" w:rsidP="00AE0B30">
      <w:pPr>
        <w:spacing w:line="360" w:lineRule="auto"/>
        <w:jc w:val="both"/>
        <w:rPr>
          <w:rFonts w:cs="Times New Roman"/>
          <w:sz w:val="22"/>
        </w:rPr>
      </w:pPr>
      <w:r w:rsidRPr="00962937">
        <w:rPr>
          <w:rFonts w:cs="Times New Roman"/>
          <w:b/>
          <w:sz w:val="22"/>
        </w:rPr>
        <w:t>Findings:</w:t>
      </w:r>
      <w:r>
        <w:rPr>
          <w:rFonts w:cs="Times New Roman"/>
          <w:sz w:val="22"/>
        </w:rPr>
        <w:t xml:space="preserve"> </w:t>
      </w:r>
      <w:r w:rsidR="00BD7E61" w:rsidRPr="005F7FF7">
        <w:rPr>
          <w:rFonts w:cs="Times New Roman"/>
          <w:sz w:val="22"/>
        </w:rPr>
        <w:t xml:space="preserve">First, </w:t>
      </w:r>
      <w:r w:rsidR="00536B4C" w:rsidRPr="005F7FF7">
        <w:rPr>
          <w:rFonts w:cs="Times New Roman"/>
          <w:sz w:val="22"/>
        </w:rPr>
        <w:t>we find that, on averag</w:t>
      </w:r>
      <w:r w:rsidR="005540DB" w:rsidRPr="005F7FF7">
        <w:rPr>
          <w:rFonts w:cs="Times New Roman"/>
          <w:sz w:val="22"/>
        </w:rPr>
        <w:t>e, better-governed corporations tend to engage significantly less in EM than their poorly-governed counterparts</w:t>
      </w:r>
      <w:r w:rsidR="00875DA7" w:rsidRPr="005F7FF7">
        <w:rPr>
          <w:rFonts w:cs="Times New Roman"/>
          <w:sz w:val="22"/>
        </w:rPr>
        <w:t xml:space="preserve">. </w:t>
      </w:r>
      <w:r w:rsidR="00BD7E61" w:rsidRPr="005F7FF7">
        <w:rPr>
          <w:rFonts w:cs="Times New Roman"/>
          <w:sz w:val="22"/>
        </w:rPr>
        <w:t xml:space="preserve">Second, </w:t>
      </w:r>
      <w:r w:rsidR="008F2E7D" w:rsidRPr="005F7FF7">
        <w:rPr>
          <w:rFonts w:cs="Times New Roman"/>
          <w:sz w:val="22"/>
        </w:rPr>
        <w:t>our evidence suggests</w:t>
      </w:r>
      <w:r w:rsidR="005540DB" w:rsidRPr="005F7FF7">
        <w:rPr>
          <w:rFonts w:cs="Times New Roman"/>
          <w:sz w:val="22"/>
        </w:rPr>
        <w:t xml:space="preserve"> tha</w:t>
      </w:r>
      <w:r w:rsidR="00AF6054" w:rsidRPr="005F7FF7">
        <w:rPr>
          <w:rFonts w:cs="Times New Roman"/>
          <w:sz w:val="22"/>
        </w:rPr>
        <w:t xml:space="preserve">t corporations that </w:t>
      </w:r>
      <w:r w:rsidR="008F2E7D" w:rsidRPr="005F7FF7">
        <w:rPr>
          <w:rFonts w:cs="Times New Roman"/>
          <w:sz w:val="22"/>
        </w:rPr>
        <w:t xml:space="preserve">depict greater commitment towards </w:t>
      </w:r>
      <w:r w:rsidR="00E21D7F">
        <w:rPr>
          <w:rFonts w:cs="Times New Roman"/>
          <w:sz w:val="22"/>
        </w:rPr>
        <w:t xml:space="preserve">incorporating </w:t>
      </w:r>
      <w:r w:rsidR="008F2E7D" w:rsidRPr="005F7FF7">
        <w:rPr>
          <w:rFonts w:cs="Times New Roman"/>
          <w:sz w:val="22"/>
        </w:rPr>
        <w:t>Islamic religious beliefs and values</w:t>
      </w:r>
      <w:r w:rsidR="00E21D7F">
        <w:rPr>
          <w:rFonts w:cs="Times New Roman"/>
          <w:sz w:val="22"/>
        </w:rPr>
        <w:t xml:space="preserve"> in</w:t>
      </w:r>
      <w:r w:rsidR="00C35E82">
        <w:rPr>
          <w:rFonts w:cs="Times New Roman"/>
          <w:sz w:val="22"/>
        </w:rPr>
        <w:t>to</w:t>
      </w:r>
      <w:r w:rsidR="00E21D7F">
        <w:rPr>
          <w:rFonts w:cs="Times New Roman"/>
          <w:sz w:val="22"/>
        </w:rPr>
        <w:t xml:space="preserve"> their operations through the establishment</w:t>
      </w:r>
      <w:r w:rsidR="008F2E7D" w:rsidRPr="005F7FF7">
        <w:rPr>
          <w:rFonts w:cs="Times New Roman"/>
          <w:sz w:val="22"/>
        </w:rPr>
        <w:t xml:space="preserve"> of an</w:t>
      </w:r>
      <w:r w:rsidR="00AF6054" w:rsidRPr="005F7FF7">
        <w:rPr>
          <w:rFonts w:cs="Times New Roman"/>
          <w:sz w:val="22"/>
        </w:rPr>
        <w:t xml:space="preserve"> </w:t>
      </w:r>
      <w:r w:rsidR="0029239A" w:rsidRPr="005F7FF7">
        <w:rPr>
          <w:rFonts w:cs="Times New Roman"/>
          <w:sz w:val="22"/>
        </w:rPr>
        <w:t>IG</w:t>
      </w:r>
      <w:r w:rsidR="005540DB" w:rsidRPr="005F7FF7">
        <w:rPr>
          <w:rFonts w:cs="Times New Roman"/>
          <w:sz w:val="22"/>
        </w:rPr>
        <w:t xml:space="preserve"> committee tend to engage significantly less in EM than the</w:t>
      </w:r>
      <w:r w:rsidR="00AF6054" w:rsidRPr="005F7FF7">
        <w:rPr>
          <w:rFonts w:cs="Times New Roman"/>
          <w:sz w:val="22"/>
        </w:rPr>
        <w:t>ir cou</w:t>
      </w:r>
      <w:r w:rsidR="00C35E82">
        <w:rPr>
          <w:rFonts w:cs="Times New Roman"/>
          <w:sz w:val="22"/>
        </w:rPr>
        <w:t>n</w:t>
      </w:r>
      <w:r w:rsidR="00AF6054" w:rsidRPr="005F7FF7">
        <w:rPr>
          <w:rFonts w:cs="Times New Roman"/>
          <w:sz w:val="22"/>
        </w:rPr>
        <w:t>terparts with</w:t>
      </w:r>
      <w:r w:rsidR="005540DB" w:rsidRPr="005F7FF7">
        <w:rPr>
          <w:rFonts w:cs="Times New Roman"/>
          <w:sz w:val="22"/>
        </w:rPr>
        <w:t>o</w:t>
      </w:r>
      <w:r w:rsidR="00AF6054" w:rsidRPr="005F7FF7">
        <w:rPr>
          <w:rFonts w:cs="Times New Roman"/>
          <w:sz w:val="22"/>
        </w:rPr>
        <w:t>ut</w:t>
      </w:r>
      <w:r w:rsidR="005540DB" w:rsidRPr="005F7FF7">
        <w:rPr>
          <w:rFonts w:cs="Times New Roman"/>
          <w:sz w:val="22"/>
        </w:rPr>
        <w:t xml:space="preserve"> such a committee. </w:t>
      </w:r>
      <w:r w:rsidR="00AA15C8">
        <w:rPr>
          <w:rFonts w:cs="Times New Roman"/>
          <w:sz w:val="22"/>
        </w:rPr>
        <w:t>Finally</w:t>
      </w:r>
      <w:r w:rsidR="00BD7E61" w:rsidRPr="005F7FF7">
        <w:rPr>
          <w:rFonts w:cs="Times New Roman"/>
          <w:sz w:val="22"/>
        </w:rPr>
        <w:t xml:space="preserve"> and by contrast</w:t>
      </w:r>
      <w:r w:rsidR="00536B4C" w:rsidRPr="005F7FF7">
        <w:rPr>
          <w:rFonts w:cs="Times New Roman"/>
          <w:sz w:val="22"/>
        </w:rPr>
        <w:t xml:space="preserve">, we do not find any evidence that </w:t>
      </w:r>
      <w:r w:rsidR="00AE0B30" w:rsidRPr="005F7FF7">
        <w:rPr>
          <w:rFonts w:cs="Times New Roman"/>
          <w:sz w:val="22"/>
        </w:rPr>
        <w:t>board size, audit firm size, the presence of a CG committee and board gender diversity</w:t>
      </w:r>
      <w:r w:rsidR="00536B4C" w:rsidRPr="005F7FF7">
        <w:rPr>
          <w:rFonts w:cs="Times New Roman"/>
          <w:sz w:val="22"/>
        </w:rPr>
        <w:t xml:space="preserve"> have any significant r</w:t>
      </w:r>
      <w:r w:rsidR="005540DB" w:rsidRPr="005F7FF7">
        <w:rPr>
          <w:rFonts w:cs="Times New Roman"/>
          <w:sz w:val="22"/>
        </w:rPr>
        <w:t>elationship with the extent of</w:t>
      </w:r>
      <w:r w:rsidR="00BB1EEC" w:rsidRPr="005F7FF7">
        <w:rPr>
          <w:rFonts w:cs="Times New Roman"/>
          <w:sz w:val="22"/>
        </w:rPr>
        <w:t xml:space="preserve"> EM. </w:t>
      </w:r>
    </w:p>
    <w:p w:rsidR="00962937" w:rsidRDefault="00962937" w:rsidP="00177DBF">
      <w:pPr>
        <w:spacing w:line="360" w:lineRule="auto"/>
        <w:jc w:val="both"/>
        <w:rPr>
          <w:rFonts w:cs="Times New Roman"/>
          <w:b/>
          <w:bCs/>
          <w:sz w:val="22"/>
        </w:rPr>
      </w:pPr>
    </w:p>
    <w:p w:rsidR="005A79E1" w:rsidRPr="0047188E" w:rsidRDefault="0047188E" w:rsidP="00177DBF">
      <w:pPr>
        <w:spacing w:line="360" w:lineRule="auto"/>
        <w:jc w:val="both"/>
        <w:rPr>
          <w:rFonts w:cs="Times New Roman"/>
          <w:b/>
          <w:bCs/>
          <w:i/>
          <w:sz w:val="22"/>
        </w:rPr>
      </w:pPr>
      <w:r>
        <w:rPr>
          <w:rFonts w:cs="Times New Roman"/>
          <w:b/>
          <w:bCs/>
          <w:sz w:val="22"/>
        </w:rPr>
        <w:t xml:space="preserve">Originality: </w:t>
      </w:r>
      <w:r>
        <w:rPr>
          <w:rFonts w:cs="Times New Roman"/>
          <w:bCs/>
          <w:sz w:val="22"/>
        </w:rPr>
        <w:t xml:space="preserve">To the best of our knowledge, this is a first </w:t>
      </w:r>
      <w:r w:rsidR="00A86229">
        <w:rPr>
          <w:rFonts w:cs="Times New Roman"/>
          <w:bCs/>
          <w:sz w:val="22"/>
        </w:rPr>
        <w:t xml:space="preserve">empirical </w:t>
      </w:r>
      <w:r>
        <w:rPr>
          <w:rFonts w:cs="Times New Roman"/>
          <w:bCs/>
          <w:sz w:val="22"/>
        </w:rPr>
        <w:t>attempt at examining the extent to which CG and IG structure</w:t>
      </w:r>
      <w:r w:rsidR="00A86229">
        <w:rPr>
          <w:rFonts w:cs="Times New Roman"/>
          <w:bCs/>
          <w:sz w:val="22"/>
        </w:rPr>
        <w:t>s may drive EM practices that explicitly seeks to draw new insights from a</w:t>
      </w:r>
      <w:r>
        <w:rPr>
          <w:rFonts w:cs="Times New Roman"/>
          <w:bCs/>
          <w:sz w:val="22"/>
        </w:rPr>
        <w:t xml:space="preserve"> behavioural theoretical framework</w:t>
      </w:r>
      <w:r w:rsidR="00A86229">
        <w:rPr>
          <w:rFonts w:cs="Times New Roman"/>
          <w:bCs/>
          <w:sz w:val="22"/>
        </w:rPr>
        <w:t xml:space="preserve"> (i.e., </w:t>
      </w:r>
      <w:r w:rsidR="00A86229" w:rsidRPr="005F7FF7">
        <w:rPr>
          <w:rFonts w:cs="Times New Roman"/>
          <w:sz w:val="22"/>
        </w:rPr>
        <w:t>behavioural theory of corporate boards and governance</w:t>
      </w:r>
      <w:r w:rsidR="00A86229">
        <w:rPr>
          <w:rFonts w:cs="Times New Roman"/>
          <w:sz w:val="22"/>
        </w:rPr>
        <w:t>)</w:t>
      </w:r>
      <w:r>
        <w:rPr>
          <w:rFonts w:cs="Times New Roman"/>
          <w:bCs/>
          <w:sz w:val="22"/>
        </w:rPr>
        <w:t>.</w:t>
      </w:r>
      <w:r w:rsidR="00962937">
        <w:rPr>
          <w:rFonts w:cs="Times New Roman"/>
          <w:b/>
          <w:bCs/>
          <w:sz w:val="22"/>
        </w:rPr>
        <w:t xml:space="preserve"> </w:t>
      </w:r>
    </w:p>
    <w:p w:rsidR="00962937" w:rsidRDefault="00962937" w:rsidP="0039606A">
      <w:pPr>
        <w:spacing w:line="360" w:lineRule="auto"/>
        <w:jc w:val="both"/>
        <w:rPr>
          <w:rFonts w:cs="Times New Roman"/>
          <w:b/>
          <w:bCs/>
          <w:sz w:val="22"/>
        </w:rPr>
      </w:pPr>
    </w:p>
    <w:p w:rsidR="008A7405" w:rsidRPr="005F7FF7" w:rsidRDefault="008A7405" w:rsidP="0039606A">
      <w:pPr>
        <w:spacing w:line="360" w:lineRule="auto"/>
        <w:jc w:val="both"/>
        <w:rPr>
          <w:rFonts w:cs="Times New Roman"/>
          <w:sz w:val="22"/>
        </w:rPr>
      </w:pPr>
      <w:r w:rsidRPr="005F7FF7">
        <w:rPr>
          <w:rFonts w:cs="Times New Roman"/>
          <w:b/>
          <w:bCs/>
          <w:sz w:val="22"/>
        </w:rPr>
        <w:t xml:space="preserve">Keywords: </w:t>
      </w:r>
      <w:r w:rsidR="0016620A" w:rsidRPr="005F7FF7">
        <w:rPr>
          <w:rFonts w:cs="Times New Roman"/>
          <w:sz w:val="22"/>
        </w:rPr>
        <w:t xml:space="preserve">Corporate </w:t>
      </w:r>
      <w:r w:rsidR="00A67C04" w:rsidRPr="005F7FF7">
        <w:rPr>
          <w:rFonts w:cs="Times New Roman"/>
          <w:sz w:val="22"/>
        </w:rPr>
        <w:t>governance,</w:t>
      </w:r>
      <w:r w:rsidR="00532489" w:rsidRPr="005F7FF7">
        <w:rPr>
          <w:rFonts w:cs="Times New Roman"/>
          <w:sz w:val="22"/>
        </w:rPr>
        <w:t xml:space="preserve"> </w:t>
      </w:r>
      <w:r w:rsidR="00E865C4" w:rsidRPr="005F7FF7">
        <w:rPr>
          <w:rFonts w:cs="Times New Roman"/>
          <w:sz w:val="22"/>
        </w:rPr>
        <w:t>Islamic</w:t>
      </w:r>
      <w:r w:rsidR="007B0FE6" w:rsidRPr="005F7FF7">
        <w:rPr>
          <w:rFonts w:cs="Times New Roman"/>
          <w:sz w:val="22"/>
        </w:rPr>
        <w:t xml:space="preserve"> </w:t>
      </w:r>
      <w:r w:rsidR="00E865C4" w:rsidRPr="005F7FF7">
        <w:rPr>
          <w:rFonts w:cs="Times New Roman"/>
          <w:sz w:val="22"/>
        </w:rPr>
        <w:t>governance</w:t>
      </w:r>
      <w:r w:rsidR="00A67C04" w:rsidRPr="005F7FF7">
        <w:rPr>
          <w:rFonts w:cs="Times New Roman"/>
          <w:sz w:val="22"/>
        </w:rPr>
        <w:t>,</w:t>
      </w:r>
      <w:r w:rsidR="000550D5" w:rsidRPr="005F7FF7">
        <w:rPr>
          <w:rFonts w:cs="Times New Roman"/>
          <w:sz w:val="22"/>
        </w:rPr>
        <w:t xml:space="preserve"> </w:t>
      </w:r>
      <w:r w:rsidR="00FF322C" w:rsidRPr="005F7FF7">
        <w:rPr>
          <w:rFonts w:cs="Times New Roman"/>
          <w:sz w:val="22"/>
        </w:rPr>
        <w:t xml:space="preserve">earnings management, </w:t>
      </w:r>
      <w:r w:rsidR="0088682A" w:rsidRPr="005F7FF7">
        <w:rPr>
          <w:rFonts w:cs="Times New Roman"/>
          <w:sz w:val="22"/>
        </w:rPr>
        <w:t xml:space="preserve">behavioural theory, </w:t>
      </w:r>
      <w:r w:rsidR="005A79E1" w:rsidRPr="005F7FF7">
        <w:rPr>
          <w:rFonts w:cs="Times New Roman"/>
          <w:sz w:val="22"/>
        </w:rPr>
        <w:t>endogeneity</w:t>
      </w:r>
      <w:r w:rsidR="00A67C04" w:rsidRPr="005F7FF7">
        <w:rPr>
          <w:rFonts w:cs="Times New Roman"/>
          <w:sz w:val="22"/>
        </w:rPr>
        <w:t xml:space="preserve">, Oman. </w:t>
      </w:r>
    </w:p>
    <w:p w:rsidR="008A7405" w:rsidRPr="005F7FF7" w:rsidRDefault="008A7405" w:rsidP="002F7D69">
      <w:pPr>
        <w:spacing w:line="276" w:lineRule="auto"/>
        <w:jc w:val="both"/>
        <w:rPr>
          <w:rFonts w:cs="Times New Roman"/>
          <w:b/>
          <w:bCs/>
          <w:sz w:val="22"/>
        </w:rPr>
      </w:pPr>
    </w:p>
    <w:p w:rsidR="008A7405" w:rsidRPr="005F7FF7" w:rsidRDefault="008A7405" w:rsidP="002F7D69">
      <w:pPr>
        <w:spacing w:line="276" w:lineRule="auto"/>
        <w:jc w:val="both"/>
        <w:rPr>
          <w:rFonts w:cs="Times New Roman"/>
          <w:sz w:val="22"/>
        </w:rPr>
      </w:pPr>
    </w:p>
    <w:p w:rsidR="008A7405" w:rsidRPr="005F7FF7" w:rsidRDefault="008A7405" w:rsidP="002F7D69">
      <w:pPr>
        <w:spacing w:line="276" w:lineRule="auto"/>
        <w:jc w:val="both"/>
        <w:rPr>
          <w:rFonts w:cs="Times New Roman"/>
          <w:sz w:val="22"/>
        </w:rPr>
      </w:pPr>
    </w:p>
    <w:p w:rsidR="008A7405" w:rsidRPr="005F7FF7" w:rsidRDefault="00E145F5" w:rsidP="002F7D69">
      <w:pPr>
        <w:spacing w:line="276" w:lineRule="auto"/>
        <w:jc w:val="both"/>
        <w:rPr>
          <w:rFonts w:cs="Times New Roman"/>
          <w:sz w:val="22"/>
        </w:rPr>
      </w:pPr>
      <w:r>
        <w:rPr>
          <w:rFonts w:cs="Times New Roman"/>
          <w:sz w:val="22"/>
        </w:rPr>
        <w:t>Paper type: Research paper</w:t>
      </w:r>
    </w:p>
    <w:p w:rsidR="008A7405" w:rsidRPr="005F7FF7" w:rsidRDefault="008A7405" w:rsidP="002F7D69">
      <w:pPr>
        <w:spacing w:line="276" w:lineRule="auto"/>
        <w:jc w:val="both"/>
        <w:rPr>
          <w:rFonts w:cs="Times New Roman"/>
          <w:sz w:val="22"/>
        </w:rPr>
      </w:pPr>
    </w:p>
    <w:p w:rsidR="002414B4" w:rsidRPr="005F7FF7" w:rsidRDefault="002414B4" w:rsidP="002F7D69">
      <w:pPr>
        <w:spacing w:line="276" w:lineRule="auto"/>
        <w:jc w:val="both"/>
        <w:rPr>
          <w:rFonts w:cs="Times New Roman"/>
          <w:sz w:val="22"/>
        </w:rPr>
      </w:pPr>
    </w:p>
    <w:p w:rsidR="002414B4" w:rsidRPr="005F7FF7" w:rsidRDefault="002414B4" w:rsidP="002F7D69">
      <w:pPr>
        <w:spacing w:line="276" w:lineRule="auto"/>
        <w:jc w:val="both"/>
        <w:rPr>
          <w:rFonts w:cs="Times New Roman"/>
          <w:sz w:val="22"/>
        </w:rPr>
      </w:pPr>
    </w:p>
    <w:p w:rsidR="002414B4" w:rsidRPr="005F7FF7" w:rsidRDefault="002414B4" w:rsidP="002F7D69">
      <w:pPr>
        <w:spacing w:line="276" w:lineRule="auto"/>
        <w:jc w:val="both"/>
        <w:rPr>
          <w:rFonts w:cs="Times New Roman"/>
          <w:sz w:val="22"/>
        </w:rPr>
      </w:pPr>
    </w:p>
    <w:p w:rsidR="009733A3" w:rsidRPr="00330DD3" w:rsidRDefault="00330DD3" w:rsidP="00330DD3">
      <w:pPr>
        <w:rPr>
          <w:b/>
          <w:sz w:val="22"/>
        </w:rPr>
      </w:pPr>
      <w:bookmarkStart w:id="3" w:name="_Toc383014533"/>
      <w:bookmarkStart w:id="4" w:name="_Toc383249577"/>
      <w:r w:rsidRPr="00330DD3">
        <w:rPr>
          <w:b/>
          <w:sz w:val="22"/>
        </w:rPr>
        <w:t xml:space="preserve">1. </w:t>
      </w:r>
      <w:r w:rsidR="008A7405" w:rsidRPr="00330DD3">
        <w:rPr>
          <w:b/>
          <w:sz w:val="22"/>
        </w:rPr>
        <w:t>I</w:t>
      </w:r>
      <w:bookmarkEnd w:id="3"/>
      <w:bookmarkEnd w:id="4"/>
      <w:r w:rsidR="00DD0FB4" w:rsidRPr="00330DD3">
        <w:rPr>
          <w:b/>
          <w:sz w:val="22"/>
        </w:rPr>
        <w:t>ntroduction</w:t>
      </w:r>
    </w:p>
    <w:p w:rsidR="00E865C4" w:rsidRPr="005F7FF7" w:rsidRDefault="00E865C4" w:rsidP="00E865C4">
      <w:pPr>
        <w:ind w:firstLine="720"/>
        <w:jc w:val="both"/>
        <w:rPr>
          <w:rFonts w:cs="Times New Roman"/>
          <w:sz w:val="22"/>
        </w:rPr>
      </w:pPr>
    </w:p>
    <w:p w:rsidR="004B07BD" w:rsidRPr="005F7FF7" w:rsidRDefault="002921B7" w:rsidP="004B07BD">
      <w:pPr>
        <w:spacing w:line="360" w:lineRule="auto"/>
        <w:ind w:firstLine="431"/>
        <w:jc w:val="both"/>
        <w:rPr>
          <w:rFonts w:cs="Times New Roman"/>
          <w:sz w:val="22"/>
        </w:rPr>
      </w:pPr>
      <w:r w:rsidRPr="005F7FF7">
        <w:rPr>
          <w:rFonts w:cs="Times New Roman"/>
          <w:sz w:val="22"/>
        </w:rPr>
        <w:t>In this paper</w:t>
      </w:r>
      <w:r w:rsidR="00D33C89" w:rsidRPr="005F7FF7">
        <w:rPr>
          <w:rFonts w:cs="Times New Roman"/>
          <w:sz w:val="22"/>
        </w:rPr>
        <w:t xml:space="preserve">, we </w:t>
      </w:r>
      <w:r w:rsidR="00B34FF9" w:rsidRPr="005F7FF7">
        <w:rPr>
          <w:rFonts w:cs="Times New Roman"/>
          <w:sz w:val="22"/>
        </w:rPr>
        <w:t>see</w:t>
      </w:r>
      <w:r w:rsidR="00530A4A" w:rsidRPr="005F7FF7">
        <w:rPr>
          <w:rFonts w:cs="Times New Roman"/>
          <w:sz w:val="22"/>
        </w:rPr>
        <w:t>k</w:t>
      </w:r>
      <w:r w:rsidR="00B34FF9" w:rsidRPr="005F7FF7">
        <w:rPr>
          <w:rFonts w:cs="Times New Roman"/>
          <w:sz w:val="22"/>
        </w:rPr>
        <w:t xml:space="preserve"> to contribute to the extant corporate governance (CG) and earnings management (EM) literature by </w:t>
      </w:r>
      <w:r w:rsidR="00A43ECD" w:rsidRPr="005F7FF7">
        <w:rPr>
          <w:rFonts w:cs="Times New Roman"/>
          <w:sz w:val="22"/>
        </w:rPr>
        <w:t xml:space="preserve">distinctively </w:t>
      </w:r>
      <w:r w:rsidR="00D33C89" w:rsidRPr="005F7FF7">
        <w:rPr>
          <w:rFonts w:cs="Times New Roman"/>
          <w:sz w:val="22"/>
        </w:rPr>
        <w:t>examin</w:t>
      </w:r>
      <w:r w:rsidR="00B34FF9" w:rsidRPr="005F7FF7">
        <w:rPr>
          <w:rFonts w:cs="Times New Roman"/>
          <w:sz w:val="22"/>
        </w:rPr>
        <w:t>ing</w:t>
      </w:r>
      <w:r w:rsidR="00D33C89" w:rsidRPr="005F7FF7">
        <w:rPr>
          <w:rFonts w:cs="Times New Roman"/>
          <w:sz w:val="22"/>
        </w:rPr>
        <w:t xml:space="preserve"> how and why a firm’</w:t>
      </w:r>
      <w:r w:rsidRPr="005F7FF7">
        <w:rPr>
          <w:rFonts w:cs="Times New Roman"/>
          <w:sz w:val="22"/>
        </w:rPr>
        <w:t xml:space="preserve">s CG </w:t>
      </w:r>
      <w:r w:rsidR="0029239A" w:rsidRPr="005F7FF7">
        <w:rPr>
          <w:rFonts w:cs="Times New Roman"/>
          <w:sz w:val="22"/>
        </w:rPr>
        <w:t xml:space="preserve">and Islamic </w:t>
      </w:r>
      <w:r w:rsidR="00B34FF9" w:rsidRPr="005F7FF7">
        <w:rPr>
          <w:rFonts w:cs="Times New Roman"/>
          <w:sz w:val="22"/>
        </w:rPr>
        <w:t xml:space="preserve">governance </w:t>
      </w:r>
      <w:r w:rsidR="0029239A" w:rsidRPr="005F7FF7">
        <w:rPr>
          <w:rFonts w:cs="Times New Roman"/>
          <w:sz w:val="22"/>
        </w:rPr>
        <w:t>(IG)</w:t>
      </w:r>
      <w:r w:rsidR="00883A76" w:rsidRPr="005F7FF7">
        <w:rPr>
          <w:rFonts w:cs="Times New Roman"/>
          <w:sz w:val="22"/>
        </w:rPr>
        <w:t xml:space="preserve"> </w:t>
      </w:r>
      <w:r w:rsidRPr="005F7FF7">
        <w:rPr>
          <w:rFonts w:cs="Times New Roman"/>
          <w:sz w:val="22"/>
        </w:rPr>
        <w:t>mechanisms may influence its EM practices. Specifically, we investigate the extent to which a broad composite CG index</w:t>
      </w:r>
      <w:r w:rsidR="00D33C89" w:rsidRPr="005F7FF7">
        <w:rPr>
          <w:rFonts w:cs="Times New Roman"/>
          <w:sz w:val="22"/>
        </w:rPr>
        <w:t xml:space="preserve">, </w:t>
      </w:r>
      <w:r w:rsidR="0029239A" w:rsidRPr="005F7FF7">
        <w:rPr>
          <w:rFonts w:cs="Times New Roman"/>
          <w:sz w:val="22"/>
        </w:rPr>
        <w:t>IG committee</w:t>
      </w:r>
      <w:r w:rsidRPr="005F7FF7">
        <w:rPr>
          <w:rFonts w:cs="Times New Roman"/>
          <w:sz w:val="22"/>
        </w:rPr>
        <w:t xml:space="preserve"> and </w:t>
      </w:r>
      <w:r w:rsidR="00CD2FC6">
        <w:rPr>
          <w:rFonts w:cs="Times New Roman"/>
          <w:sz w:val="22"/>
        </w:rPr>
        <w:t>other CG variables</w:t>
      </w:r>
      <w:r w:rsidRPr="005F7FF7">
        <w:rPr>
          <w:rFonts w:cs="Times New Roman"/>
          <w:sz w:val="22"/>
        </w:rPr>
        <w:t xml:space="preserve"> can explain </w:t>
      </w:r>
      <w:r w:rsidR="00D33C89" w:rsidRPr="005F7FF7">
        <w:rPr>
          <w:rFonts w:cs="Times New Roman"/>
          <w:sz w:val="22"/>
        </w:rPr>
        <w:t>observable changes in firm</w:t>
      </w:r>
      <w:r w:rsidRPr="005F7FF7">
        <w:rPr>
          <w:rFonts w:cs="Times New Roman"/>
          <w:sz w:val="22"/>
        </w:rPr>
        <w:t>-level EM</w:t>
      </w:r>
      <w:r w:rsidR="00D33C89" w:rsidRPr="005F7FF7">
        <w:rPr>
          <w:rFonts w:cs="Times New Roman"/>
          <w:sz w:val="22"/>
        </w:rPr>
        <w:t xml:space="preserve"> in Oman</w:t>
      </w:r>
      <w:r w:rsidRPr="005F7FF7">
        <w:rPr>
          <w:rFonts w:cs="Times New Roman"/>
          <w:sz w:val="22"/>
        </w:rPr>
        <w:t>.</w:t>
      </w:r>
    </w:p>
    <w:p w:rsidR="007C7AFF" w:rsidRPr="005F7FF7" w:rsidRDefault="00CD77BF" w:rsidP="004B07BD">
      <w:pPr>
        <w:spacing w:line="360" w:lineRule="auto"/>
        <w:ind w:firstLine="431"/>
        <w:jc w:val="both"/>
        <w:rPr>
          <w:rFonts w:cs="Times New Roman"/>
          <w:sz w:val="22"/>
        </w:rPr>
      </w:pPr>
      <w:r w:rsidRPr="005F7FF7">
        <w:rPr>
          <w:rFonts w:cs="Times New Roman"/>
          <w:sz w:val="22"/>
        </w:rPr>
        <w:t xml:space="preserve">Although a number of previous studies have examined the association between CG and </w:t>
      </w:r>
      <w:r w:rsidR="007F364C" w:rsidRPr="005F7FF7">
        <w:rPr>
          <w:rFonts w:cs="Times New Roman"/>
          <w:sz w:val="22"/>
        </w:rPr>
        <w:t xml:space="preserve">corporate </w:t>
      </w:r>
      <w:r w:rsidRPr="005F7FF7">
        <w:rPr>
          <w:rFonts w:cs="Times New Roman"/>
          <w:sz w:val="22"/>
        </w:rPr>
        <w:t xml:space="preserve">EM </w:t>
      </w:r>
      <w:r w:rsidR="007F364C" w:rsidRPr="005F7FF7">
        <w:rPr>
          <w:rFonts w:cs="Times New Roman"/>
          <w:sz w:val="22"/>
        </w:rPr>
        <w:t xml:space="preserve">practices </w:t>
      </w:r>
      <w:r w:rsidRPr="005F7FF7">
        <w:rPr>
          <w:rFonts w:cs="Times New Roman"/>
          <w:sz w:val="22"/>
        </w:rPr>
        <w:t>(Chung et al., 2002; Klein, 2002; Xie et al., 2003; Chen &amp; Zhang, 2012; Leventis &amp; Dimitropoulos, 2012; Anglin et al., 2013; Albu &amp; Girbin, 2015)</w:t>
      </w:r>
      <w:r w:rsidR="00CA41F3" w:rsidRPr="005F7FF7">
        <w:rPr>
          <w:rFonts w:cs="Times New Roman"/>
          <w:sz w:val="22"/>
        </w:rPr>
        <w:t>, a careful evalu</w:t>
      </w:r>
      <w:r w:rsidR="00967C47" w:rsidRPr="005F7FF7">
        <w:rPr>
          <w:rFonts w:cs="Times New Roman"/>
          <w:sz w:val="22"/>
        </w:rPr>
        <w:t>ation of this literature reveals</w:t>
      </w:r>
      <w:r w:rsidR="00CA41F3" w:rsidRPr="005F7FF7">
        <w:rPr>
          <w:rFonts w:cs="Times New Roman"/>
          <w:sz w:val="22"/>
        </w:rPr>
        <w:t xml:space="preserve"> a number of weaknesses. First, </w:t>
      </w:r>
      <w:r w:rsidR="004B07BD" w:rsidRPr="005F7FF7">
        <w:rPr>
          <w:rFonts w:cs="Times New Roman"/>
          <w:sz w:val="22"/>
        </w:rPr>
        <w:t xml:space="preserve">despite increasing evidence that CG mechanisms underpinned by </w:t>
      </w:r>
      <w:r w:rsidR="00302D67" w:rsidRPr="005F7FF7">
        <w:rPr>
          <w:rFonts w:cs="Times New Roman"/>
          <w:sz w:val="22"/>
        </w:rPr>
        <w:t xml:space="preserve">agency driven </w:t>
      </w:r>
      <w:r w:rsidR="003C4D19" w:rsidRPr="005F7FF7">
        <w:rPr>
          <w:rFonts w:cs="Times New Roman"/>
          <w:sz w:val="22"/>
        </w:rPr>
        <w:t xml:space="preserve">rational/opportunistic </w:t>
      </w:r>
      <w:r w:rsidR="004B07BD" w:rsidRPr="005F7FF7">
        <w:rPr>
          <w:rFonts w:cs="Times New Roman"/>
          <w:sz w:val="22"/>
        </w:rPr>
        <w:t xml:space="preserve">economic motives and formal structures </w:t>
      </w:r>
      <w:r w:rsidR="003C4D19" w:rsidRPr="005F7FF7">
        <w:rPr>
          <w:rFonts w:cs="Times New Roman"/>
          <w:sz w:val="22"/>
        </w:rPr>
        <w:t xml:space="preserve">alone </w:t>
      </w:r>
      <w:r w:rsidR="004B07BD" w:rsidRPr="005F7FF7">
        <w:rPr>
          <w:rFonts w:cs="Times New Roman"/>
          <w:sz w:val="22"/>
        </w:rPr>
        <w:t>may not be able to fully explain underlying managerial motivations for engaging in EM (Daily et al., 2003; Hambrick et al., 2008) and thus new theoretical perspective</w:t>
      </w:r>
      <w:r w:rsidR="00302D67" w:rsidRPr="005F7FF7">
        <w:rPr>
          <w:rFonts w:cs="Times New Roman"/>
          <w:sz w:val="22"/>
        </w:rPr>
        <w:t>s, such as behavioural theory,</w:t>
      </w:r>
      <w:r w:rsidR="004B07BD" w:rsidRPr="005F7FF7">
        <w:rPr>
          <w:rFonts w:cs="Times New Roman"/>
          <w:sz w:val="22"/>
        </w:rPr>
        <w:t xml:space="preserve"> may need to be considered (Gabrielsson &amp; Huse, 2004; van Ees et al., 2009; Huse et al., 2011), existing studies</w:t>
      </w:r>
      <w:r w:rsidR="00205BE4" w:rsidRPr="005F7FF7">
        <w:rPr>
          <w:rFonts w:cs="Times New Roman"/>
          <w:sz w:val="22"/>
        </w:rPr>
        <w:t xml:space="preserve"> are </w:t>
      </w:r>
      <w:r w:rsidR="00302D67" w:rsidRPr="005F7FF7">
        <w:rPr>
          <w:rFonts w:cs="Times New Roman"/>
          <w:sz w:val="22"/>
        </w:rPr>
        <w:t xml:space="preserve">still overhemingly informed by the ubiquitous agency theoretical perspective </w:t>
      </w:r>
      <w:r w:rsidR="00205BE4" w:rsidRPr="005F7FF7">
        <w:rPr>
          <w:rFonts w:cs="Times New Roman"/>
          <w:sz w:val="22"/>
        </w:rPr>
        <w:t xml:space="preserve">(Davidson et al., 2005; Mitra &amp; Cready, 2005; Lin et al., 2006; Rahman &amp; Ali, 2006; Jaggi &amp; Tsui, 2007; </w:t>
      </w:r>
      <w:r w:rsidR="0062768B" w:rsidRPr="005F7FF7">
        <w:rPr>
          <w:rFonts w:cs="Times New Roman"/>
          <w:sz w:val="22"/>
        </w:rPr>
        <w:t>Jiraporn &amp; Gleason, 2007</w:t>
      </w:r>
      <w:r w:rsidR="00205BE4" w:rsidRPr="005F7FF7">
        <w:rPr>
          <w:rFonts w:cs="Times New Roman"/>
          <w:sz w:val="22"/>
        </w:rPr>
        <w:t>)</w:t>
      </w:r>
      <w:r w:rsidR="00302D67" w:rsidRPr="005F7FF7">
        <w:rPr>
          <w:rFonts w:cs="Times New Roman"/>
          <w:sz w:val="22"/>
        </w:rPr>
        <w:t>.</w:t>
      </w:r>
      <w:r w:rsidR="004B07BD" w:rsidRPr="005F7FF7">
        <w:rPr>
          <w:rFonts w:cs="Times New Roman"/>
          <w:sz w:val="22"/>
        </w:rPr>
        <w:t xml:space="preserve"> </w:t>
      </w:r>
    </w:p>
    <w:p w:rsidR="004B07BD" w:rsidRPr="005F7FF7" w:rsidRDefault="0005722B" w:rsidP="004B07BD">
      <w:pPr>
        <w:spacing w:line="360" w:lineRule="auto"/>
        <w:ind w:firstLine="431"/>
        <w:jc w:val="both"/>
        <w:rPr>
          <w:rFonts w:cs="Times New Roman"/>
          <w:sz w:val="22"/>
        </w:rPr>
      </w:pPr>
      <w:r w:rsidRPr="005F7FF7">
        <w:rPr>
          <w:rFonts w:cs="Times New Roman"/>
          <w:sz w:val="22"/>
        </w:rPr>
        <w:t>Second</w:t>
      </w:r>
      <w:r w:rsidR="0029239A" w:rsidRPr="005F7FF7">
        <w:rPr>
          <w:rFonts w:cs="Times New Roman"/>
          <w:sz w:val="22"/>
        </w:rPr>
        <w:t>, Judge (2010)</w:t>
      </w:r>
      <w:r w:rsidR="002F7DA7" w:rsidRPr="005F7FF7">
        <w:rPr>
          <w:rFonts w:cs="Times New Roman"/>
          <w:sz w:val="22"/>
        </w:rPr>
        <w:t xml:space="preserve"> shows that </w:t>
      </w:r>
      <w:r w:rsidR="007C7AFF" w:rsidRPr="005F7FF7">
        <w:rPr>
          <w:rFonts w:cs="Times New Roman"/>
          <w:sz w:val="22"/>
        </w:rPr>
        <w:t xml:space="preserve">the extent to which </w:t>
      </w:r>
      <w:r w:rsidR="002F7DA7" w:rsidRPr="005F7FF7">
        <w:rPr>
          <w:rFonts w:cs="Times New Roman"/>
          <w:sz w:val="22"/>
        </w:rPr>
        <w:t>formal and informal CG structures</w:t>
      </w:r>
      <w:r w:rsidR="007C7AFF" w:rsidRPr="005F7FF7">
        <w:rPr>
          <w:rFonts w:cs="Times New Roman"/>
          <w:sz w:val="22"/>
        </w:rPr>
        <w:t>/rules</w:t>
      </w:r>
      <w:r w:rsidR="002F7DA7" w:rsidRPr="005F7FF7">
        <w:rPr>
          <w:rFonts w:cs="Times New Roman"/>
          <w:sz w:val="22"/>
        </w:rPr>
        <w:t xml:space="preserve"> </w:t>
      </w:r>
      <w:r w:rsidR="007C7AFF" w:rsidRPr="005F7FF7">
        <w:rPr>
          <w:rFonts w:cs="Times New Roman"/>
          <w:sz w:val="22"/>
        </w:rPr>
        <w:t xml:space="preserve">are used </w:t>
      </w:r>
      <w:r w:rsidR="002F7DA7" w:rsidRPr="005F7FF7">
        <w:rPr>
          <w:rFonts w:cs="Times New Roman"/>
          <w:sz w:val="22"/>
        </w:rPr>
        <w:t>differ around</w:t>
      </w:r>
      <w:r w:rsidR="007C7AFF" w:rsidRPr="005F7FF7">
        <w:rPr>
          <w:rFonts w:cs="Times New Roman"/>
          <w:sz w:val="22"/>
        </w:rPr>
        <w:t xml:space="preserve"> the world. For example, equity markets tend to be the main CG mechanisms in Anglo-Saxon economies </w:t>
      </w:r>
      <w:r w:rsidR="004D1784" w:rsidRPr="005F7FF7">
        <w:rPr>
          <w:rFonts w:cs="Times New Roman"/>
          <w:sz w:val="22"/>
        </w:rPr>
        <w:t xml:space="preserve">(e.g., UK and US) </w:t>
      </w:r>
      <w:r w:rsidR="007C7AFF" w:rsidRPr="005F7FF7">
        <w:rPr>
          <w:rFonts w:cs="Times New Roman"/>
          <w:sz w:val="22"/>
        </w:rPr>
        <w:t>compared with concentrated ownership structures in Continental European</w:t>
      </w:r>
      <w:r w:rsidR="003C4D19" w:rsidRPr="005F7FF7">
        <w:rPr>
          <w:rFonts w:cs="Times New Roman"/>
          <w:sz w:val="22"/>
        </w:rPr>
        <w:t xml:space="preserve"> (e.g., German and Italy)</w:t>
      </w:r>
      <w:r w:rsidR="00B82EF5" w:rsidRPr="005F7FF7">
        <w:rPr>
          <w:rFonts w:cs="Times New Roman"/>
          <w:sz w:val="22"/>
        </w:rPr>
        <w:t>, African</w:t>
      </w:r>
      <w:r w:rsidR="003C4D19" w:rsidRPr="005F7FF7">
        <w:rPr>
          <w:rFonts w:cs="Times New Roman"/>
          <w:sz w:val="22"/>
        </w:rPr>
        <w:t xml:space="preserve"> (e.g., South Africa and Nigeria)</w:t>
      </w:r>
      <w:r w:rsidR="007C7AFF" w:rsidRPr="005F7FF7">
        <w:rPr>
          <w:rFonts w:cs="Times New Roman"/>
          <w:sz w:val="22"/>
        </w:rPr>
        <w:t xml:space="preserve"> and Asian </w:t>
      </w:r>
      <w:r w:rsidR="003C4D19" w:rsidRPr="005F7FF7">
        <w:rPr>
          <w:rFonts w:cs="Times New Roman"/>
          <w:sz w:val="22"/>
        </w:rPr>
        <w:t xml:space="preserve">(e.g., Malaysia and Singapore) </w:t>
      </w:r>
      <w:r w:rsidR="007C7AFF" w:rsidRPr="005F7FF7">
        <w:rPr>
          <w:rFonts w:cs="Times New Roman"/>
          <w:sz w:val="22"/>
        </w:rPr>
        <w:t xml:space="preserve">economies. </w:t>
      </w:r>
      <w:r w:rsidR="00FD6235" w:rsidRPr="005F7FF7">
        <w:rPr>
          <w:rFonts w:cs="Times New Roman"/>
          <w:sz w:val="22"/>
        </w:rPr>
        <w:t xml:space="preserve">Similarly, </w:t>
      </w:r>
      <w:r w:rsidR="007C7AFF" w:rsidRPr="005F7FF7">
        <w:rPr>
          <w:rFonts w:cs="Times New Roman"/>
          <w:sz w:val="22"/>
        </w:rPr>
        <w:t>CG structures in Scandinavian economies</w:t>
      </w:r>
      <w:r w:rsidR="003C4D19" w:rsidRPr="005F7FF7">
        <w:rPr>
          <w:rFonts w:cs="Times New Roman"/>
          <w:sz w:val="22"/>
        </w:rPr>
        <w:t xml:space="preserve"> (e.g., Norway and Sweden)</w:t>
      </w:r>
      <w:r w:rsidR="007C7AFF" w:rsidRPr="005F7FF7">
        <w:rPr>
          <w:rFonts w:cs="Times New Roman"/>
          <w:sz w:val="22"/>
        </w:rPr>
        <w:t xml:space="preserve"> are dominated by social norms rooted in egalitarianism/utopia</w:t>
      </w:r>
      <w:r w:rsidR="00FD6235" w:rsidRPr="005F7FF7">
        <w:rPr>
          <w:rFonts w:cs="Times New Roman"/>
          <w:sz w:val="22"/>
        </w:rPr>
        <w:t xml:space="preserve">nism cormpared with Shariah law in Isamic </w:t>
      </w:r>
      <w:r w:rsidR="003C4D19" w:rsidRPr="005F7FF7">
        <w:rPr>
          <w:rFonts w:cs="Times New Roman"/>
          <w:sz w:val="22"/>
        </w:rPr>
        <w:t xml:space="preserve">(e.g., </w:t>
      </w:r>
      <w:r w:rsidR="00A3407D" w:rsidRPr="005F7FF7">
        <w:rPr>
          <w:rFonts w:cs="Times New Roman"/>
          <w:sz w:val="22"/>
        </w:rPr>
        <w:t xml:space="preserve">Oman and </w:t>
      </w:r>
      <w:r w:rsidR="003C4D19" w:rsidRPr="005F7FF7">
        <w:rPr>
          <w:rFonts w:cs="Times New Roman"/>
          <w:sz w:val="22"/>
        </w:rPr>
        <w:t xml:space="preserve">Saudi Arabia) </w:t>
      </w:r>
      <w:r w:rsidR="00FD6235" w:rsidRPr="005F7FF7">
        <w:rPr>
          <w:rFonts w:cs="Times New Roman"/>
          <w:sz w:val="22"/>
        </w:rPr>
        <w:t>countries.</w:t>
      </w:r>
      <w:r w:rsidR="00125301" w:rsidRPr="005F7FF7">
        <w:rPr>
          <w:rFonts w:cs="Times New Roman"/>
          <w:sz w:val="22"/>
        </w:rPr>
        <w:t xml:space="preserve"> In transition economies</w:t>
      </w:r>
      <w:r w:rsidR="003C4D19" w:rsidRPr="005F7FF7">
        <w:rPr>
          <w:rFonts w:cs="Times New Roman"/>
          <w:sz w:val="22"/>
        </w:rPr>
        <w:t xml:space="preserve"> (e.g., China and Russia)</w:t>
      </w:r>
      <w:r w:rsidR="00125301" w:rsidRPr="005F7FF7">
        <w:rPr>
          <w:rFonts w:cs="Times New Roman"/>
          <w:sz w:val="22"/>
        </w:rPr>
        <w:t xml:space="preserve">, however, </w:t>
      </w:r>
      <w:r w:rsidR="00181D3B" w:rsidRPr="005F7FF7">
        <w:rPr>
          <w:rFonts w:cs="Times New Roman"/>
          <w:sz w:val="22"/>
        </w:rPr>
        <w:t xml:space="preserve">the </w:t>
      </w:r>
      <w:r w:rsidR="00125301" w:rsidRPr="005F7FF7">
        <w:rPr>
          <w:rFonts w:cs="Times New Roman"/>
          <w:sz w:val="22"/>
        </w:rPr>
        <w:t xml:space="preserve">primary CG mechanism is </w:t>
      </w:r>
      <w:r w:rsidR="00A92AEE">
        <w:rPr>
          <w:rFonts w:cs="Times New Roman"/>
          <w:sz w:val="22"/>
        </w:rPr>
        <w:t xml:space="preserve">often </w:t>
      </w:r>
      <w:r w:rsidR="00125301" w:rsidRPr="005F7FF7">
        <w:rPr>
          <w:rFonts w:cs="Times New Roman"/>
          <w:sz w:val="22"/>
        </w:rPr>
        <w:t>the stat</w:t>
      </w:r>
      <w:r w:rsidR="00A3407D" w:rsidRPr="005F7FF7">
        <w:rPr>
          <w:rFonts w:cs="Times New Roman"/>
          <w:sz w:val="22"/>
        </w:rPr>
        <w:t xml:space="preserve">e/informal networks, whilst </w:t>
      </w:r>
      <w:r w:rsidR="00181D3B" w:rsidRPr="005F7FF7">
        <w:rPr>
          <w:rFonts w:cs="Times New Roman"/>
          <w:sz w:val="22"/>
        </w:rPr>
        <w:t xml:space="preserve">in </w:t>
      </w:r>
      <w:r w:rsidR="00A3407D" w:rsidRPr="005F7FF7">
        <w:rPr>
          <w:rFonts w:cs="Times New Roman"/>
          <w:sz w:val="22"/>
        </w:rPr>
        <w:t>other</w:t>
      </w:r>
      <w:r w:rsidR="00181D3B" w:rsidRPr="005F7FF7">
        <w:rPr>
          <w:rFonts w:cs="Times New Roman"/>
          <w:sz w:val="22"/>
        </w:rPr>
        <w:t xml:space="preserve"> countries (e.g., </w:t>
      </w:r>
      <w:r w:rsidR="00125301" w:rsidRPr="005F7FF7">
        <w:rPr>
          <w:rFonts w:cs="Times New Roman"/>
          <w:sz w:val="22"/>
        </w:rPr>
        <w:t xml:space="preserve">India, </w:t>
      </w:r>
      <w:r w:rsidR="00D93E1A">
        <w:rPr>
          <w:rFonts w:cs="Times New Roman"/>
          <w:sz w:val="22"/>
        </w:rPr>
        <w:t xml:space="preserve">South </w:t>
      </w:r>
      <w:r w:rsidR="00125301" w:rsidRPr="005F7FF7">
        <w:rPr>
          <w:rFonts w:cs="Times New Roman"/>
          <w:sz w:val="22"/>
        </w:rPr>
        <w:t>Korea and Japan</w:t>
      </w:r>
      <w:r w:rsidR="00181D3B" w:rsidRPr="005F7FF7">
        <w:rPr>
          <w:rFonts w:cs="Times New Roman"/>
          <w:sz w:val="22"/>
        </w:rPr>
        <w:t>)</w:t>
      </w:r>
      <w:r w:rsidR="00125301" w:rsidRPr="005F7FF7">
        <w:rPr>
          <w:rFonts w:cs="Times New Roman"/>
          <w:sz w:val="22"/>
        </w:rPr>
        <w:t>, busine</w:t>
      </w:r>
      <w:r w:rsidR="0062768B" w:rsidRPr="005F7FF7">
        <w:rPr>
          <w:rFonts w:cs="Times New Roman"/>
          <w:sz w:val="22"/>
        </w:rPr>
        <w:t xml:space="preserve">ss groups tend to be the main CG </w:t>
      </w:r>
      <w:r w:rsidR="00A3407D" w:rsidRPr="005F7FF7">
        <w:rPr>
          <w:rFonts w:cs="Times New Roman"/>
          <w:sz w:val="22"/>
        </w:rPr>
        <w:t>mechanism</w:t>
      </w:r>
      <w:r w:rsidR="00125301" w:rsidRPr="005F7FF7">
        <w:rPr>
          <w:rFonts w:cs="Times New Roman"/>
          <w:sz w:val="22"/>
        </w:rPr>
        <w:t xml:space="preserve">. </w:t>
      </w:r>
      <w:r w:rsidR="008551E0" w:rsidRPr="005F7FF7">
        <w:rPr>
          <w:rFonts w:cs="Times New Roman"/>
          <w:sz w:val="22"/>
        </w:rPr>
        <w:t xml:space="preserve">Despite these differences in CG </w:t>
      </w:r>
      <w:r w:rsidR="00DB0D20" w:rsidRPr="005F7FF7">
        <w:rPr>
          <w:rFonts w:cs="Times New Roman"/>
          <w:sz w:val="22"/>
        </w:rPr>
        <w:t xml:space="preserve">arrangements around the world, </w:t>
      </w:r>
      <w:r w:rsidR="00BA7FE6" w:rsidRPr="005F7FF7">
        <w:rPr>
          <w:rFonts w:cs="Times New Roman"/>
          <w:sz w:val="22"/>
        </w:rPr>
        <w:t>existing studies have focused</w:t>
      </w:r>
      <w:r w:rsidR="00DB0D20" w:rsidRPr="005F7FF7">
        <w:rPr>
          <w:rFonts w:cs="Times New Roman"/>
          <w:sz w:val="22"/>
        </w:rPr>
        <w:t xml:space="preserve"> disproportionately </w:t>
      </w:r>
      <w:r w:rsidR="00BA7FE6" w:rsidRPr="005F7FF7">
        <w:rPr>
          <w:rFonts w:cs="Times New Roman"/>
          <w:sz w:val="22"/>
        </w:rPr>
        <w:t xml:space="preserve">on evaluating the effect of Anglo-American CG mechanisms on EM to the neglect of the others </w:t>
      </w:r>
      <w:r w:rsidR="0062768B" w:rsidRPr="005F7FF7">
        <w:rPr>
          <w:rFonts w:cs="Times New Roman"/>
          <w:sz w:val="22"/>
        </w:rPr>
        <w:t>(Epps &amp; Ismail, 2009; Ghosh et al., 2010; Lo et al., 2010; Bekiris &amp; Doukakis, 2011; Alves, 2012</w:t>
      </w:r>
      <w:r w:rsidR="00BA7FE6" w:rsidRPr="005F7FF7">
        <w:rPr>
          <w:rFonts w:cs="Times New Roman"/>
          <w:sz w:val="22"/>
        </w:rPr>
        <w:t>), and thereby</w:t>
      </w:r>
      <w:r w:rsidR="008C7085" w:rsidRPr="005F7FF7">
        <w:rPr>
          <w:rFonts w:cs="Times New Roman"/>
          <w:sz w:val="22"/>
        </w:rPr>
        <w:t xml:space="preserve"> arguably</w:t>
      </w:r>
      <w:r w:rsidR="00BA7FE6" w:rsidRPr="005F7FF7">
        <w:rPr>
          <w:rFonts w:cs="Times New Roman"/>
          <w:sz w:val="22"/>
        </w:rPr>
        <w:t xml:space="preserve"> impairing current understanding of the impact of CG on EM in different economies.</w:t>
      </w:r>
    </w:p>
    <w:p w:rsidR="00A70CF9" w:rsidRPr="005F7FF7" w:rsidRDefault="00060715" w:rsidP="00682A71">
      <w:pPr>
        <w:spacing w:line="360" w:lineRule="auto"/>
        <w:ind w:firstLine="431"/>
        <w:jc w:val="both"/>
        <w:rPr>
          <w:rFonts w:cs="Times New Roman"/>
          <w:sz w:val="22"/>
        </w:rPr>
      </w:pPr>
      <w:r w:rsidRPr="005F7FF7">
        <w:rPr>
          <w:rFonts w:cs="Times New Roman"/>
          <w:sz w:val="22"/>
        </w:rPr>
        <w:t>Third</w:t>
      </w:r>
      <w:r w:rsidR="002F2B11" w:rsidRPr="005F7FF7">
        <w:rPr>
          <w:rFonts w:cs="Times New Roman"/>
          <w:sz w:val="22"/>
        </w:rPr>
        <w:t>, although a number of studies have investigated the link between CG and EM (Schipper, 1989; Healy &amp; Wahlen, 1999; McNichols, 2000; Bowen et al., 2008; Jiang et al., 2008), they are observably concentrated in a few developed countries</w:t>
      </w:r>
      <w:r w:rsidR="004C50B0" w:rsidRPr="005F7FF7">
        <w:rPr>
          <w:rFonts w:cs="Times New Roman"/>
          <w:sz w:val="22"/>
        </w:rPr>
        <w:t>, such as UK and US</w:t>
      </w:r>
      <w:r w:rsidR="00F73A45" w:rsidRPr="005F7FF7">
        <w:rPr>
          <w:rFonts w:cs="Times New Roman"/>
          <w:sz w:val="22"/>
        </w:rPr>
        <w:t>, which tend to have largely similar CG, economic, legal and institutional contexts</w:t>
      </w:r>
      <w:r w:rsidR="002F2B11" w:rsidRPr="005F7FF7">
        <w:rPr>
          <w:rFonts w:cs="Times New Roman"/>
          <w:sz w:val="22"/>
        </w:rPr>
        <w:t xml:space="preserve"> (Chia et al., 2007; Francis &amp; Wang, 2008; Krishnan &amp; Parsons, 2008; Gavious et al., 2012). However, it can be argued that </w:t>
      </w:r>
      <w:r w:rsidR="00F73A45" w:rsidRPr="005F7FF7">
        <w:rPr>
          <w:rFonts w:cs="Times New Roman"/>
          <w:sz w:val="22"/>
        </w:rPr>
        <w:t xml:space="preserve">in </w:t>
      </w:r>
      <w:r w:rsidR="002F2B11" w:rsidRPr="005F7FF7">
        <w:rPr>
          <w:rFonts w:cs="Times New Roman"/>
          <w:sz w:val="22"/>
        </w:rPr>
        <w:t>developing countries, such as Oman</w:t>
      </w:r>
      <w:r w:rsidR="00F73A45" w:rsidRPr="005F7FF7">
        <w:rPr>
          <w:rFonts w:cs="Times New Roman"/>
          <w:sz w:val="22"/>
        </w:rPr>
        <w:t xml:space="preserve"> with different CG, economic and legal environment, </w:t>
      </w:r>
      <w:r w:rsidR="007A737D" w:rsidRPr="005F7FF7">
        <w:rPr>
          <w:rFonts w:cs="Times New Roman"/>
          <w:sz w:val="22"/>
        </w:rPr>
        <w:t xml:space="preserve">the extent to which </w:t>
      </w:r>
      <w:r w:rsidR="004C50B0" w:rsidRPr="005F7FF7">
        <w:rPr>
          <w:rFonts w:cs="Times New Roman"/>
          <w:sz w:val="22"/>
        </w:rPr>
        <w:t xml:space="preserve">formal </w:t>
      </w:r>
      <w:r w:rsidR="007A737D" w:rsidRPr="005F7FF7">
        <w:rPr>
          <w:rFonts w:cs="Times New Roman"/>
          <w:sz w:val="22"/>
        </w:rPr>
        <w:t xml:space="preserve">CG mechanisms are able to </w:t>
      </w:r>
      <w:r w:rsidR="007A737D" w:rsidRPr="005F7FF7">
        <w:rPr>
          <w:rFonts w:cs="Times New Roman"/>
          <w:sz w:val="22"/>
        </w:rPr>
        <w:lastRenderedPageBreak/>
        <w:t xml:space="preserve">restrain managerial ability to engage in EM </w:t>
      </w:r>
      <w:r w:rsidR="004D1784" w:rsidRPr="005F7FF7">
        <w:rPr>
          <w:rFonts w:cs="Times New Roman"/>
          <w:sz w:val="22"/>
        </w:rPr>
        <w:t>may differ, and thus</w:t>
      </w:r>
      <w:r w:rsidR="007A737D" w:rsidRPr="005F7FF7">
        <w:rPr>
          <w:rFonts w:cs="Times New Roman"/>
          <w:sz w:val="22"/>
        </w:rPr>
        <w:t xml:space="preserve"> </w:t>
      </w:r>
      <w:r w:rsidR="00F73A45" w:rsidRPr="005F7FF7">
        <w:rPr>
          <w:rFonts w:cs="Times New Roman"/>
          <w:sz w:val="22"/>
        </w:rPr>
        <w:t>the associat</w:t>
      </w:r>
      <w:r w:rsidR="007A737D" w:rsidRPr="005F7FF7">
        <w:rPr>
          <w:rFonts w:cs="Times New Roman"/>
          <w:sz w:val="22"/>
        </w:rPr>
        <w:t xml:space="preserve">ion between CG and EM can be expected to vary from the findings of prior studies </w:t>
      </w:r>
      <w:r w:rsidR="00475333">
        <w:rPr>
          <w:rFonts w:cs="Times New Roman"/>
          <w:sz w:val="22"/>
        </w:rPr>
        <w:t xml:space="preserve">that were </w:t>
      </w:r>
      <w:r w:rsidR="007A737D" w:rsidRPr="005F7FF7">
        <w:rPr>
          <w:rFonts w:cs="Times New Roman"/>
          <w:sz w:val="22"/>
        </w:rPr>
        <w:t>conducted in developed countries.</w:t>
      </w:r>
      <w:r w:rsidR="00485F77" w:rsidRPr="005F7FF7">
        <w:rPr>
          <w:rFonts w:cs="Times New Roman"/>
          <w:sz w:val="22"/>
        </w:rPr>
        <w:t xml:space="preserve"> </w:t>
      </w:r>
      <w:r w:rsidR="00297AED" w:rsidRPr="005F7FF7">
        <w:rPr>
          <w:rFonts w:cs="Times New Roman"/>
          <w:sz w:val="22"/>
        </w:rPr>
        <w:t>In particular</w:t>
      </w:r>
      <w:r w:rsidR="004D1784" w:rsidRPr="005F7FF7">
        <w:rPr>
          <w:rFonts w:cs="Times New Roman"/>
          <w:sz w:val="22"/>
        </w:rPr>
        <w:t>,</w:t>
      </w:r>
      <w:r w:rsidR="00297AED" w:rsidRPr="005F7FF7">
        <w:rPr>
          <w:rFonts w:cs="Times New Roman"/>
          <w:sz w:val="22"/>
        </w:rPr>
        <w:t xml:space="preserve"> beha</w:t>
      </w:r>
      <w:r w:rsidR="00A635DE" w:rsidRPr="005F7FF7">
        <w:rPr>
          <w:rFonts w:cs="Times New Roman"/>
          <w:sz w:val="22"/>
        </w:rPr>
        <w:t>vioural theory suggest</w:t>
      </w:r>
      <w:r w:rsidR="00960B50" w:rsidRPr="005F7FF7">
        <w:rPr>
          <w:rFonts w:cs="Times New Roman"/>
          <w:sz w:val="22"/>
        </w:rPr>
        <w:t xml:space="preserve">s </w:t>
      </w:r>
      <w:r w:rsidR="00CB47B3" w:rsidRPr="005F7FF7">
        <w:rPr>
          <w:rFonts w:cs="Times New Roman"/>
          <w:sz w:val="22"/>
        </w:rPr>
        <w:t>that managerial/corporate board</w:t>
      </w:r>
      <w:r w:rsidR="00960B50" w:rsidRPr="005F7FF7">
        <w:rPr>
          <w:rFonts w:cs="Times New Roman"/>
          <w:sz w:val="22"/>
        </w:rPr>
        <w:t xml:space="preserve"> decision-making</w:t>
      </w:r>
      <w:r w:rsidR="00CB47B3" w:rsidRPr="005F7FF7">
        <w:rPr>
          <w:rFonts w:cs="Times New Roman"/>
          <w:sz w:val="22"/>
        </w:rPr>
        <w:t xml:space="preserve"> may</w:t>
      </w:r>
      <w:r w:rsidR="00960B50" w:rsidRPr="005F7FF7">
        <w:rPr>
          <w:rFonts w:cs="Times New Roman"/>
          <w:sz w:val="22"/>
        </w:rPr>
        <w:t xml:space="preserve"> not only</w:t>
      </w:r>
      <w:r w:rsidR="00CB47B3" w:rsidRPr="005F7FF7">
        <w:rPr>
          <w:rFonts w:cs="Times New Roman"/>
          <w:sz w:val="22"/>
        </w:rPr>
        <w:t xml:space="preserve"> be</w:t>
      </w:r>
      <w:r w:rsidR="00960B50" w:rsidRPr="005F7FF7">
        <w:rPr>
          <w:rFonts w:cs="Times New Roman"/>
          <w:sz w:val="22"/>
        </w:rPr>
        <w:t xml:space="preserve"> influenced by their expertise, knowledge and skills, but also</w:t>
      </w:r>
      <w:r w:rsidR="00A635DE" w:rsidRPr="005F7FF7">
        <w:rPr>
          <w:rFonts w:cs="Times New Roman"/>
          <w:sz w:val="22"/>
        </w:rPr>
        <w:t xml:space="preserve"> their experiences, </w:t>
      </w:r>
      <w:r w:rsidR="00E5110D" w:rsidRPr="005F7FF7">
        <w:rPr>
          <w:rFonts w:cs="Times New Roman"/>
          <w:sz w:val="22"/>
        </w:rPr>
        <w:t>beliefs</w:t>
      </w:r>
      <w:r w:rsidR="00960B50" w:rsidRPr="005F7FF7">
        <w:rPr>
          <w:rFonts w:cs="Times New Roman"/>
          <w:sz w:val="22"/>
        </w:rPr>
        <w:t xml:space="preserve"> and</w:t>
      </w:r>
      <w:r w:rsidR="00E5110D" w:rsidRPr="005F7FF7">
        <w:rPr>
          <w:rFonts w:cs="Times New Roman"/>
          <w:sz w:val="22"/>
        </w:rPr>
        <w:t xml:space="preserve"> value</w:t>
      </w:r>
      <w:r w:rsidR="00A635DE" w:rsidRPr="005F7FF7">
        <w:rPr>
          <w:rFonts w:cs="Times New Roman"/>
          <w:sz w:val="22"/>
        </w:rPr>
        <w:t>s (Gabrielsson &amp; Huse, 2004; van Ees et al., 2009; Huse et al., 2011)</w:t>
      </w:r>
      <w:r w:rsidR="00EC61BF" w:rsidRPr="005F7FF7">
        <w:rPr>
          <w:rFonts w:cs="Times New Roman"/>
          <w:sz w:val="22"/>
        </w:rPr>
        <w:t>.</w:t>
      </w:r>
      <w:r w:rsidR="00A70CF9" w:rsidRPr="005F7FF7">
        <w:rPr>
          <w:rFonts w:cs="Times New Roman"/>
          <w:sz w:val="22"/>
        </w:rPr>
        <w:t xml:space="preserve"> </w:t>
      </w:r>
      <w:r w:rsidR="00CB47B3" w:rsidRPr="005F7FF7">
        <w:rPr>
          <w:rFonts w:cs="Times New Roman"/>
          <w:sz w:val="22"/>
        </w:rPr>
        <w:t xml:space="preserve"> </w:t>
      </w:r>
    </w:p>
    <w:p w:rsidR="00C73E36" w:rsidRPr="005F7FF7" w:rsidRDefault="00A70CF9" w:rsidP="00995427">
      <w:pPr>
        <w:spacing w:line="360" w:lineRule="auto"/>
        <w:ind w:firstLine="431"/>
        <w:jc w:val="both"/>
        <w:rPr>
          <w:rFonts w:cs="Times New Roman"/>
          <w:sz w:val="22"/>
        </w:rPr>
      </w:pPr>
      <w:r w:rsidRPr="005F7FF7">
        <w:rPr>
          <w:rFonts w:cs="Times New Roman"/>
          <w:sz w:val="22"/>
        </w:rPr>
        <w:t xml:space="preserve">Indeed, </w:t>
      </w:r>
      <w:r w:rsidR="00304F69">
        <w:rPr>
          <w:rFonts w:cs="Times New Roman"/>
          <w:sz w:val="22"/>
        </w:rPr>
        <w:t>there is</w:t>
      </w:r>
      <w:r w:rsidR="00895F69" w:rsidRPr="005F7FF7">
        <w:rPr>
          <w:rFonts w:cs="Times New Roman"/>
          <w:sz w:val="22"/>
        </w:rPr>
        <w:t xml:space="preserve"> an emerging behavioural literature, which shows that individual/corporate religious</w:t>
      </w:r>
      <w:r w:rsidR="00742890" w:rsidRPr="005F7FF7">
        <w:rPr>
          <w:rFonts w:cs="Times New Roman"/>
          <w:sz w:val="22"/>
        </w:rPr>
        <w:t>/cultural</w:t>
      </w:r>
      <w:r w:rsidR="00895F69" w:rsidRPr="005F7FF7">
        <w:rPr>
          <w:rFonts w:cs="Times New Roman"/>
          <w:sz w:val="22"/>
        </w:rPr>
        <w:t xml:space="preserve"> beliefs can affect their: </w:t>
      </w:r>
      <w:r w:rsidR="00742890" w:rsidRPr="005F7FF7">
        <w:rPr>
          <w:rFonts w:cs="Times New Roman"/>
          <w:sz w:val="22"/>
        </w:rPr>
        <w:t>(i) decision-making (Hilary &amp; Hui, 2009)</w:t>
      </w:r>
      <w:r w:rsidR="00E12B79" w:rsidRPr="005F7FF7">
        <w:rPr>
          <w:rFonts w:cs="Times New Roman"/>
          <w:sz w:val="22"/>
        </w:rPr>
        <w:t xml:space="preserve"> and risk-taking </w:t>
      </w:r>
      <w:r w:rsidR="004C50B0" w:rsidRPr="005F7FF7">
        <w:rPr>
          <w:rFonts w:cs="Times New Roman"/>
          <w:sz w:val="22"/>
        </w:rPr>
        <w:t xml:space="preserve">behaviour </w:t>
      </w:r>
      <w:r w:rsidR="00E12B79" w:rsidRPr="005F7FF7">
        <w:rPr>
          <w:rFonts w:cs="Times New Roman"/>
          <w:sz w:val="22"/>
        </w:rPr>
        <w:t>(Bartke &amp; Schwarze, 2008)</w:t>
      </w:r>
      <w:r w:rsidR="00742890" w:rsidRPr="005F7FF7">
        <w:rPr>
          <w:rFonts w:cs="Times New Roman"/>
          <w:sz w:val="22"/>
        </w:rPr>
        <w:t xml:space="preserve">; </w:t>
      </w:r>
      <w:r w:rsidR="00895F69" w:rsidRPr="005F7FF7">
        <w:rPr>
          <w:rFonts w:cs="Times New Roman"/>
          <w:sz w:val="22"/>
        </w:rPr>
        <w:t>(i</w:t>
      </w:r>
      <w:r w:rsidR="00742890" w:rsidRPr="005F7FF7">
        <w:rPr>
          <w:rFonts w:cs="Times New Roman"/>
          <w:sz w:val="22"/>
        </w:rPr>
        <w:t>i</w:t>
      </w:r>
      <w:r w:rsidR="00895F69" w:rsidRPr="005F7FF7">
        <w:rPr>
          <w:rFonts w:cs="Times New Roman"/>
          <w:sz w:val="22"/>
        </w:rPr>
        <w:t xml:space="preserve">) </w:t>
      </w:r>
      <w:r w:rsidR="00976327" w:rsidRPr="005F7FF7">
        <w:rPr>
          <w:rFonts w:cs="Times New Roman"/>
          <w:sz w:val="22"/>
        </w:rPr>
        <w:t>corporate social responsibility (CSR)</w:t>
      </w:r>
      <w:r w:rsidR="00895F69" w:rsidRPr="005F7FF7">
        <w:rPr>
          <w:rFonts w:cs="Times New Roman"/>
          <w:sz w:val="22"/>
        </w:rPr>
        <w:t xml:space="preserve"> </w:t>
      </w:r>
      <w:r w:rsidRPr="005F7FF7">
        <w:rPr>
          <w:rFonts w:cs="Times New Roman"/>
          <w:sz w:val="22"/>
        </w:rPr>
        <w:t>(Brammer et al., 2007)</w:t>
      </w:r>
      <w:r w:rsidR="00742890" w:rsidRPr="005F7FF7">
        <w:rPr>
          <w:rFonts w:cs="Times New Roman"/>
          <w:sz w:val="22"/>
        </w:rPr>
        <w:t>, equity-pricing (El Ghoul et al.,</w:t>
      </w:r>
      <w:r w:rsidR="004B76CB">
        <w:rPr>
          <w:rFonts w:cs="Times New Roman"/>
          <w:sz w:val="22"/>
        </w:rPr>
        <w:t xml:space="preserve"> 201</w:t>
      </w:r>
      <w:r w:rsidR="00682A71" w:rsidRPr="005F7FF7">
        <w:rPr>
          <w:rFonts w:cs="Times New Roman"/>
          <w:sz w:val="22"/>
        </w:rPr>
        <w:t xml:space="preserve">2), </w:t>
      </w:r>
      <w:r w:rsidR="00742890" w:rsidRPr="005F7FF7">
        <w:rPr>
          <w:rFonts w:cs="Times New Roman"/>
          <w:sz w:val="22"/>
        </w:rPr>
        <w:t>social norms, cohesion and CG (Boytsun et al., 2011)</w:t>
      </w:r>
      <w:r w:rsidR="00682A71" w:rsidRPr="005F7FF7">
        <w:rPr>
          <w:rFonts w:cs="Times New Roman"/>
          <w:sz w:val="22"/>
        </w:rPr>
        <w:t xml:space="preserve"> and corrupt (Mensah 2014)</w:t>
      </w:r>
      <w:r w:rsidR="00356EE3" w:rsidRPr="005F7FF7">
        <w:rPr>
          <w:rFonts w:cs="Times New Roman"/>
          <w:sz w:val="22"/>
        </w:rPr>
        <w:t xml:space="preserve"> practices</w:t>
      </w:r>
      <w:r w:rsidR="00742890" w:rsidRPr="005F7FF7">
        <w:rPr>
          <w:rFonts w:cs="Times New Roman"/>
          <w:sz w:val="22"/>
        </w:rPr>
        <w:t xml:space="preserve">; </w:t>
      </w:r>
      <w:r w:rsidR="00895F69" w:rsidRPr="005F7FF7">
        <w:rPr>
          <w:rFonts w:cs="Times New Roman"/>
          <w:sz w:val="22"/>
        </w:rPr>
        <w:t>(ii</w:t>
      </w:r>
      <w:r w:rsidR="00742890" w:rsidRPr="005F7FF7">
        <w:rPr>
          <w:rFonts w:cs="Times New Roman"/>
          <w:sz w:val="22"/>
        </w:rPr>
        <w:t>i</w:t>
      </w:r>
      <w:r w:rsidR="00895F69" w:rsidRPr="005F7FF7">
        <w:rPr>
          <w:rFonts w:cs="Times New Roman"/>
          <w:sz w:val="22"/>
        </w:rPr>
        <w:t>) willingness to engage in</w:t>
      </w:r>
      <w:r w:rsidRPr="005F7FF7">
        <w:rPr>
          <w:rFonts w:cs="Times New Roman"/>
          <w:sz w:val="22"/>
        </w:rPr>
        <w:t xml:space="preserve"> tunnelling</w:t>
      </w:r>
      <w:r w:rsidR="00742890" w:rsidRPr="005F7FF7">
        <w:rPr>
          <w:rFonts w:cs="Times New Roman"/>
          <w:sz w:val="22"/>
        </w:rPr>
        <w:t>/expropriate</w:t>
      </w:r>
      <w:r w:rsidR="00682A71" w:rsidRPr="005F7FF7">
        <w:rPr>
          <w:rFonts w:cs="Times New Roman"/>
          <w:sz w:val="22"/>
        </w:rPr>
        <w:t xml:space="preserve"> shareholders’ wealth</w:t>
      </w:r>
      <w:r w:rsidRPr="005F7FF7">
        <w:rPr>
          <w:rFonts w:cs="Times New Roman"/>
          <w:sz w:val="22"/>
        </w:rPr>
        <w:t xml:space="preserve"> (Du, </w:t>
      </w:r>
      <w:r w:rsidR="00895F69" w:rsidRPr="005F7FF7">
        <w:rPr>
          <w:rFonts w:cs="Times New Roman"/>
          <w:sz w:val="22"/>
        </w:rPr>
        <w:t>2013, 2014)</w:t>
      </w:r>
      <w:r w:rsidR="00742890" w:rsidRPr="005F7FF7">
        <w:rPr>
          <w:rFonts w:cs="Times New Roman"/>
          <w:sz w:val="22"/>
        </w:rPr>
        <w:t>, evade tax</w:t>
      </w:r>
      <w:r w:rsidRPr="005F7FF7">
        <w:rPr>
          <w:rFonts w:cs="Times New Roman"/>
          <w:sz w:val="22"/>
        </w:rPr>
        <w:t>/</w:t>
      </w:r>
      <w:r w:rsidR="00742890" w:rsidRPr="005F7FF7">
        <w:rPr>
          <w:rFonts w:cs="Times New Roman"/>
          <w:sz w:val="22"/>
        </w:rPr>
        <w:t xml:space="preserve">commit </w:t>
      </w:r>
      <w:r w:rsidRPr="005F7FF7">
        <w:rPr>
          <w:rFonts w:cs="Times New Roman"/>
          <w:sz w:val="22"/>
        </w:rPr>
        <w:t>tax fraud (Stack 2006; Richardson 2008)</w:t>
      </w:r>
      <w:r w:rsidR="00742890" w:rsidRPr="005F7FF7">
        <w:rPr>
          <w:rFonts w:cs="Times New Roman"/>
          <w:sz w:val="22"/>
        </w:rPr>
        <w:t xml:space="preserve">, </w:t>
      </w:r>
      <w:r w:rsidRPr="005F7FF7">
        <w:rPr>
          <w:rFonts w:cs="Times New Roman"/>
          <w:sz w:val="22"/>
        </w:rPr>
        <w:t>financial reporting irregularities (</w:t>
      </w:r>
      <w:r w:rsidR="00995427" w:rsidRPr="005F7FF7">
        <w:rPr>
          <w:rFonts w:cs="Times New Roman"/>
          <w:sz w:val="22"/>
        </w:rPr>
        <w:t>Dyreng et al., 2012</w:t>
      </w:r>
      <w:r w:rsidR="00995427">
        <w:rPr>
          <w:rFonts w:cs="Times New Roman"/>
          <w:sz w:val="22"/>
        </w:rPr>
        <w:t xml:space="preserve">; </w:t>
      </w:r>
      <w:r w:rsidRPr="005F7FF7">
        <w:rPr>
          <w:rFonts w:cs="Times New Roman"/>
          <w:sz w:val="22"/>
        </w:rPr>
        <w:t>McGuire et al., 2</w:t>
      </w:r>
      <w:r w:rsidR="00995427">
        <w:rPr>
          <w:rFonts w:cs="Times New Roman"/>
          <w:sz w:val="22"/>
        </w:rPr>
        <w:t>012</w:t>
      </w:r>
      <w:r w:rsidRPr="005F7FF7">
        <w:rPr>
          <w:rFonts w:cs="Times New Roman"/>
          <w:sz w:val="22"/>
        </w:rPr>
        <w:t>)</w:t>
      </w:r>
      <w:r w:rsidR="00682A71" w:rsidRPr="005F7FF7">
        <w:rPr>
          <w:rFonts w:cs="Times New Roman"/>
          <w:sz w:val="22"/>
        </w:rPr>
        <w:t xml:space="preserve">, </w:t>
      </w:r>
      <w:r w:rsidRPr="005F7FF7">
        <w:rPr>
          <w:rFonts w:cs="Times New Roman"/>
          <w:sz w:val="22"/>
        </w:rPr>
        <w:t>philanthropy (Du et al., 2014)</w:t>
      </w:r>
      <w:r w:rsidR="00682A71" w:rsidRPr="005F7FF7">
        <w:rPr>
          <w:rFonts w:cs="Times New Roman"/>
          <w:sz w:val="22"/>
        </w:rPr>
        <w:t xml:space="preserve"> and EM (Callen et al., 2011; Du et al., 2015; Kanagaretnam et al., 2015)</w:t>
      </w:r>
      <w:r w:rsidR="00E12B79" w:rsidRPr="005F7FF7">
        <w:rPr>
          <w:rFonts w:cs="Times New Roman"/>
          <w:sz w:val="22"/>
        </w:rPr>
        <w:t>.</w:t>
      </w:r>
      <w:r w:rsidR="00BF5AC5" w:rsidRPr="005F7FF7">
        <w:rPr>
          <w:rFonts w:cs="Times New Roman"/>
          <w:sz w:val="22"/>
        </w:rPr>
        <w:t xml:space="preserve"> A major issue</w:t>
      </w:r>
      <w:r w:rsidR="005135D9" w:rsidRPr="005F7FF7">
        <w:rPr>
          <w:rFonts w:cs="Times New Roman"/>
          <w:sz w:val="22"/>
        </w:rPr>
        <w:t xml:space="preserve">, however, is that these studies </w:t>
      </w:r>
      <w:r w:rsidR="00BF5AC5" w:rsidRPr="005F7FF7">
        <w:rPr>
          <w:rFonts w:cs="Times New Roman"/>
          <w:sz w:val="22"/>
        </w:rPr>
        <w:t>have mainly been conducted within the Judo-Christian contexts to the neglect of others, such as Buddhism, Hinduism, Islam and Sikhism.</w:t>
      </w:r>
      <w:r w:rsidR="00976327" w:rsidRPr="005F7FF7">
        <w:rPr>
          <w:rFonts w:cs="Times New Roman"/>
          <w:sz w:val="22"/>
        </w:rPr>
        <w:t xml:space="preserve"> In </w:t>
      </w:r>
      <w:r w:rsidR="00AA61F2" w:rsidRPr="005F7FF7">
        <w:rPr>
          <w:rFonts w:cs="Times New Roman"/>
          <w:sz w:val="22"/>
        </w:rPr>
        <w:t xml:space="preserve">the </w:t>
      </w:r>
      <w:r w:rsidR="00976327" w:rsidRPr="005F7FF7">
        <w:rPr>
          <w:rFonts w:cs="Times New Roman"/>
          <w:sz w:val="22"/>
        </w:rPr>
        <w:t xml:space="preserve">case of </w:t>
      </w:r>
      <w:r w:rsidR="00AA61F2" w:rsidRPr="005F7FF7">
        <w:rPr>
          <w:rFonts w:cs="Times New Roman"/>
          <w:sz w:val="22"/>
        </w:rPr>
        <w:t xml:space="preserve">Islam, </w:t>
      </w:r>
      <w:r w:rsidR="00976327" w:rsidRPr="005F7FF7">
        <w:rPr>
          <w:rFonts w:cs="Times New Roman"/>
          <w:sz w:val="22"/>
        </w:rPr>
        <w:t xml:space="preserve">although there are extensive </w:t>
      </w:r>
      <w:r w:rsidR="00C73E36" w:rsidRPr="005F7FF7">
        <w:rPr>
          <w:rFonts w:cs="Times New Roman"/>
          <w:sz w:val="22"/>
        </w:rPr>
        <w:t>normative</w:t>
      </w:r>
      <w:r w:rsidR="00976327" w:rsidRPr="005F7FF7">
        <w:rPr>
          <w:rFonts w:cs="Times New Roman"/>
          <w:sz w:val="22"/>
        </w:rPr>
        <w:t>/critical reviews relating to the distinctiveness of IG srtuctures</w:t>
      </w:r>
      <w:r w:rsidR="00C73E36" w:rsidRPr="005F7FF7">
        <w:rPr>
          <w:rFonts w:cs="Times New Roman"/>
          <w:sz w:val="22"/>
        </w:rPr>
        <w:t xml:space="preserve"> (Lewis, 2005; Archer et al., 1998; Rahman, 1998; Choudhury &amp; Hoque, 2006; Kamla et al., 2006; </w:t>
      </w:r>
      <w:r w:rsidR="007472E9" w:rsidRPr="005F7FF7">
        <w:rPr>
          <w:rFonts w:cs="Times New Roman"/>
          <w:sz w:val="22"/>
        </w:rPr>
        <w:t>Abu-Tapanjeh, 2009</w:t>
      </w:r>
      <w:r w:rsidR="00102963">
        <w:rPr>
          <w:rFonts w:cs="Times New Roman"/>
          <w:sz w:val="22"/>
        </w:rPr>
        <w:t xml:space="preserve">; </w:t>
      </w:r>
      <w:r w:rsidR="00102963" w:rsidRPr="00102963">
        <w:rPr>
          <w:rFonts w:cs="Times New Roman"/>
          <w:sz w:val="22"/>
        </w:rPr>
        <w:t>Williams &amp; Zinkin, 2010</w:t>
      </w:r>
      <w:r w:rsidR="00976327" w:rsidRPr="00102963">
        <w:rPr>
          <w:rFonts w:cs="Times New Roman"/>
          <w:sz w:val="22"/>
        </w:rPr>
        <w:t>),</w:t>
      </w:r>
      <w:r w:rsidR="00976327" w:rsidRPr="005F7FF7">
        <w:rPr>
          <w:rFonts w:cs="Times New Roman"/>
          <w:sz w:val="22"/>
        </w:rPr>
        <w:t xml:space="preserve"> empirical evidence on how</w:t>
      </w:r>
      <w:r w:rsidR="00C73E36" w:rsidRPr="005F7FF7">
        <w:rPr>
          <w:rFonts w:cs="Times New Roman"/>
          <w:sz w:val="22"/>
        </w:rPr>
        <w:t xml:space="preserve"> </w:t>
      </w:r>
      <w:r w:rsidR="00976327" w:rsidRPr="005F7FF7">
        <w:rPr>
          <w:rFonts w:cs="Times New Roman"/>
          <w:sz w:val="22"/>
        </w:rPr>
        <w:t xml:space="preserve">such IG mechanisms may drive corporate outcomes and practices, such as </w:t>
      </w:r>
      <w:r w:rsidR="000F4F89">
        <w:rPr>
          <w:rFonts w:cs="Times New Roman"/>
          <w:sz w:val="22"/>
        </w:rPr>
        <w:t xml:space="preserve">disclosure, </w:t>
      </w:r>
      <w:r w:rsidR="00976327" w:rsidRPr="005F7FF7">
        <w:rPr>
          <w:rFonts w:cs="Times New Roman"/>
          <w:sz w:val="22"/>
        </w:rPr>
        <w:t>performance, CSR, risk-taking and EM</w:t>
      </w:r>
      <w:r w:rsidR="00C73E36" w:rsidRPr="005F7FF7">
        <w:rPr>
          <w:rFonts w:cs="Times New Roman"/>
          <w:sz w:val="22"/>
        </w:rPr>
        <w:t xml:space="preserve"> </w:t>
      </w:r>
      <w:r w:rsidR="00976327" w:rsidRPr="005F7FF7">
        <w:rPr>
          <w:rFonts w:cs="Times New Roman"/>
          <w:sz w:val="22"/>
        </w:rPr>
        <w:t xml:space="preserve">are rare </w:t>
      </w:r>
      <w:r w:rsidR="00C73E36" w:rsidRPr="005F7FF7">
        <w:rPr>
          <w:rFonts w:cs="Times New Roman"/>
          <w:sz w:val="22"/>
        </w:rPr>
        <w:t>(</w:t>
      </w:r>
      <w:r w:rsidR="00976327" w:rsidRPr="005F7FF7">
        <w:rPr>
          <w:rFonts w:cs="Times New Roman"/>
          <w:sz w:val="22"/>
        </w:rPr>
        <w:t xml:space="preserve">Safieddine, 2009; </w:t>
      </w:r>
      <w:r w:rsidR="00C73E36" w:rsidRPr="005F7FF7">
        <w:rPr>
          <w:rFonts w:cs="Times New Roman"/>
          <w:sz w:val="22"/>
        </w:rPr>
        <w:t>Farook et al., 2011; Rahman &amp; Bukair</w:t>
      </w:r>
      <w:r w:rsidR="00976327" w:rsidRPr="005F7FF7">
        <w:rPr>
          <w:rFonts w:cs="Times New Roman"/>
          <w:sz w:val="22"/>
        </w:rPr>
        <w:t xml:space="preserve">, 2013; </w:t>
      </w:r>
      <w:r w:rsidR="00C73E36" w:rsidRPr="005F7FF7">
        <w:rPr>
          <w:rFonts w:cs="Times New Roman"/>
          <w:sz w:val="22"/>
        </w:rPr>
        <w:t>Ginena, 2014</w:t>
      </w:r>
      <w:r w:rsidR="00B22324">
        <w:rPr>
          <w:rFonts w:cs="Times New Roman"/>
          <w:sz w:val="22"/>
        </w:rPr>
        <w:t>; Mollah &amp; Zaman, 2015</w:t>
      </w:r>
      <w:r w:rsidR="000F4F89">
        <w:rPr>
          <w:rFonts w:cs="Times New Roman"/>
          <w:sz w:val="22"/>
        </w:rPr>
        <w:t xml:space="preserve">; </w:t>
      </w:r>
      <w:r w:rsidR="00B7323C">
        <w:rPr>
          <w:rFonts w:cs="Times New Roman"/>
          <w:sz w:val="22"/>
        </w:rPr>
        <w:t>Al-Bassam &amp; Ntim, 2016)</w:t>
      </w:r>
      <w:r w:rsidR="00976327" w:rsidRPr="005F7FF7">
        <w:rPr>
          <w:rFonts w:cs="Times New Roman"/>
          <w:sz w:val="22"/>
        </w:rPr>
        <w:t>.</w:t>
      </w:r>
      <w:r w:rsidR="00B34FF9" w:rsidRPr="005F7FF7">
        <w:rPr>
          <w:rFonts w:cs="Times New Roman"/>
          <w:sz w:val="22"/>
        </w:rPr>
        <w:t xml:space="preserve"> This also impairs current understanding of how IG me</w:t>
      </w:r>
      <w:r w:rsidR="004C50B0" w:rsidRPr="005F7FF7">
        <w:rPr>
          <w:rFonts w:cs="Times New Roman"/>
          <w:sz w:val="22"/>
        </w:rPr>
        <w:t>chanism</w:t>
      </w:r>
      <w:r w:rsidR="00AA61F2" w:rsidRPr="005F7FF7">
        <w:rPr>
          <w:rFonts w:cs="Times New Roman"/>
          <w:sz w:val="22"/>
        </w:rPr>
        <w:t>s</w:t>
      </w:r>
      <w:r w:rsidR="004C50B0" w:rsidRPr="005F7FF7">
        <w:rPr>
          <w:rFonts w:cs="Times New Roman"/>
          <w:sz w:val="22"/>
        </w:rPr>
        <w:t xml:space="preserve"> may impact on </w:t>
      </w:r>
      <w:r w:rsidR="00B34FF9" w:rsidRPr="005F7FF7">
        <w:rPr>
          <w:rFonts w:cs="Times New Roman"/>
          <w:sz w:val="22"/>
        </w:rPr>
        <w:t>EM practices.</w:t>
      </w:r>
    </w:p>
    <w:p w:rsidR="00EF336B" w:rsidRPr="005F7FF7" w:rsidRDefault="00B34FF9" w:rsidP="00EF336B">
      <w:pPr>
        <w:spacing w:line="360" w:lineRule="auto"/>
        <w:ind w:firstLine="431"/>
        <w:jc w:val="both"/>
        <w:rPr>
          <w:rFonts w:cs="Times New Roman"/>
          <w:sz w:val="22"/>
        </w:rPr>
      </w:pPr>
      <w:r w:rsidRPr="005F7FF7">
        <w:rPr>
          <w:rFonts w:cs="Times New Roman"/>
          <w:sz w:val="22"/>
        </w:rPr>
        <w:t xml:space="preserve">Consequently, this paper seeks to contribute to the existing literature by addressing some of the articulated limitations of prior studies. First, </w:t>
      </w:r>
      <w:r w:rsidR="00275BA4" w:rsidRPr="005F7FF7">
        <w:rPr>
          <w:rFonts w:cs="Times New Roman"/>
          <w:sz w:val="22"/>
        </w:rPr>
        <w:t xml:space="preserve">we offer new empirical insights on the CG-EM nexus by </w:t>
      </w:r>
      <w:r w:rsidR="00530A4A" w:rsidRPr="005F7FF7">
        <w:rPr>
          <w:rFonts w:cs="Times New Roman"/>
          <w:sz w:val="22"/>
        </w:rPr>
        <w:t>grounding our study in</w:t>
      </w:r>
      <w:r w:rsidR="00A43ECD" w:rsidRPr="005F7FF7">
        <w:rPr>
          <w:rFonts w:cs="Times New Roman"/>
          <w:sz w:val="22"/>
        </w:rPr>
        <w:t xml:space="preserve"> the emerging behavioural theory of corporate boards and governance, </w:t>
      </w:r>
      <w:r w:rsidR="00275BA4" w:rsidRPr="005F7FF7">
        <w:rPr>
          <w:rFonts w:cs="Times New Roman"/>
          <w:sz w:val="22"/>
        </w:rPr>
        <w:t xml:space="preserve">in which corporate decision-making is </w:t>
      </w:r>
      <w:r w:rsidR="00C12868" w:rsidRPr="005F7FF7">
        <w:rPr>
          <w:rFonts w:cs="Times New Roman"/>
          <w:sz w:val="22"/>
        </w:rPr>
        <w:t xml:space="preserve">not only </w:t>
      </w:r>
      <w:r w:rsidR="00275BA4" w:rsidRPr="005F7FF7">
        <w:rPr>
          <w:rFonts w:cs="Times New Roman"/>
          <w:sz w:val="22"/>
        </w:rPr>
        <w:t xml:space="preserve">assumed to be </w:t>
      </w:r>
      <w:r w:rsidR="00BF1A99">
        <w:rPr>
          <w:rFonts w:cs="Times New Roman"/>
          <w:sz w:val="22"/>
        </w:rPr>
        <w:t xml:space="preserve">underlined </w:t>
      </w:r>
      <w:r w:rsidR="00C12868" w:rsidRPr="005F7FF7">
        <w:rPr>
          <w:rFonts w:cs="Times New Roman"/>
          <w:sz w:val="22"/>
        </w:rPr>
        <w:t xml:space="preserve">by formal incentives and CG mechanisms, but also </w:t>
      </w:r>
      <w:r w:rsidR="00726ED8" w:rsidRPr="005F7FF7">
        <w:rPr>
          <w:rFonts w:cs="Times New Roman"/>
          <w:sz w:val="22"/>
        </w:rPr>
        <w:t xml:space="preserve">informal CG arrangements, </w:t>
      </w:r>
      <w:r w:rsidR="00A43ECD" w:rsidRPr="005F7FF7">
        <w:rPr>
          <w:rFonts w:cs="Times New Roman"/>
          <w:sz w:val="22"/>
        </w:rPr>
        <w:t>bounded rationality, political bargaining, routin</w:t>
      </w:r>
      <w:r w:rsidR="00C77EC9" w:rsidRPr="005F7FF7">
        <w:rPr>
          <w:rFonts w:cs="Times New Roman"/>
          <w:sz w:val="22"/>
        </w:rPr>
        <w:t>isation and satisficing behavio</w:t>
      </w:r>
      <w:r w:rsidR="00A43ECD" w:rsidRPr="005F7FF7">
        <w:rPr>
          <w:rFonts w:cs="Times New Roman"/>
          <w:sz w:val="22"/>
        </w:rPr>
        <w:t>ur (van Ees et al., 2009; Huse et al., 2011)</w:t>
      </w:r>
      <w:r w:rsidR="00275BA4" w:rsidRPr="005F7FF7">
        <w:rPr>
          <w:rFonts w:cs="Times New Roman"/>
          <w:sz w:val="22"/>
        </w:rPr>
        <w:t>. In this case,</w:t>
      </w:r>
      <w:r w:rsidR="00A43ECD" w:rsidRPr="005F7FF7">
        <w:rPr>
          <w:rFonts w:cs="Times New Roman"/>
          <w:sz w:val="22"/>
        </w:rPr>
        <w:t xml:space="preserve"> we </w:t>
      </w:r>
      <w:r w:rsidR="00530A4A" w:rsidRPr="005F7FF7">
        <w:rPr>
          <w:rFonts w:cs="Times New Roman"/>
          <w:sz w:val="22"/>
        </w:rPr>
        <w:t xml:space="preserve">distinctively </w:t>
      </w:r>
      <w:r w:rsidR="00A43ECD" w:rsidRPr="005F7FF7">
        <w:rPr>
          <w:rFonts w:cs="Times New Roman"/>
          <w:sz w:val="22"/>
        </w:rPr>
        <w:t xml:space="preserve">depart from the dominant agency theoretical framework that is underpinned mainly by </w:t>
      </w:r>
      <w:r w:rsidR="00726ED8" w:rsidRPr="005F7FF7">
        <w:rPr>
          <w:rFonts w:cs="Times New Roman"/>
          <w:sz w:val="22"/>
        </w:rPr>
        <w:t>formal CG structures, rational economic motives, managerial opportunism and optimising behaviour</w:t>
      </w:r>
      <w:r w:rsidR="00530A4A" w:rsidRPr="005F7FF7">
        <w:rPr>
          <w:rFonts w:cs="Times New Roman"/>
          <w:sz w:val="22"/>
        </w:rPr>
        <w:t xml:space="preserve">. </w:t>
      </w:r>
    </w:p>
    <w:p w:rsidR="00A6250E" w:rsidRPr="005F7FF7" w:rsidRDefault="00530A4A" w:rsidP="002921B7">
      <w:pPr>
        <w:spacing w:line="360" w:lineRule="auto"/>
        <w:ind w:firstLine="720"/>
        <w:jc w:val="both"/>
        <w:rPr>
          <w:rFonts w:cs="Times New Roman"/>
          <w:sz w:val="22"/>
        </w:rPr>
      </w:pPr>
      <w:r w:rsidRPr="005F7FF7">
        <w:rPr>
          <w:rFonts w:cs="Times New Roman"/>
          <w:sz w:val="22"/>
        </w:rPr>
        <w:t>Second,</w:t>
      </w:r>
      <w:r w:rsidR="0056293E" w:rsidRPr="005F7FF7">
        <w:rPr>
          <w:rFonts w:cs="Times New Roman"/>
          <w:sz w:val="22"/>
        </w:rPr>
        <w:t xml:space="preserve"> existing studies have mostly examined how individual CG mechanisms (e.g., board size and independent directors) can affect corporate EM practices. However, recent evidence suggests that </w:t>
      </w:r>
      <w:r w:rsidR="00E52860" w:rsidRPr="005F7FF7">
        <w:rPr>
          <w:rFonts w:cs="Times New Roman"/>
          <w:sz w:val="22"/>
        </w:rPr>
        <w:t>CG structures tend to interrelate</w:t>
      </w:r>
      <w:r w:rsidR="00D2459F">
        <w:rPr>
          <w:rFonts w:cs="Times New Roman"/>
          <w:sz w:val="22"/>
        </w:rPr>
        <w:t xml:space="preserve"> (i.e., </w:t>
      </w:r>
      <w:r w:rsidR="009B244F">
        <w:rPr>
          <w:rFonts w:cs="Times New Roman"/>
          <w:sz w:val="22"/>
        </w:rPr>
        <w:t xml:space="preserve">CG structures </w:t>
      </w:r>
      <w:r w:rsidR="00D2459F">
        <w:rPr>
          <w:rFonts w:cs="Times New Roman"/>
          <w:sz w:val="22"/>
        </w:rPr>
        <w:t>are used in bundles)</w:t>
      </w:r>
      <w:r w:rsidR="00E52860" w:rsidRPr="005F7FF7">
        <w:rPr>
          <w:rFonts w:cs="Times New Roman"/>
          <w:sz w:val="22"/>
        </w:rPr>
        <w:t xml:space="preserve"> in order to be effective </w:t>
      </w:r>
      <w:r w:rsidR="0056293E" w:rsidRPr="005F7FF7">
        <w:rPr>
          <w:rFonts w:cs="Times New Roman"/>
          <w:sz w:val="22"/>
        </w:rPr>
        <w:t>(Ntim et al., 2015</w:t>
      </w:r>
      <w:r w:rsidR="00EE7478" w:rsidRPr="005F7FF7">
        <w:rPr>
          <w:rFonts w:cs="Times New Roman"/>
          <w:sz w:val="22"/>
        </w:rPr>
        <w:t>a, b</w:t>
      </w:r>
      <w:r w:rsidR="0056293E" w:rsidRPr="005F7FF7">
        <w:rPr>
          <w:rFonts w:cs="Times New Roman"/>
          <w:sz w:val="22"/>
        </w:rPr>
        <w:t>)</w:t>
      </w:r>
      <w:r w:rsidR="00E52860" w:rsidRPr="005F7FF7">
        <w:rPr>
          <w:rFonts w:cs="Times New Roman"/>
          <w:sz w:val="22"/>
        </w:rPr>
        <w:t xml:space="preserve">, and </w:t>
      </w:r>
      <w:r w:rsidR="008E5B86" w:rsidRPr="005F7FF7">
        <w:rPr>
          <w:rFonts w:cs="Times New Roman"/>
          <w:sz w:val="22"/>
        </w:rPr>
        <w:t xml:space="preserve">therefore </w:t>
      </w:r>
      <w:r w:rsidR="00E52860" w:rsidRPr="005F7FF7">
        <w:rPr>
          <w:rFonts w:cs="Times New Roman"/>
          <w:sz w:val="22"/>
        </w:rPr>
        <w:t>examining direct association</w:t>
      </w:r>
      <w:r w:rsidR="008E5B86" w:rsidRPr="005F7FF7">
        <w:rPr>
          <w:rFonts w:cs="Times New Roman"/>
          <w:sz w:val="22"/>
        </w:rPr>
        <w:t>s</w:t>
      </w:r>
      <w:r w:rsidR="00E52860" w:rsidRPr="005F7FF7">
        <w:rPr>
          <w:rFonts w:cs="Times New Roman"/>
          <w:sz w:val="22"/>
        </w:rPr>
        <w:t xml:space="preserve"> between individual CG structures and</w:t>
      </w:r>
      <w:r w:rsidR="008E5B86" w:rsidRPr="005F7FF7">
        <w:rPr>
          <w:rFonts w:cs="Times New Roman"/>
          <w:sz w:val="22"/>
        </w:rPr>
        <w:t xml:space="preserve"> EM may lead to spurious correlation</w:t>
      </w:r>
      <w:r w:rsidR="00E52860" w:rsidRPr="005F7FF7">
        <w:rPr>
          <w:rFonts w:cs="Times New Roman"/>
          <w:sz w:val="22"/>
        </w:rPr>
        <w:t>s.</w:t>
      </w:r>
      <w:r w:rsidR="004F0A8B" w:rsidRPr="005F7FF7">
        <w:rPr>
          <w:rFonts w:cs="Times New Roman"/>
          <w:sz w:val="22"/>
        </w:rPr>
        <w:t xml:space="preserve"> We overcome this limitation by investigating the relationship between a comprehensive CG index containing 72 distinct governance privisions and EM in addition to individual CG mechanisms that have been used in prior studies.</w:t>
      </w:r>
      <w:r w:rsidR="00ED0CE0" w:rsidRPr="005F7FF7">
        <w:rPr>
          <w:rFonts w:cs="Times New Roman"/>
          <w:sz w:val="22"/>
        </w:rPr>
        <w:t xml:space="preserve"> Third, drawing from behavioural theory, we conjecture that in a predominantly Islamic context, such as Oman, corporate/managerial engagement in EM may not only be influenced by formal CG arrangements</w:t>
      </w:r>
      <w:r w:rsidR="005C7DD8" w:rsidRPr="005F7FF7">
        <w:rPr>
          <w:rFonts w:cs="Times New Roman"/>
          <w:sz w:val="22"/>
        </w:rPr>
        <w:t xml:space="preserve">, expertise and skills, but also </w:t>
      </w:r>
      <w:r w:rsidR="00ED0CE0" w:rsidRPr="005F7FF7">
        <w:rPr>
          <w:rFonts w:cs="Times New Roman"/>
          <w:sz w:val="22"/>
        </w:rPr>
        <w:t xml:space="preserve">by </w:t>
      </w:r>
      <w:r w:rsidR="005C7DD8" w:rsidRPr="005F7FF7">
        <w:rPr>
          <w:rFonts w:cs="Times New Roman"/>
          <w:sz w:val="22"/>
        </w:rPr>
        <w:t xml:space="preserve">their </w:t>
      </w:r>
      <w:r w:rsidR="00C12868" w:rsidRPr="005F7FF7">
        <w:rPr>
          <w:rFonts w:cs="Times New Roman"/>
          <w:sz w:val="22"/>
        </w:rPr>
        <w:t xml:space="preserve">informal </w:t>
      </w:r>
      <w:r w:rsidR="00ED0CE0" w:rsidRPr="005F7FF7">
        <w:rPr>
          <w:rFonts w:cs="Times New Roman"/>
          <w:sz w:val="22"/>
        </w:rPr>
        <w:t xml:space="preserve">Islamic religious </w:t>
      </w:r>
      <w:r w:rsidR="005C7DD8" w:rsidRPr="005F7FF7">
        <w:rPr>
          <w:rFonts w:cs="Times New Roman"/>
          <w:sz w:val="22"/>
        </w:rPr>
        <w:t xml:space="preserve">experiences, </w:t>
      </w:r>
      <w:r w:rsidR="00ED0CE0" w:rsidRPr="005F7FF7">
        <w:rPr>
          <w:rFonts w:cs="Times New Roman"/>
          <w:sz w:val="22"/>
        </w:rPr>
        <w:t>beliefs and values</w:t>
      </w:r>
      <w:r w:rsidR="005C7DD8" w:rsidRPr="005F7FF7">
        <w:rPr>
          <w:rFonts w:cs="Times New Roman"/>
          <w:sz w:val="22"/>
        </w:rPr>
        <w:t xml:space="preserve">. We test this by examining the extent to </w:t>
      </w:r>
      <w:r w:rsidR="00E72580" w:rsidRPr="005F7FF7">
        <w:rPr>
          <w:rFonts w:cs="Times New Roman"/>
          <w:sz w:val="22"/>
        </w:rPr>
        <w:t>which the presence of a Shariah supervisory board/committee</w:t>
      </w:r>
      <w:r w:rsidR="00F94D2B" w:rsidRPr="005F7FF7">
        <w:rPr>
          <w:rFonts w:cs="Times New Roman"/>
          <w:sz w:val="22"/>
        </w:rPr>
        <w:t>, as a unique IG mechanism</w:t>
      </w:r>
      <w:r w:rsidR="003B344A">
        <w:rPr>
          <w:rFonts w:cs="Times New Roman"/>
          <w:sz w:val="22"/>
        </w:rPr>
        <w:t>,</w:t>
      </w:r>
      <w:r w:rsidR="00E72580" w:rsidRPr="005F7FF7">
        <w:rPr>
          <w:rFonts w:cs="Times New Roman"/>
          <w:sz w:val="22"/>
        </w:rPr>
        <w:t xml:space="preserve"> drive</w:t>
      </w:r>
      <w:r w:rsidR="00F94D2B" w:rsidRPr="005F7FF7">
        <w:rPr>
          <w:rFonts w:cs="Times New Roman"/>
          <w:sz w:val="22"/>
        </w:rPr>
        <w:t>s</w:t>
      </w:r>
      <w:r w:rsidR="00E72580" w:rsidRPr="005F7FF7">
        <w:rPr>
          <w:rFonts w:cs="Times New Roman"/>
          <w:sz w:val="22"/>
        </w:rPr>
        <w:t xml:space="preserve"> </w:t>
      </w:r>
      <w:r w:rsidR="00F94D2B" w:rsidRPr="005F7FF7">
        <w:rPr>
          <w:rFonts w:cs="Times New Roman"/>
          <w:sz w:val="22"/>
        </w:rPr>
        <w:t xml:space="preserve">corporate </w:t>
      </w:r>
      <w:r w:rsidR="00E72580" w:rsidRPr="005F7FF7">
        <w:rPr>
          <w:rFonts w:cs="Times New Roman"/>
          <w:sz w:val="22"/>
        </w:rPr>
        <w:t>EM</w:t>
      </w:r>
      <w:r w:rsidR="00F94D2B" w:rsidRPr="005F7FF7">
        <w:rPr>
          <w:rFonts w:cs="Times New Roman"/>
          <w:sz w:val="22"/>
        </w:rPr>
        <w:t xml:space="preserve"> practices</w:t>
      </w:r>
      <w:r w:rsidR="00EF336B" w:rsidRPr="005F7FF7">
        <w:rPr>
          <w:rFonts w:cs="Times New Roman"/>
          <w:sz w:val="22"/>
        </w:rPr>
        <w:t>.</w:t>
      </w:r>
      <w:r w:rsidR="001077FF" w:rsidRPr="005F7FF7">
        <w:rPr>
          <w:rFonts w:cs="Times New Roman"/>
          <w:sz w:val="22"/>
        </w:rPr>
        <w:t xml:space="preserve"> To the best of</w:t>
      </w:r>
      <w:r w:rsidR="003B344A">
        <w:rPr>
          <w:rFonts w:cs="Times New Roman"/>
          <w:sz w:val="22"/>
        </w:rPr>
        <w:t xml:space="preserve"> our</w:t>
      </w:r>
      <w:r w:rsidR="001077FF" w:rsidRPr="005F7FF7">
        <w:rPr>
          <w:rFonts w:cs="Times New Roman"/>
          <w:sz w:val="22"/>
        </w:rPr>
        <w:t xml:space="preserve"> knowledge, this is </w:t>
      </w:r>
      <w:r w:rsidR="00E5110D" w:rsidRPr="005F7FF7">
        <w:rPr>
          <w:rFonts w:cs="Times New Roman"/>
          <w:sz w:val="22"/>
        </w:rPr>
        <w:t xml:space="preserve">a </w:t>
      </w:r>
      <w:r w:rsidR="001077FF" w:rsidRPr="005F7FF7">
        <w:rPr>
          <w:rFonts w:cs="Times New Roman"/>
          <w:sz w:val="22"/>
        </w:rPr>
        <w:t xml:space="preserve">first </w:t>
      </w:r>
      <w:r w:rsidR="00B976A4">
        <w:rPr>
          <w:rFonts w:cs="Times New Roman"/>
          <w:sz w:val="22"/>
        </w:rPr>
        <w:t xml:space="preserve">direct </w:t>
      </w:r>
      <w:r w:rsidR="001077FF" w:rsidRPr="005F7FF7">
        <w:rPr>
          <w:rFonts w:cs="Times New Roman"/>
          <w:sz w:val="22"/>
        </w:rPr>
        <w:t>attempt at providing empirical evidence on how and why IG mechanisms may influence corporate EM practices.</w:t>
      </w:r>
      <w:r w:rsidR="00ED0CE0" w:rsidRPr="005F7FF7">
        <w:rPr>
          <w:rFonts w:cs="Times New Roman"/>
          <w:sz w:val="22"/>
        </w:rPr>
        <w:t xml:space="preserve"> </w:t>
      </w:r>
      <w:r w:rsidR="008E70C1" w:rsidRPr="005F7FF7">
        <w:rPr>
          <w:rFonts w:cs="Times New Roman"/>
          <w:sz w:val="22"/>
        </w:rPr>
        <w:t>Oman</w:t>
      </w:r>
      <w:r w:rsidR="001077FF" w:rsidRPr="005F7FF7">
        <w:rPr>
          <w:rFonts w:cs="Times New Roman"/>
          <w:sz w:val="22"/>
        </w:rPr>
        <w:t xml:space="preserve"> </w:t>
      </w:r>
      <w:r w:rsidR="008E70C1" w:rsidRPr="005F7FF7">
        <w:rPr>
          <w:rFonts w:cs="Times New Roman"/>
          <w:sz w:val="22"/>
        </w:rPr>
        <w:t>offers a</w:t>
      </w:r>
      <w:r w:rsidR="00C12868" w:rsidRPr="005F7FF7">
        <w:rPr>
          <w:rFonts w:cs="Times New Roman"/>
          <w:sz w:val="22"/>
        </w:rPr>
        <w:t>n</w:t>
      </w:r>
      <w:r w:rsidR="008E70C1" w:rsidRPr="005F7FF7">
        <w:rPr>
          <w:rFonts w:cs="Times New Roman"/>
          <w:sz w:val="22"/>
        </w:rPr>
        <w:t xml:space="preserve"> interesting research </w:t>
      </w:r>
      <w:r w:rsidR="00B22F95" w:rsidRPr="005F7FF7">
        <w:rPr>
          <w:rFonts w:cs="Times New Roman"/>
          <w:sz w:val="22"/>
        </w:rPr>
        <w:t xml:space="preserve">context to test these propositions </w:t>
      </w:r>
      <w:r w:rsidR="001077FF" w:rsidRPr="005F7FF7">
        <w:rPr>
          <w:rFonts w:cs="Times New Roman"/>
          <w:sz w:val="22"/>
        </w:rPr>
        <w:t>for a number of reasons. First, i</w:t>
      </w:r>
      <w:r w:rsidR="00AF6496" w:rsidRPr="005F7FF7">
        <w:rPr>
          <w:rFonts w:cs="Times New Roman"/>
          <w:sz w:val="22"/>
        </w:rPr>
        <w:t xml:space="preserve">n response to the 1997 Asian </w:t>
      </w:r>
      <w:r w:rsidR="00B976A4">
        <w:rPr>
          <w:rFonts w:cs="Times New Roman"/>
          <w:sz w:val="22"/>
        </w:rPr>
        <w:t xml:space="preserve">financial </w:t>
      </w:r>
      <w:r w:rsidR="00AF6496" w:rsidRPr="005F7FF7">
        <w:rPr>
          <w:rFonts w:cs="Times New Roman"/>
          <w:sz w:val="22"/>
        </w:rPr>
        <w:t>crisis and international corporate development</w:t>
      </w:r>
      <w:r w:rsidR="00B976A4">
        <w:rPr>
          <w:rFonts w:cs="Times New Roman"/>
          <w:sz w:val="22"/>
        </w:rPr>
        <w:t>s</w:t>
      </w:r>
      <w:r w:rsidR="00AF6496" w:rsidRPr="005F7FF7">
        <w:rPr>
          <w:rFonts w:cs="Times New Roman"/>
          <w:sz w:val="22"/>
        </w:rPr>
        <w:t>, Oman</w:t>
      </w:r>
      <w:r w:rsidR="008E70C1" w:rsidRPr="005F7FF7">
        <w:rPr>
          <w:rFonts w:cs="Times New Roman"/>
          <w:sz w:val="22"/>
        </w:rPr>
        <w:t xml:space="preserve"> was the first country in the Middle East and North Africa (MENA) region to pursue </w:t>
      </w:r>
      <w:r w:rsidR="00AF6496" w:rsidRPr="005F7FF7">
        <w:rPr>
          <w:rFonts w:cs="Times New Roman"/>
          <w:sz w:val="22"/>
        </w:rPr>
        <w:t>CG reforms</w:t>
      </w:r>
      <w:r w:rsidR="008E70C1" w:rsidRPr="005F7FF7">
        <w:rPr>
          <w:rFonts w:cs="Times New Roman"/>
          <w:sz w:val="22"/>
        </w:rPr>
        <w:t xml:space="preserve"> in the form of the </w:t>
      </w:r>
      <w:r w:rsidR="00CA6DD9" w:rsidRPr="005F7FF7">
        <w:rPr>
          <w:rFonts w:cs="Times New Roman"/>
          <w:sz w:val="22"/>
        </w:rPr>
        <w:t xml:space="preserve">UK-style </w:t>
      </w:r>
      <w:r w:rsidR="008E70C1" w:rsidRPr="005F7FF7">
        <w:rPr>
          <w:rFonts w:cs="Times New Roman"/>
          <w:sz w:val="22"/>
        </w:rPr>
        <w:t xml:space="preserve">2002 </w:t>
      </w:r>
      <w:r w:rsidR="00CA6DD9" w:rsidRPr="005F7FF7">
        <w:rPr>
          <w:rFonts w:cs="Times New Roman"/>
          <w:sz w:val="22"/>
        </w:rPr>
        <w:t xml:space="preserve">voluntary </w:t>
      </w:r>
      <w:r w:rsidR="00574730" w:rsidRPr="005F7FF7">
        <w:rPr>
          <w:rFonts w:cs="Times New Roman"/>
          <w:sz w:val="22"/>
        </w:rPr>
        <w:t>CG C</w:t>
      </w:r>
      <w:r w:rsidR="008E70C1" w:rsidRPr="005F7FF7">
        <w:rPr>
          <w:rFonts w:cs="Times New Roman"/>
          <w:sz w:val="22"/>
        </w:rPr>
        <w:t>ode issued by the Capital Market Authority</w:t>
      </w:r>
      <w:r w:rsidR="00C53FDF" w:rsidRPr="005F7FF7">
        <w:rPr>
          <w:rFonts w:cs="Times New Roman"/>
          <w:sz w:val="22"/>
        </w:rPr>
        <w:t xml:space="preserve"> (CMA)</w:t>
      </w:r>
      <w:r w:rsidR="00AF6496" w:rsidRPr="005F7FF7">
        <w:rPr>
          <w:rFonts w:cs="Times New Roman"/>
          <w:sz w:val="22"/>
        </w:rPr>
        <w:t xml:space="preserve">. </w:t>
      </w:r>
      <w:r w:rsidR="00FF322C" w:rsidRPr="005F7FF7">
        <w:rPr>
          <w:rFonts w:cs="Times New Roman"/>
          <w:sz w:val="22"/>
        </w:rPr>
        <w:t xml:space="preserve">Similarly, Oman is one of the few countries in the MENA </w:t>
      </w:r>
      <w:r w:rsidR="00D87B9B" w:rsidRPr="005F7FF7">
        <w:rPr>
          <w:rFonts w:cs="Times New Roman"/>
          <w:sz w:val="22"/>
        </w:rPr>
        <w:t xml:space="preserve">region, </w:t>
      </w:r>
      <w:r w:rsidR="00FF322C" w:rsidRPr="005F7FF7">
        <w:rPr>
          <w:rFonts w:cs="Times New Roman"/>
          <w:sz w:val="22"/>
        </w:rPr>
        <w:t>which has fully</w:t>
      </w:r>
      <w:r w:rsidR="00B976A4">
        <w:rPr>
          <w:rFonts w:cs="Times New Roman"/>
          <w:sz w:val="22"/>
        </w:rPr>
        <w:t xml:space="preserve"> adopted international accounti</w:t>
      </w:r>
      <w:r w:rsidR="00FF322C" w:rsidRPr="005F7FF7">
        <w:rPr>
          <w:rFonts w:cs="Times New Roman"/>
          <w:sz w:val="22"/>
        </w:rPr>
        <w:t xml:space="preserve">ng and auditing standards for its listed firms. </w:t>
      </w:r>
      <w:r w:rsidR="009B2685" w:rsidRPr="005F7FF7">
        <w:rPr>
          <w:rFonts w:cs="Times New Roman"/>
          <w:sz w:val="22"/>
        </w:rPr>
        <w:t>This, t</w:t>
      </w:r>
      <w:r w:rsidR="00F95098" w:rsidRPr="005F7FF7">
        <w:rPr>
          <w:rFonts w:cs="Times New Roman"/>
          <w:sz w:val="22"/>
        </w:rPr>
        <w:t xml:space="preserve">hus, </w:t>
      </w:r>
      <w:r w:rsidR="009B2685" w:rsidRPr="005F7FF7">
        <w:rPr>
          <w:rFonts w:cs="Times New Roman"/>
          <w:sz w:val="22"/>
        </w:rPr>
        <w:t>places Oman</w:t>
      </w:r>
      <w:r w:rsidR="00F95098" w:rsidRPr="005F7FF7">
        <w:rPr>
          <w:rFonts w:cs="Times New Roman"/>
          <w:sz w:val="22"/>
        </w:rPr>
        <w:t xml:space="preserve"> at the forefront when it comes to CG</w:t>
      </w:r>
      <w:r w:rsidR="00C155AB">
        <w:rPr>
          <w:rFonts w:cs="Times New Roman"/>
          <w:sz w:val="22"/>
        </w:rPr>
        <w:t>, account</w:t>
      </w:r>
      <w:r w:rsidR="00FF322C" w:rsidRPr="005F7FF7">
        <w:rPr>
          <w:rFonts w:cs="Times New Roman"/>
          <w:sz w:val="22"/>
        </w:rPr>
        <w:t>ing and auditing</w:t>
      </w:r>
      <w:r w:rsidR="00F95098" w:rsidRPr="005F7FF7">
        <w:rPr>
          <w:rFonts w:cs="Times New Roman"/>
          <w:sz w:val="22"/>
        </w:rPr>
        <w:t xml:space="preserve"> reforms in the MENA region. </w:t>
      </w:r>
      <w:r w:rsidR="00AF6496" w:rsidRPr="005F7FF7">
        <w:rPr>
          <w:rFonts w:cs="Times New Roman"/>
          <w:sz w:val="22"/>
        </w:rPr>
        <w:t>The</w:t>
      </w:r>
      <w:r w:rsidR="009B2685" w:rsidRPr="005F7FF7">
        <w:rPr>
          <w:rFonts w:cs="Times New Roman"/>
          <w:sz w:val="22"/>
        </w:rPr>
        <w:t xml:space="preserve"> central objective of the</w:t>
      </w:r>
      <w:r w:rsidR="00FF322C" w:rsidRPr="005F7FF7">
        <w:rPr>
          <w:rFonts w:cs="Times New Roman"/>
          <w:sz w:val="22"/>
        </w:rPr>
        <w:t>se</w:t>
      </w:r>
      <w:r w:rsidR="00AF6496" w:rsidRPr="005F7FF7">
        <w:rPr>
          <w:rFonts w:cs="Times New Roman"/>
          <w:sz w:val="22"/>
        </w:rPr>
        <w:t xml:space="preserve"> reforms ha</w:t>
      </w:r>
      <w:r w:rsidR="009B2685" w:rsidRPr="005F7FF7">
        <w:rPr>
          <w:rFonts w:cs="Times New Roman"/>
          <w:sz w:val="22"/>
        </w:rPr>
        <w:t>s been</w:t>
      </w:r>
      <w:r w:rsidR="00AF6496" w:rsidRPr="005F7FF7">
        <w:rPr>
          <w:rFonts w:cs="Times New Roman"/>
          <w:sz w:val="22"/>
        </w:rPr>
        <w:t xml:space="preserve"> to restore investor confidence</w:t>
      </w:r>
      <w:r w:rsidR="00FF322C" w:rsidRPr="005F7FF7">
        <w:rPr>
          <w:rFonts w:cs="Times New Roman"/>
          <w:sz w:val="22"/>
        </w:rPr>
        <w:t>, enhance financial reporting quality</w:t>
      </w:r>
      <w:r w:rsidR="00AF6496" w:rsidRPr="005F7FF7">
        <w:rPr>
          <w:rFonts w:cs="Times New Roman"/>
          <w:sz w:val="22"/>
        </w:rPr>
        <w:t xml:space="preserve"> and protect stakeholders’ interests</w:t>
      </w:r>
      <w:r w:rsidR="009B2685" w:rsidRPr="005F7FF7">
        <w:rPr>
          <w:rFonts w:cs="Times New Roman"/>
          <w:sz w:val="22"/>
        </w:rPr>
        <w:t xml:space="preserve"> by improving board independence, accountability, disclosure, transparency and responsibility among Omani listed firms</w:t>
      </w:r>
      <w:r w:rsidR="00AF6496" w:rsidRPr="005F7FF7">
        <w:rPr>
          <w:rFonts w:cs="Times New Roman"/>
          <w:sz w:val="22"/>
        </w:rPr>
        <w:t xml:space="preserve">. </w:t>
      </w:r>
    </w:p>
    <w:p w:rsidR="00167A27" w:rsidRPr="005F7FF7" w:rsidRDefault="00FF322C" w:rsidP="005F7FF7">
      <w:pPr>
        <w:spacing w:line="360" w:lineRule="auto"/>
        <w:ind w:firstLine="720"/>
        <w:jc w:val="both"/>
        <w:rPr>
          <w:rFonts w:cs="Times New Roman"/>
          <w:sz w:val="22"/>
        </w:rPr>
      </w:pPr>
      <w:r w:rsidRPr="005F7FF7">
        <w:rPr>
          <w:rFonts w:cs="Times New Roman"/>
          <w:sz w:val="22"/>
        </w:rPr>
        <w:t xml:space="preserve">Second, </w:t>
      </w:r>
      <w:r w:rsidR="00A6250E" w:rsidRPr="005F7FF7">
        <w:rPr>
          <w:rFonts w:cs="Times New Roman"/>
          <w:sz w:val="22"/>
        </w:rPr>
        <w:t>distinct from most developed countries, but similar to other MENA countries, the Omani corporate context has a number of unique features.</w:t>
      </w:r>
      <w:r w:rsidR="005F0AC6" w:rsidRPr="005F7FF7">
        <w:rPr>
          <w:rFonts w:cs="Times New Roman"/>
          <w:sz w:val="22"/>
        </w:rPr>
        <w:t xml:space="preserve"> First, Omani corporate context is characterised by: (i) hierarchical </w:t>
      </w:r>
      <w:r w:rsidR="007C520B" w:rsidRPr="005F7FF7">
        <w:rPr>
          <w:rFonts w:cs="Times New Roman"/>
          <w:sz w:val="22"/>
        </w:rPr>
        <w:t xml:space="preserve">social </w:t>
      </w:r>
      <w:r w:rsidR="005F0AC6" w:rsidRPr="005F7FF7">
        <w:rPr>
          <w:rFonts w:cs="Times New Roman"/>
          <w:sz w:val="22"/>
        </w:rPr>
        <w:t>structures; (ii) greater reliance on informal rules and relationships (e.g.,</w:t>
      </w:r>
      <w:r w:rsidR="00EF4974" w:rsidRPr="005F7FF7">
        <w:rPr>
          <w:rFonts w:cs="Times New Roman"/>
          <w:sz w:val="22"/>
        </w:rPr>
        <w:t xml:space="preserve"> loyalty and trust based on kingship, nepotism</w:t>
      </w:r>
      <w:r w:rsidR="005F0AC6" w:rsidRPr="005F7FF7">
        <w:rPr>
          <w:rFonts w:cs="Times New Roman"/>
          <w:sz w:val="22"/>
        </w:rPr>
        <w:t xml:space="preserve"> and tribalism</w:t>
      </w:r>
      <w:r w:rsidR="00EF4974" w:rsidRPr="005F7FF7">
        <w:rPr>
          <w:rFonts w:cs="Times New Roman"/>
          <w:sz w:val="22"/>
        </w:rPr>
        <w:t>)</w:t>
      </w:r>
      <w:r w:rsidR="005F0AC6" w:rsidRPr="005F7FF7">
        <w:rPr>
          <w:rFonts w:cs="Times New Roman"/>
          <w:sz w:val="22"/>
        </w:rPr>
        <w:t xml:space="preserve"> rather than formal CG structures (e.g., </w:t>
      </w:r>
      <w:r w:rsidR="00EF4974" w:rsidRPr="005F7FF7">
        <w:rPr>
          <w:rFonts w:cs="Times New Roman"/>
          <w:sz w:val="22"/>
        </w:rPr>
        <w:t>boards and</w:t>
      </w:r>
      <w:r w:rsidR="005F0AC6" w:rsidRPr="005F7FF7">
        <w:rPr>
          <w:rFonts w:cs="Times New Roman"/>
          <w:sz w:val="22"/>
        </w:rPr>
        <w:t xml:space="preserve"> audit committee); (iii) </w:t>
      </w:r>
      <w:r w:rsidR="00EF4974" w:rsidRPr="005F7FF7">
        <w:rPr>
          <w:rFonts w:cs="Times New Roman"/>
          <w:sz w:val="22"/>
        </w:rPr>
        <w:t>increased commitment to Islamic religious beliefs and values.</w:t>
      </w:r>
      <w:r w:rsidR="00C63B53" w:rsidRPr="005F7FF7">
        <w:rPr>
          <w:rFonts w:cs="Times New Roman"/>
          <w:sz w:val="22"/>
        </w:rPr>
        <w:t xml:space="preserve"> As previously noted and from </w:t>
      </w:r>
      <w:r w:rsidR="00C12868" w:rsidRPr="005F7FF7">
        <w:rPr>
          <w:rFonts w:cs="Times New Roman"/>
          <w:sz w:val="22"/>
        </w:rPr>
        <w:t xml:space="preserve">a </w:t>
      </w:r>
      <w:r w:rsidR="00C63B53" w:rsidRPr="005F7FF7">
        <w:rPr>
          <w:rFonts w:cs="Times New Roman"/>
          <w:sz w:val="22"/>
        </w:rPr>
        <w:t>behavioural theoretical perspective, greater commitment to Islamic religious values is</w:t>
      </w:r>
      <w:r w:rsidR="00EF4974" w:rsidRPr="005F7FF7">
        <w:rPr>
          <w:rFonts w:cs="Times New Roman"/>
          <w:sz w:val="22"/>
        </w:rPr>
        <w:t xml:space="preserve"> </w:t>
      </w:r>
      <w:r w:rsidR="00C63B53" w:rsidRPr="005F7FF7">
        <w:rPr>
          <w:rFonts w:cs="Times New Roman"/>
          <w:sz w:val="22"/>
        </w:rPr>
        <w:t xml:space="preserve">important because </w:t>
      </w:r>
      <w:r w:rsidR="006D20A8" w:rsidRPr="005F7FF7">
        <w:rPr>
          <w:rFonts w:cs="Times New Roman"/>
          <w:sz w:val="22"/>
        </w:rPr>
        <w:t xml:space="preserve"> </w:t>
      </w:r>
      <w:r w:rsidR="003765DF" w:rsidRPr="005F7FF7">
        <w:rPr>
          <w:rFonts w:cs="Times New Roman"/>
          <w:sz w:val="22"/>
        </w:rPr>
        <w:t xml:space="preserve">previous studies suggest that Judo-Christian religious </w:t>
      </w:r>
      <w:r w:rsidR="00A83B54" w:rsidRPr="005F7FF7">
        <w:rPr>
          <w:rFonts w:cs="Times New Roman"/>
          <w:sz w:val="22"/>
        </w:rPr>
        <w:t xml:space="preserve">beliefs and </w:t>
      </w:r>
      <w:r w:rsidR="003765DF" w:rsidRPr="005F7FF7">
        <w:rPr>
          <w:rFonts w:cs="Times New Roman"/>
          <w:sz w:val="22"/>
        </w:rPr>
        <w:t xml:space="preserve">values can impact on serveral corporate practices, including EM (Bartke &amp; Schwarze, 2008; Richardson, 2008; Hilary &amp; Hui, 2009; Callen </w:t>
      </w:r>
      <w:r w:rsidR="003765DF" w:rsidRPr="005F7FF7">
        <w:rPr>
          <w:rFonts w:cs="Times New Roman"/>
          <w:i/>
          <w:iCs/>
          <w:sz w:val="22"/>
        </w:rPr>
        <w:t>et al</w:t>
      </w:r>
      <w:r w:rsidR="003765DF" w:rsidRPr="005F7FF7">
        <w:rPr>
          <w:rFonts w:cs="Times New Roman"/>
          <w:iCs/>
          <w:sz w:val="22"/>
        </w:rPr>
        <w:t>.</w:t>
      </w:r>
      <w:r w:rsidR="003765DF" w:rsidRPr="005F7FF7">
        <w:rPr>
          <w:rFonts w:cs="Times New Roman"/>
          <w:sz w:val="22"/>
        </w:rPr>
        <w:t xml:space="preserve">, 2011; McGuire </w:t>
      </w:r>
      <w:r w:rsidR="003765DF" w:rsidRPr="005F7FF7">
        <w:rPr>
          <w:rFonts w:cs="Times New Roman"/>
          <w:i/>
          <w:iCs/>
          <w:sz w:val="22"/>
        </w:rPr>
        <w:t>et al</w:t>
      </w:r>
      <w:r w:rsidR="003765DF" w:rsidRPr="005F7FF7">
        <w:rPr>
          <w:rFonts w:cs="Times New Roman"/>
          <w:iCs/>
          <w:sz w:val="22"/>
        </w:rPr>
        <w:t>.</w:t>
      </w:r>
      <w:r w:rsidR="003765DF" w:rsidRPr="005F7FF7">
        <w:rPr>
          <w:rFonts w:cs="Times New Roman"/>
          <w:sz w:val="22"/>
        </w:rPr>
        <w:t xml:space="preserve">, 2012). </w:t>
      </w:r>
      <w:r w:rsidR="00A83B54" w:rsidRPr="005F7FF7">
        <w:rPr>
          <w:rFonts w:cs="Times New Roman"/>
          <w:sz w:val="22"/>
        </w:rPr>
        <w:t xml:space="preserve">A major way by which Islamic </w:t>
      </w:r>
      <w:r w:rsidR="00B976A4">
        <w:rPr>
          <w:rFonts w:cs="Times New Roman"/>
          <w:sz w:val="22"/>
        </w:rPr>
        <w:t>religious beliefs and values can be</w:t>
      </w:r>
      <w:r w:rsidR="00A83B54" w:rsidRPr="005F7FF7">
        <w:rPr>
          <w:rFonts w:cs="Times New Roman"/>
          <w:sz w:val="22"/>
        </w:rPr>
        <w:t xml:space="preserve"> incorporated into corporate operations and decision-making is </w:t>
      </w:r>
      <w:r w:rsidR="00B976A4">
        <w:rPr>
          <w:rFonts w:cs="Times New Roman"/>
          <w:sz w:val="22"/>
        </w:rPr>
        <w:t xml:space="preserve">through </w:t>
      </w:r>
      <w:r w:rsidR="00A83B54" w:rsidRPr="005F7FF7">
        <w:rPr>
          <w:rFonts w:cs="Times New Roman"/>
          <w:sz w:val="22"/>
        </w:rPr>
        <w:t>the establishment and operation o</w:t>
      </w:r>
      <w:r w:rsidR="006A4D96" w:rsidRPr="005F7FF7">
        <w:rPr>
          <w:rFonts w:cs="Times New Roman"/>
          <w:sz w:val="22"/>
        </w:rPr>
        <w:t>f the Shariah supervisory board</w:t>
      </w:r>
      <w:r w:rsidR="00372B08">
        <w:rPr>
          <w:rFonts w:cs="Times New Roman"/>
          <w:sz w:val="22"/>
        </w:rPr>
        <w:t xml:space="preserve"> (Mollah &amp; Zaman, 2015)</w:t>
      </w:r>
      <w:r w:rsidR="006A4D96" w:rsidRPr="005F7FF7">
        <w:rPr>
          <w:rFonts w:cs="Times New Roman"/>
          <w:sz w:val="22"/>
        </w:rPr>
        <w:t>, whose central role is to certify whether corporate investments are Shariah compliant. Third</w:t>
      </w:r>
      <w:r w:rsidR="00AF6496" w:rsidRPr="005F7FF7">
        <w:rPr>
          <w:rFonts w:cs="Times New Roman"/>
          <w:sz w:val="22"/>
        </w:rPr>
        <w:t xml:space="preserve"> </w:t>
      </w:r>
      <w:r w:rsidR="006A4D96" w:rsidRPr="005F7FF7">
        <w:rPr>
          <w:rFonts w:cs="Times New Roman"/>
          <w:sz w:val="22"/>
        </w:rPr>
        <w:t xml:space="preserve">and similar </w:t>
      </w:r>
      <w:r w:rsidR="00665936" w:rsidRPr="005F7FF7">
        <w:rPr>
          <w:rFonts w:cs="Times New Roman"/>
          <w:sz w:val="22"/>
        </w:rPr>
        <w:t xml:space="preserve">to </w:t>
      </w:r>
      <w:r w:rsidR="006A4D96" w:rsidRPr="005F7FF7">
        <w:rPr>
          <w:rFonts w:cs="Times New Roman"/>
          <w:sz w:val="22"/>
        </w:rPr>
        <w:t xml:space="preserve">most developing countries, </w:t>
      </w:r>
      <w:r w:rsidR="00A67C04" w:rsidRPr="005F7FF7">
        <w:rPr>
          <w:rFonts w:cs="Times New Roman"/>
          <w:sz w:val="22"/>
        </w:rPr>
        <w:t xml:space="preserve">Omani </w:t>
      </w:r>
      <w:r w:rsidR="00D63AA4" w:rsidRPr="005F7FF7">
        <w:rPr>
          <w:rFonts w:cs="Times New Roman"/>
          <w:spacing w:val="-1"/>
          <w:sz w:val="22"/>
        </w:rPr>
        <w:t>firms</w:t>
      </w:r>
      <w:r w:rsidR="006A4D96" w:rsidRPr="005F7FF7">
        <w:rPr>
          <w:rFonts w:cs="Times New Roman"/>
          <w:sz w:val="22"/>
        </w:rPr>
        <w:t xml:space="preserve"> are</w:t>
      </w:r>
      <w:r w:rsidR="006A4D96" w:rsidRPr="005F7FF7">
        <w:rPr>
          <w:rFonts w:cs="Times New Roman"/>
          <w:spacing w:val="-1"/>
          <w:sz w:val="22"/>
        </w:rPr>
        <w:t xml:space="preserve"> </w:t>
      </w:r>
      <w:r w:rsidR="00D63AA4" w:rsidRPr="005F7FF7">
        <w:rPr>
          <w:rFonts w:cs="Times New Roman"/>
          <w:spacing w:val="-1"/>
          <w:position w:val="1"/>
          <w:sz w:val="22"/>
        </w:rPr>
        <w:t>characterised</w:t>
      </w:r>
      <w:r w:rsidR="00D63AA4" w:rsidRPr="005F7FF7">
        <w:rPr>
          <w:rFonts w:cs="Times New Roman"/>
          <w:position w:val="1"/>
          <w:sz w:val="22"/>
        </w:rPr>
        <w:t xml:space="preserve"> by</w:t>
      </w:r>
      <w:r w:rsidR="00D63AA4" w:rsidRPr="005F7FF7">
        <w:rPr>
          <w:rFonts w:cs="Times New Roman"/>
          <w:spacing w:val="-3"/>
          <w:position w:val="1"/>
          <w:sz w:val="22"/>
        </w:rPr>
        <w:t xml:space="preserve"> </w:t>
      </w:r>
      <w:r w:rsidR="00D63AA4" w:rsidRPr="005F7FF7">
        <w:rPr>
          <w:rFonts w:cs="Times New Roman"/>
          <w:spacing w:val="-1"/>
          <w:position w:val="1"/>
          <w:sz w:val="22"/>
        </w:rPr>
        <w:t>high</w:t>
      </w:r>
      <w:r w:rsidR="00D63AA4" w:rsidRPr="005F7FF7">
        <w:rPr>
          <w:rFonts w:cs="Times New Roman"/>
          <w:position w:val="1"/>
          <w:sz w:val="22"/>
        </w:rPr>
        <w:t xml:space="preserve"> </w:t>
      </w:r>
      <w:r w:rsidR="00D63AA4" w:rsidRPr="005F7FF7">
        <w:rPr>
          <w:rFonts w:cs="Times New Roman"/>
          <w:spacing w:val="-1"/>
          <w:position w:val="1"/>
          <w:sz w:val="22"/>
        </w:rPr>
        <w:t>levels</w:t>
      </w:r>
      <w:r w:rsidR="00D63AA4" w:rsidRPr="005F7FF7">
        <w:rPr>
          <w:rFonts w:cs="Times New Roman"/>
          <w:spacing w:val="-2"/>
          <w:position w:val="1"/>
          <w:sz w:val="22"/>
        </w:rPr>
        <w:t xml:space="preserve"> </w:t>
      </w:r>
      <w:r w:rsidR="00D63AA4" w:rsidRPr="005F7FF7">
        <w:rPr>
          <w:rFonts w:cs="Times New Roman"/>
          <w:position w:val="1"/>
          <w:sz w:val="22"/>
        </w:rPr>
        <w:t xml:space="preserve">of </w:t>
      </w:r>
      <w:r w:rsidR="00D63AA4" w:rsidRPr="005F7FF7">
        <w:rPr>
          <w:rFonts w:cs="Times New Roman"/>
          <w:spacing w:val="-1"/>
          <w:position w:val="1"/>
          <w:sz w:val="22"/>
        </w:rPr>
        <w:t>concentrated</w:t>
      </w:r>
      <w:r w:rsidR="00D63AA4" w:rsidRPr="005F7FF7">
        <w:rPr>
          <w:rFonts w:cs="Times New Roman"/>
          <w:position w:val="1"/>
          <w:sz w:val="22"/>
        </w:rPr>
        <w:t xml:space="preserve"> </w:t>
      </w:r>
      <w:r w:rsidR="00D63AA4" w:rsidRPr="005F7FF7">
        <w:rPr>
          <w:rFonts w:cs="Times New Roman"/>
          <w:spacing w:val="-1"/>
          <w:position w:val="1"/>
          <w:sz w:val="22"/>
        </w:rPr>
        <w:t>ownership,</w:t>
      </w:r>
      <w:r w:rsidR="00D63AA4" w:rsidRPr="005F7FF7">
        <w:rPr>
          <w:rFonts w:cs="Times New Roman"/>
          <w:spacing w:val="-3"/>
          <w:position w:val="1"/>
          <w:sz w:val="22"/>
        </w:rPr>
        <w:t xml:space="preserve"> </w:t>
      </w:r>
      <w:r w:rsidR="00665936" w:rsidRPr="005F7FF7">
        <w:rPr>
          <w:rFonts w:cs="Times New Roman"/>
          <w:spacing w:val="-1"/>
          <w:position w:val="1"/>
          <w:sz w:val="22"/>
        </w:rPr>
        <w:t>primarily by families and government</w:t>
      </w:r>
      <w:r w:rsidR="00D63AA4" w:rsidRPr="005F7FF7">
        <w:rPr>
          <w:rFonts w:cs="Times New Roman"/>
          <w:spacing w:val="43"/>
          <w:sz w:val="22"/>
        </w:rPr>
        <w:t xml:space="preserve"> </w:t>
      </w:r>
      <w:r w:rsidR="00D63AA4" w:rsidRPr="005F7FF7">
        <w:rPr>
          <w:rFonts w:cs="Times New Roman"/>
          <w:spacing w:val="-1"/>
          <w:sz w:val="22"/>
        </w:rPr>
        <w:t>(Najib,</w:t>
      </w:r>
      <w:r w:rsidR="00D63AA4" w:rsidRPr="005F7FF7">
        <w:rPr>
          <w:rFonts w:cs="Times New Roman"/>
          <w:spacing w:val="43"/>
          <w:sz w:val="22"/>
        </w:rPr>
        <w:t xml:space="preserve"> </w:t>
      </w:r>
      <w:r w:rsidR="00D63AA4" w:rsidRPr="005F7FF7">
        <w:rPr>
          <w:rFonts w:cs="Times New Roman"/>
          <w:spacing w:val="-1"/>
          <w:sz w:val="22"/>
        </w:rPr>
        <w:t>2007;</w:t>
      </w:r>
      <w:r w:rsidR="00D63AA4" w:rsidRPr="005F7FF7">
        <w:rPr>
          <w:rFonts w:cs="Times New Roman"/>
          <w:spacing w:val="44"/>
          <w:sz w:val="22"/>
        </w:rPr>
        <w:t xml:space="preserve"> </w:t>
      </w:r>
      <w:r w:rsidR="00D63AA4" w:rsidRPr="005F7FF7">
        <w:rPr>
          <w:rFonts w:cs="Times New Roman"/>
          <w:spacing w:val="-2"/>
          <w:sz w:val="22"/>
        </w:rPr>
        <w:t>Omran</w:t>
      </w:r>
      <w:r w:rsidR="00D63AA4" w:rsidRPr="005F7FF7">
        <w:rPr>
          <w:rFonts w:cs="Times New Roman"/>
          <w:spacing w:val="49"/>
          <w:sz w:val="22"/>
        </w:rPr>
        <w:t xml:space="preserve"> </w:t>
      </w:r>
      <w:r w:rsidR="00D63AA4" w:rsidRPr="005F7FF7">
        <w:rPr>
          <w:rFonts w:cs="Times New Roman"/>
          <w:i/>
          <w:sz w:val="22"/>
        </w:rPr>
        <w:t>et</w:t>
      </w:r>
      <w:r w:rsidR="00D63AA4" w:rsidRPr="005F7FF7">
        <w:rPr>
          <w:rFonts w:cs="Times New Roman"/>
          <w:i/>
          <w:spacing w:val="44"/>
          <w:sz w:val="22"/>
        </w:rPr>
        <w:t xml:space="preserve"> </w:t>
      </w:r>
      <w:r w:rsidR="00D63AA4" w:rsidRPr="005F7FF7">
        <w:rPr>
          <w:rFonts w:cs="Times New Roman"/>
          <w:i/>
          <w:spacing w:val="-1"/>
          <w:sz w:val="22"/>
        </w:rPr>
        <w:t>al</w:t>
      </w:r>
      <w:r w:rsidR="00D63AA4" w:rsidRPr="005F7FF7">
        <w:rPr>
          <w:rFonts w:cs="Times New Roman"/>
          <w:spacing w:val="-1"/>
          <w:sz w:val="22"/>
        </w:rPr>
        <w:t>.,</w:t>
      </w:r>
      <w:r w:rsidR="00D63AA4" w:rsidRPr="005F7FF7">
        <w:rPr>
          <w:rFonts w:cs="Times New Roman"/>
          <w:spacing w:val="43"/>
          <w:sz w:val="22"/>
        </w:rPr>
        <w:t xml:space="preserve"> </w:t>
      </w:r>
      <w:r w:rsidR="00D63AA4" w:rsidRPr="005F7FF7">
        <w:rPr>
          <w:rFonts w:cs="Times New Roman"/>
          <w:spacing w:val="-1"/>
          <w:sz w:val="22"/>
        </w:rPr>
        <w:t>2008;</w:t>
      </w:r>
      <w:r w:rsidR="00D63AA4" w:rsidRPr="005F7FF7">
        <w:rPr>
          <w:rFonts w:cs="Times New Roman"/>
          <w:spacing w:val="41"/>
          <w:sz w:val="22"/>
        </w:rPr>
        <w:t xml:space="preserve"> </w:t>
      </w:r>
      <w:r w:rsidR="00D63AA4" w:rsidRPr="005F7FF7">
        <w:rPr>
          <w:rFonts w:cs="Times New Roman"/>
          <w:spacing w:val="-1"/>
          <w:sz w:val="22"/>
        </w:rPr>
        <w:t>Bishara,</w:t>
      </w:r>
      <w:r w:rsidR="00D63AA4" w:rsidRPr="005F7FF7">
        <w:rPr>
          <w:rFonts w:cs="Times New Roman"/>
          <w:spacing w:val="43"/>
          <w:sz w:val="22"/>
        </w:rPr>
        <w:t xml:space="preserve"> </w:t>
      </w:r>
      <w:r w:rsidR="00D63AA4" w:rsidRPr="005F7FF7">
        <w:rPr>
          <w:rFonts w:cs="Times New Roman"/>
          <w:spacing w:val="-1"/>
          <w:sz w:val="22"/>
        </w:rPr>
        <w:t>2011</w:t>
      </w:r>
      <w:r w:rsidR="006B7210" w:rsidRPr="005F7FF7">
        <w:rPr>
          <w:rFonts w:cs="Times New Roman"/>
          <w:sz w:val="22"/>
        </w:rPr>
        <w:t>).</w:t>
      </w:r>
      <w:r w:rsidR="003C1142" w:rsidRPr="005F7FF7">
        <w:rPr>
          <w:rFonts w:cs="Times New Roman"/>
          <w:sz w:val="22"/>
        </w:rPr>
        <w:t xml:space="preserve"> </w:t>
      </w:r>
      <w:r w:rsidR="006B7210" w:rsidRPr="005F7FF7">
        <w:rPr>
          <w:rFonts w:cs="Times New Roman"/>
          <w:sz w:val="22"/>
        </w:rPr>
        <w:t xml:space="preserve">This is important </w:t>
      </w:r>
      <w:r w:rsidR="00BD7E61" w:rsidRPr="005F7FF7">
        <w:rPr>
          <w:rFonts w:cs="Times New Roman"/>
          <w:sz w:val="22"/>
        </w:rPr>
        <w:t xml:space="preserve">because </w:t>
      </w:r>
      <w:r w:rsidR="006B7210" w:rsidRPr="005F7FF7">
        <w:rPr>
          <w:rFonts w:cs="Times New Roman"/>
          <w:sz w:val="22"/>
        </w:rPr>
        <w:t>concentrated ownership structure</w:t>
      </w:r>
      <w:r w:rsidR="00954729">
        <w:rPr>
          <w:rFonts w:cs="Times New Roman"/>
          <w:sz w:val="22"/>
        </w:rPr>
        <w:t>s</w:t>
      </w:r>
      <w:r w:rsidR="00BD7E61" w:rsidRPr="005F7FF7">
        <w:rPr>
          <w:rFonts w:cs="Times New Roman"/>
          <w:sz w:val="22"/>
        </w:rPr>
        <w:t xml:space="preserve"> can</w:t>
      </w:r>
      <w:r w:rsidR="006B7210" w:rsidRPr="005F7FF7">
        <w:rPr>
          <w:rFonts w:cs="Times New Roman"/>
          <w:sz w:val="22"/>
        </w:rPr>
        <w:t xml:space="preserve"> </w:t>
      </w:r>
      <w:r w:rsidR="00BD7E61" w:rsidRPr="005F7FF7">
        <w:rPr>
          <w:rFonts w:cs="Times New Roman"/>
          <w:sz w:val="22"/>
        </w:rPr>
        <w:t>render</w:t>
      </w:r>
      <w:r w:rsidR="006B7210" w:rsidRPr="005F7FF7">
        <w:rPr>
          <w:rFonts w:cs="Times New Roman"/>
          <w:sz w:val="22"/>
        </w:rPr>
        <w:t xml:space="preserve"> the markets for corporate control, capital, services, executive talent and labour</w:t>
      </w:r>
      <w:r w:rsidR="00BD7E61" w:rsidRPr="005F7FF7">
        <w:rPr>
          <w:rFonts w:cs="Times New Roman"/>
          <w:sz w:val="22"/>
        </w:rPr>
        <w:t xml:space="preserve"> meant to discipline underperforming managers and corporations ineffective </w:t>
      </w:r>
      <w:r w:rsidR="006B7210" w:rsidRPr="005F7FF7">
        <w:rPr>
          <w:rFonts w:cs="Times New Roman"/>
          <w:spacing w:val="-1"/>
          <w:sz w:val="22"/>
        </w:rPr>
        <w:t>(</w:t>
      </w:r>
      <w:r w:rsidR="006B7210" w:rsidRPr="005F7FF7">
        <w:rPr>
          <w:rFonts w:cs="Times New Roman"/>
          <w:sz w:val="22"/>
        </w:rPr>
        <w:t>Shleifer and Vishny, 1997; Jaggi and Tsui, 2007; Alves, 2012;</w:t>
      </w:r>
      <w:r w:rsidR="006B7210" w:rsidRPr="005F7FF7">
        <w:rPr>
          <w:rFonts w:cs="Times New Roman"/>
          <w:spacing w:val="-1"/>
          <w:sz w:val="22"/>
        </w:rPr>
        <w:t xml:space="preserve"> </w:t>
      </w:r>
      <w:r w:rsidR="006B7210" w:rsidRPr="005F7FF7">
        <w:rPr>
          <w:rFonts w:cs="Times New Roman"/>
          <w:sz w:val="22"/>
        </w:rPr>
        <w:t>Chen and Zhang, 2012)</w:t>
      </w:r>
      <w:r w:rsidR="00574730" w:rsidRPr="005F7FF7">
        <w:rPr>
          <w:rFonts w:cs="Times New Roman"/>
          <w:sz w:val="22"/>
        </w:rPr>
        <w:t>,</w:t>
      </w:r>
      <w:r w:rsidR="00A2282A" w:rsidRPr="005F7FF7">
        <w:rPr>
          <w:rFonts w:cs="Times New Roman"/>
          <w:sz w:val="22"/>
        </w:rPr>
        <w:t xml:space="preserve"> and thereby often leading to managerial entrenchment.</w:t>
      </w:r>
      <w:r w:rsidR="00CA6DD9" w:rsidRPr="005F7FF7">
        <w:rPr>
          <w:rFonts w:cs="Times New Roman"/>
          <w:sz w:val="22"/>
        </w:rPr>
        <w:t xml:space="preserve"> Whilst these contextual issues are interesting, they also raise the question of whether a UK-style </w:t>
      </w:r>
      <w:r w:rsidR="00574730" w:rsidRPr="005F7FF7">
        <w:rPr>
          <w:rFonts w:cs="Times New Roman"/>
          <w:sz w:val="22"/>
        </w:rPr>
        <w:t>voluntary CG C</w:t>
      </w:r>
      <w:r w:rsidR="00CA6DD9" w:rsidRPr="005F7FF7">
        <w:rPr>
          <w:rFonts w:cs="Times New Roman"/>
          <w:sz w:val="22"/>
        </w:rPr>
        <w:t>ode can be effective in improving CG standards and performance, including reducing EM.</w:t>
      </w:r>
      <w:r w:rsidR="00574730" w:rsidRPr="005F7FF7">
        <w:rPr>
          <w:rFonts w:cs="Times New Roman"/>
          <w:sz w:val="22"/>
        </w:rPr>
        <w:t xml:space="preserve"> We, thus</w:t>
      </w:r>
      <w:r w:rsidR="00493744" w:rsidRPr="005F7FF7">
        <w:rPr>
          <w:rFonts w:cs="Times New Roman"/>
          <w:sz w:val="22"/>
        </w:rPr>
        <w:t xml:space="preserve">, examine the extent to </w:t>
      </w:r>
      <w:r w:rsidR="00E5110D" w:rsidRPr="005F7FF7">
        <w:rPr>
          <w:rFonts w:cs="Times New Roman"/>
          <w:sz w:val="22"/>
        </w:rPr>
        <w:t xml:space="preserve">which </w:t>
      </w:r>
      <w:r w:rsidR="00493744" w:rsidRPr="005F7FF7">
        <w:rPr>
          <w:rFonts w:cs="Times New Roman"/>
          <w:sz w:val="22"/>
        </w:rPr>
        <w:t>CG and IG mechanisms may drive corporate EM practices in Oman.</w:t>
      </w:r>
    </w:p>
    <w:p w:rsidR="003D2F9B" w:rsidRPr="005F7FF7" w:rsidRDefault="00AF6496" w:rsidP="0098306F">
      <w:pPr>
        <w:autoSpaceDE w:val="0"/>
        <w:autoSpaceDN w:val="0"/>
        <w:adjustRightInd w:val="0"/>
        <w:spacing w:line="360" w:lineRule="auto"/>
        <w:ind w:firstLine="720"/>
        <w:jc w:val="both"/>
        <w:rPr>
          <w:rFonts w:cs="Times New Roman"/>
          <w:bCs/>
          <w:sz w:val="22"/>
        </w:rPr>
      </w:pPr>
      <w:r w:rsidRPr="005F7FF7">
        <w:rPr>
          <w:rFonts w:cs="Times New Roman"/>
          <w:sz w:val="22"/>
        </w:rPr>
        <w:t xml:space="preserve">The remainder of the paper is organised as follows. The next section provides an overview </w:t>
      </w:r>
      <w:r w:rsidR="00B431BE" w:rsidRPr="005F7FF7">
        <w:rPr>
          <w:rFonts w:cs="Times New Roman"/>
          <w:sz w:val="22"/>
        </w:rPr>
        <w:t xml:space="preserve">of the institutional framework </w:t>
      </w:r>
      <w:r w:rsidRPr="005F7FF7">
        <w:rPr>
          <w:rFonts w:cs="Times New Roman"/>
          <w:sz w:val="22"/>
        </w:rPr>
        <w:t>f</w:t>
      </w:r>
      <w:r w:rsidR="00B431BE" w:rsidRPr="005F7FF7">
        <w:rPr>
          <w:rFonts w:cs="Times New Roman"/>
          <w:sz w:val="22"/>
        </w:rPr>
        <w:t>or</w:t>
      </w:r>
      <w:r w:rsidRPr="005F7FF7">
        <w:rPr>
          <w:rFonts w:cs="Times New Roman"/>
          <w:sz w:val="22"/>
        </w:rPr>
        <w:t xml:space="preserve"> Oman.</w:t>
      </w:r>
      <w:r w:rsidR="000C1CD8" w:rsidRPr="005F7FF7">
        <w:rPr>
          <w:rFonts w:cs="Times New Roman"/>
          <w:sz w:val="22"/>
        </w:rPr>
        <w:t xml:space="preserve"> </w:t>
      </w:r>
      <w:r w:rsidR="006B7210" w:rsidRPr="005F7FF7">
        <w:rPr>
          <w:rFonts w:cs="Times New Roman"/>
          <w:sz w:val="22"/>
        </w:rPr>
        <w:t>The subsequent s</w:t>
      </w:r>
      <w:r w:rsidR="000C1CD8" w:rsidRPr="005F7FF7">
        <w:rPr>
          <w:rFonts w:cs="Times New Roman"/>
          <w:sz w:val="22"/>
        </w:rPr>
        <w:t>ection</w:t>
      </w:r>
      <w:r w:rsidR="006B7210" w:rsidRPr="005F7FF7">
        <w:rPr>
          <w:rFonts w:cs="Times New Roman"/>
          <w:sz w:val="22"/>
        </w:rPr>
        <w:t>s</w:t>
      </w:r>
      <w:r w:rsidR="000C1CD8" w:rsidRPr="005F7FF7">
        <w:rPr>
          <w:rFonts w:cs="Times New Roman"/>
          <w:sz w:val="22"/>
        </w:rPr>
        <w:t xml:space="preserve"> </w:t>
      </w:r>
      <w:r w:rsidR="006B7210" w:rsidRPr="005F7FF7">
        <w:rPr>
          <w:rFonts w:cs="Times New Roman"/>
          <w:sz w:val="22"/>
        </w:rPr>
        <w:t xml:space="preserve">present the theoretical literature, </w:t>
      </w:r>
      <w:r w:rsidR="008A7405" w:rsidRPr="005F7FF7">
        <w:rPr>
          <w:rFonts w:cs="Times New Roman"/>
          <w:sz w:val="22"/>
        </w:rPr>
        <w:t xml:space="preserve">review </w:t>
      </w:r>
      <w:r w:rsidR="007B5E32" w:rsidRPr="005F7FF7">
        <w:rPr>
          <w:rFonts w:cs="Times New Roman"/>
          <w:sz w:val="22"/>
        </w:rPr>
        <w:t>past empirical studies</w:t>
      </w:r>
      <w:r w:rsidR="001A5525" w:rsidRPr="005F7FF7">
        <w:rPr>
          <w:rFonts w:cs="Times New Roman"/>
          <w:sz w:val="22"/>
        </w:rPr>
        <w:t xml:space="preserve"> and develop</w:t>
      </w:r>
      <w:r w:rsidR="008A7405" w:rsidRPr="005F7FF7">
        <w:rPr>
          <w:rFonts w:cs="Times New Roman"/>
          <w:sz w:val="22"/>
        </w:rPr>
        <w:t xml:space="preserve"> hypothese</w:t>
      </w:r>
      <w:r w:rsidR="001A5525" w:rsidRPr="005F7FF7">
        <w:rPr>
          <w:rFonts w:cs="Times New Roman"/>
          <w:sz w:val="22"/>
        </w:rPr>
        <w:t>s</w:t>
      </w:r>
      <w:r w:rsidR="006B7210" w:rsidRPr="005F7FF7">
        <w:rPr>
          <w:rFonts w:cs="Times New Roman"/>
          <w:sz w:val="22"/>
        </w:rPr>
        <w:t>,</w:t>
      </w:r>
      <w:r w:rsidR="000C1CD8" w:rsidRPr="005F7FF7">
        <w:rPr>
          <w:rFonts w:cs="Times New Roman"/>
          <w:sz w:val="22"/>
        </w:rPr>
        <w:t xml:space="preserve"> present data and research methodology</w:t>
      </w:r>
      <w:r w:rsidR="006B7210" w:rsidRPr="005F7FF7">
        <w:rPr>
          <w:rFonts w:cs="Times New Roman"/>
          <w:sz w:val="22"/>
        </w:rPr>
        <w:t xml:space="preserve"> and</w:t>
      </w:r>
      <w:r w:rsidR="000C1CD8" w:rsidRPr="005F7FF7">
        <w:rPr>
          <w:rFonts w:cs="Times New Roman"/>
          <w:sz w:val="22"/>
        </w:rPr>
        <w:t xml:space="preserve"> report</w:t>
      </w:r>
      <w:r w:rsidR="008A7405" w:rsidRPr="005F7FF7">
        <w:rPr>
          <w:rFonts w:cs="Times New Roman"/>
          <w:sz w:val="22"/>
        </w:rPr>
        <w:t xml:space="preserve"> the empirical findings</w:t>
      </w:r>
      <w:r w:rsidR="000C1CD8" w:rsidRPr="005F7FF7">
        <w:rPr>
          <w:rFonts w:cs="Times New Roman"/>
          <w:sz w:val="22"/>
        </w:rPr>
        <w:t xml:space="preserve"> and discussion, whilst</w:t>
      </w:r>
      <w:r w:rsidR="008A7405" w:rsidRPr="005F7FF7">
        <w:rPr>
          <w:rFonts w:cs="Times New Roman"/>
          <w:sz w:val="22"/>
        </w:rPr>
        <w:t xml:space="preserve"> </w:t>
      </w:r>
      <w:r w:rsidR="000C1CD8" w:rsidRPr="005F7FF7">
        <w:rPr>
          <w:rFonts w:cs="Times New Roman"/>
          <w:bCs/>
          <w:sz w:val="22"/>
        </w:rPr>
        <w:t>t</w:t>
      </w:r>
      <w:r w:rsidR="008A7405" w:rsidRPr="005F7FF7">
        <w:rPr>
          <w:rFonts w:cs="Times New Roman"/>
          <w:bCs/>
          <w:sz w:val="22"/>
        </w:rPr>
        <w:t>he final section summar</w:t>
      </w:r>
      <w:r w:rsidR="000C1CD8" w:rsidRPr="005F7FF7">
        <w:rPr>
          <w:rFonts w:cs="Times New Roman"/>
          <w:bCs/>
          <w:sz w:val="22"/>
        </w:rPr>
        <w:t>ises</w:t>
      </w:r>
      <w:r w:rsidR="008A7405" w:rsidRPr="005F7FF7">
        <w:rPr>
          <w:rFonts w:cs="Times New Roman"/>
          <w:bCs/>
          <w:sz w:val="22"/>
        </w:rPr>
        <w:t xml:space="preserve"> and conclu</w:t>
      </w:r>
      <w:r w:rsidR="0098306F" w:rsidRPr="005F7FF7">
        <w:rPr>
          <w:rFonts w:cs="Times New Roman"/>
          <w:bCs/>
          <w:sz w:val="22"/>
        </w:rPr>
        <w:t>des the paper</w:t>
      </w:r>
      <w:r w:rsidR="008A7405" w:rsidRPr="005F7FF7">
        <w:rPr>
          <w:rFonts w:cs="Times New Roman"/>
          <w:bCs/>
          <w:sz w:val="22"/>
        </w:rPr>
        <w:t xml:space="preserve">. </w:t>
      </w:r>
    </w:p>
    <w:p w:rsidR="0051160C" w:rsidRPr="005F7FF7" w:rsidRDefault="0051160C" w:rsidP="0098306F">
      <w:pPr>
        <w:autoSpaceDE w:val="0"/>
        <w:autoSpaceDN w:val="0"/>
        <w:adjustRightInd w:val="0"/>
        <w:spacing w:line="360" w:lineRule="auto"/>
        <w:ind w:firstLine="720"/>
        <w:jc w:val="both"/>
        <w:rPr>
          <w:rFonts w:cs="Times New Roman"/>
          <w:bCs/>
          <w:sz w:val="22"/>
        </w:rPr>
      </w:pPr>
    </w:p>
    <w:p w:rsidR="000C1CD8" w:rsidRPr="00330DD3" w:rsidRDefault="00330DD3" w:rsidP="00330DD3">
      <w:pPr>
        <w:rPr>
          <w:b/>
          <w:sz w:val="22"/>
        </w:rPr>
      </w:pPr>
      <w:r w:rsidRPr="00330DD3">
        <w:rPr>
          <w:b/>
          <w:sz w:val="22"/>
        </w:rPr>
        <w:t xml:space="preserve">2. </w:t>
      </w:r>
      <w:r w:rsidR="00DD0FB4" w:rsidRPr="00330DD3">
        <w:rPr>
          <w:b/>
          <w:sz w:val="22"/>
        </w:rPr>
        <w:t>Institutional f</w:t>
      </w:r>
      <w:r w:rsidR="00140299" w:rsidRPr="00330DD3">
        <w:rPr>
          <w:b/>
          <w:sz w:val="22"/>
        </w:rPr>
        <w:t xml:space="preserve">ramework </w:t>
      </w:r>
      <w:r w:rsidR="00DD0FB4" w:rsidRPr="00330DD3">
        <w:rPr>
          <w:b/>
          <w:sz w:val="22"/>
        </w:rPr>
        <w:t>for</w:t>
      </w:r>
      <w:r w:rsidR="00140299" w:rsidRPr="00330DD3">
        <w:rPr>
          <w:b/>
          <w:sz w:val="22"/>
        </w:rPr>
        <w:t xml:space="preserve"> Oman</w:t>
      </w:r>
    </w:p>
    <w:p w:rsidR="00E865C4" w:rsidRPr="005F7FF7" w:rsidRDefault="00703599" w:rsidP="00E865C4">
      <w:pPr>
        <w:tabs>
          <w:tab w:val="left" w:pos="851"/>
        </w:tabs>
        <w:jc w:val="both"/>
        <w:rPr>
          <w:rFonts w:cs="Times New Roman"/>
          <w:sz w:val="22"/>
        </w:rPr>
      </w:pPr>
      <w:bookmarkStart w:id="5" w:name="_Toc383014537"/>
      <w:bookmarkStart w:id="6" w:name="_Toc383249581"/>
      <w:r w:rsidRPr="005F7FF7">
        <w:rPr>
          <w:rFonts w:cs="Times New Roman"/>
          <w:sz w:val="22"/>
        </w:rPr>
        <w:tab/>
      </w:r>
    </w:p>
    <w:p w:rsidR="00703599" w:rsidRPr="005F7FF7" w:rsidRDefault="00E865C4" w:rsidP="00703599">
      <w:pPr>
        <w:tabs>
          <w:tab w:val="left" w:pos="851"/>
        </w:tabs>
        <w:spacing w:line="360" w:lineRule="auto"/>
        <w:jc w:val="both"/>
        <w:rPr>
          <w:rFonts w:cs="Times New Roman"/>
          <w:sz w:val="22"/>
        </w:rPr>
      </w:pPr>
      <w:r w:rsidRPr="005F7FF7">
        <w:rPr>
          <w:rFonts w:cs="Times New Roman"/>
          <w:sz w:val="22"/>
        </w:rPr>
        <w:tab/>
      </w:r>
      <w:r w:rsidR="00E5110D" w:rsidRPr="005F7FF7">
        <w:rPr>
          <w:rFonts w:cs="Times New Roman"/>
          <w:sz w:val="22"/>
        </w:rPr>
        <w:t>As briefly noted previously, t</w:t>
      </w:r>
      <w:r w:rsidR="00703599" w:rsidRPr="005F7FF7">
        <w:rPr>
          <w:rFonts w:cs="Times New Roman"/>
          <w:sz w:val="22"/>
        </w:rPr>
        <w:t xml:space="preserve">he Omani CG regulatory framework </w:t>
      </w:r>
      <w:r w:rsidR="00FB38A5">
        <w:rPr>
          <w:rFonts w:cs="Times New Roman"/>
          <w:sz w:val="22"/>
        </w:rPr>
        <w:t xml:space="preserve">was </w:t>
      </w:r>
      <w:r w:rsidR="00703599" w:rsidRPr="005F7FF7">
        <w:rPr>
          <w:rFonts w:cs="Times New Roman"/>
          <w:sz w:val="22"/>
        </w:rPr>
        <w:t xml:space="preserve">institutionalised </w:t>
      </w:r>
      <w:r w:rsidR="00981069">
        <w:rPr>
          <w:rFonts w:cs="Times New Roman"/>
          <w:sz w:val="22"/>
        </w:rPr>
        <w:t>through the</w:t>
      </w:r>
      <w:r w:rsidR="00703599" w:rsidRPr="005F7FF7">
        <w:rPr>
          <w:rFonts w:cs="Times New Roman"/>
          <w:sz w:val="22"/>
        </w:rPr>
        <w:t xml:space="preserve"> issuance of the</w:t>
      </w:r>
      <w:r w:rsidR="00E5110D" w:rsidRPr="005F7FF7">
        <w:rPr>
          <w:rFonts w:cs="Times New Roman"/>
          <w:sz w:val="22"/>
        </w:rPr>
        <w:t xml:space="preserve"> UK-style </w:t>
      </w:r>
      <w:r w:rsidR="00703599" w:rsidRPr="005F7FF7">
        <w:rPr>
          <w:rFonts w:cs="Times New Roman"/>
          <w:sz w:val="22"/>
        </w:rPr>
        <w:t xml:space="preserve">2002 </w:t>
      </w:r>
      <w:r w:rsidR="00E5110D" w:rsidRPr="005F7FF7">
        <w:rPr>
          <w:rFonts w:cs="Times New Roman"/>
          <w:sz w:val="22"/>
        </w:rPr>
        <w:t xml:space="preserve">voluntary </w:t>
      </w:r>
      <w:r w:rsidR="00574730" w:rsidRPr="005F7FF7">
        <w:rPr>
          <w:rFonts w:cs="Times New Roman"/>
          <w:sz w:val="22"/>
        </w:rPr>
        <w:t>C</w:t>
      </w:r>
      <w:r w:rsidR="00703599" w:rsidRPr="005F7FF7">
        <w:rPr>
          <w:rFonts w:cs="Times New Roman"/>
          <w:sz w:val="22"/>
        </w:rPr>
        <w:t xml:space="preserve">ode of good CG practices. The </w:t>
      </w:r>
      <w:r w:rsidR="00704301" w:rsidRPr="005F7FF7">
        <w:rPr>
          <w:rFonts w:cs="Times New Roman"/>
          <w:sz w:val="22"/>
        </w:rPr>
        <w:t>C</w:t>
      </w:r>
      <w:r w:rsidR="00703599" w:rsidRPr="005F7FF7">
        <w:rPr>
          <w:rFonts w:cs="Times New Roman"/>
          <w:sz w:val="22"/>
        </w:rPr>
        <w:t xml:space="preserve">ode‘s publication </w:t>
      </w:r>
      <w:r w:rsidR="00FB38A5">
        <w:rPr>
          <w:rFonts w:cs="Times New Roman"/>
          <w:sz w:val="22"/>
        </w:rPr>
        <w:t>was</w:t>
      </w:r>
      <w:r w:rsidR="00703599" w:rsidRPr="005F7FF7">
        <w:rPr>
          <w:rFonts w:cs="Times New Roman"/>
          <w:sz w:val="22"/>
        </w:rPr>
        <w:t xml:space="preserve"> mainly attributed to two key factors. First, sharp declines in Muscat Security Market’s </w:t>
      </w:r>
      <w:r w:rsidR="00C53FDF" w:rsidRPr="005F7FF7">
        <w:rPr>
          <w:rFonts w:cs="Times New Roman"/>
          <w:sz w:val="22"/>
        </w:rPr>
        <w:t xml:space="preserve">(MSM) </w:t>
      </w:r>
      <w:r w:rsidR="00703599" w:rsidRPr="005F7FF7">
        <w:rPr>
          <w:rFonts w:cs="Times New Roman"/>
          <w:sz w:val="22"/>
        </w:rPr>
        <w:t xml:space="preserve">value of listed firms in 1997 had a negative impact on the Omani economy in general and firms in particular (Fleety, 2010). The government had to make major corporate policy reforms in order to respond to such negative effects. Second, Oman was also influenced by a worldwide </w:t>
      </w:r>
      <w:r w:rsidR="00E5110D" w:rsidRPr="005F7FF7">
        <w:rPr>
          <w:rFonts w:cs="Times New Roman"/>
          <w:sz w:val="22"/>
        </w:rPr>
        <w:t>proliferation</w:t>
      </w:r>
      <w:r w:rsidR="00703599" w:rsidRPr="005F7FF7">
        <w:rPr>
          <w:rFonts w:cs="Times New Roman"/>
          <w:sz w:val="22"/>
        </w:rPr>
        <w:t xml:space="preserve"> of self-regulatory initiatives </w:t>
      </w:r>
      <w:r w:rsidR="00C53FDF" w:rsidRPr="005F7FF7">
        <w:rPr>
          <w:rFonts w:cs="Times New Roman"/>
          <w:sz w:val="22"/>
        </w:rPr>
        <w:t>that aimed at improving</w:t>
      </w:r>
      <w:r w:rsidR="00703599" w:rsidRPr="005F7FF7">
        <w:rPr>
          <w:rFonts w:cs="Times New Roman"/>
          <w:sz w:val="22"/>
        </w:rPr>
        <w:t xml:space="preserve"> CG </w:t>
      </w:r>
      <w:r w:rsidR="00C53FDF" w:rsidRPr="005F7FF7">
        <w:rPr>
          <w:rFonts w:cs="Times New Roman"/>
          <w:sz w:val="22"/>
        </w:rPr>
        <w:t>standards</w:t>
      </w:r>
      <w:r w:rsidR="00703599" w:rsidRPr="005F7FF7">
        <w:rPr>
          <w:rFonts w:cs="Times New Roman"/>
          <w:sz w:val="22"/>
        </w:rPr>
        <w:t xml:space="preserve"> as a </w:t>
      </w:r>
      <w:r w:rsidR="00C53FDF" w:rsidRPr="005F7FF7">
        <w:rPr>
          <w:rFonts w:cs="Times New Roman"/>
          <w:sz w:val="22"/>
        </w:rPr>
        <w:t xml:space="preserve">potential </w:t>
      </w:r>
      <w:r w:rsidR="00703599" w:rsidRPr="005F7FF7">
        <w:rPr>
          <w:rFonts w:cs="Times New Roman"/>
          <w:sz w:val="22"/>
        </w:rPr>
        <w:t xml:space="preserve">remedy for corporate failures. </w:t>
      </w:r>
      <w:r w:rsidR="00C53FDF" w:rsidRPr="005F7FF7">
        <w:rPr>
          <w:rFonts w:cs="Times New Roman"/>
          <w:sz w:val="22"/>
        </w:rPr>
        <w:t>Consequently,</w:t>
      </w:r>
      <w:r w:rsidR="00703599" w:rsidRPr="005F7FF7">
        <w:rPr>
          <w:rFonts w:cs="Times New Roman"/>
          <w:sz w:val="22"/>
        </w:rPr>
        <w:t xml:space="preserve"> atte</w:t>
      </w:r>
      <w:r w:rsidR="007F072A" w:rsidRPr="005F7FF7">
        <w:rPr>
          <w:rFonts w:cs="Times New Roman"/>
          <w:sz w:val="22"/>
        </w:rPr>
        <w:t xml:space="preserve">mpts </w:t>
      </w:r>
      <w:r w:rsidR="00C53FDF" w:rsidRPr="005F7FF7">
        <w:rPr>
          <w:rFonts w:cs="Times New Roman"/>
          <w:sz w:val="22"/>
        </w:rPr>
        <w:t>at</w:t>
      </w:r>
      <w:r w:rsidR="007F072A" w:rsidRPr="005F7FF7">
        <w:rPr>
          <w:rFonts w:cs="Times New Roman"/>
          <w:sz w:val="22"/>
        </w:rPr>
        <w:t xml:space="preserve"> reform</w:t>
      </w:r>
      <w:r w:rsidR="00C53FDF" w:rsidRPr="005F7FF7">
        <w:rPr>
          <w:rFonts w:cs="Times New Roman"/>
          <w:sz w:val="22"/>
        </w:rPr>
        <w:t>ing</w:t>
      </w:r>
      <w:r w:rsidR="007F072A" w:rsidRPr="005F7FF7">
        <w:rPr>
          <w:rFonts w:cs="Times New Roman"/>
          <w:sz w:val="22"/>
        </w:rPr>
        <w:t xml:space="preserve"> CG</w:t>
      </w:r>
      <w:r w:rsidR="00703599" w:rsidRPr="005F7FF7">
        <w:rPr>
          <w:rFonts w:cs="Times New Roman"/>
          <w:sz w:val="22"/>
        </w:rPr>
        <w:t xml:space="preserve"> practices in Oman </w:t>
      </w:r>
      <w:r w:rsidR="00372B08">
        <w:rPr>
          <w:rFonts w:cs="Times New Roman"/>
          <w:sz w:val="22"/>
        </w:rPr>
        <w:t>started</w:t>
      </w:r>
      <w:r w:rsidR="00703599" w:rsidRPr="005F7FF7">
        <w:rPr>
          <w:rFonts w:cs="Times New Roman"/>
          <w:sz w:val="22"/>
        </w:rPr>
        <w:t xml:space="preserve"> in June 2001, when the Capital Market Authority</w:t>
      </w:r>
      <w:r w:rsidR="00C53FDF" w:rsidRPr="005F7FF7">
        <w:rPr>
          <w:rFonts w:cs="Times New Roman"/>
          <w:sz w:val="22"/>
        </w:rPr>
        <w:t xml:space="preserve"> (CMA)</w:t>
      </w:r>
      <w:r w:rsidR="00703599" w:rsidRPr="005F7FF7">
        <w:rPr>
          <w:rFonts w:cs="Times New Roman"/>
          <w:sz w:val="22"/>
        </w:rPr>
        <w:t xml:space="preserve"> organised a workshop to develop a CG </w:t>
      </w:r>
      <w:r w:rsidR="00574730" w:rsidRPr="005F7FF7">
        <w:rPr>
          <w:rFonts w:cs="Times New Roman"/>
          <w:sz w:val="22"/>
        </w:rPr>
        <w:t>C</w:t>
      </w:r>
      <w:r w:rsidR="00703599" w:rsidRPr="005F7FF7">
        <w:rPr>
          <w:rFonts w:cs="Times New Roman"/>
          <w:sz w:val="22"/>
        </w:rPr>
        <w:t xml:space="preserve">ode. </w:t>
      </w:r>
      <w:r w:rsidR="00AB2E04">
        <w:rPr>
          <w:rFonts w:cs="Times New Roman"/>
          <w:sz w:val="22"/>
        </w:rPr>
        <w:t>Consequently, t</w:t>
      </w:r>
      <w:r w:rsidR="00703599" w:rsidRPr="005F7FF7">
        <w:rPr>
          <w:rFonts w:cs="Times New Roman"/>
          <w:sz w:val="22"/>
        </w:rPr>
        <w:t>he C</w:t>
      </w:r>
      <w:r w:rsidR="00C53FDF" w:rsidRPr="005F7FF7">
        <w:rPr>
          <w:rFonts w:cs="Times New Roman"/>
          <w:sz w:val="22"/>
        </w:rPr>
        <w:t>MA</w:t>
      </w:r>
      <w:r w:rsidR="00703599" w:rsidRPr="005F7FF7">
        <w:rPr>
          <w:rFonts w:cs="Times New Roman"/>
          <w:sz w:val="22"/>
        </w:rPr>
        <w:t xml:space="preserve"> issued </w:t>
      </w:r>
      <w:r w:rsidR="00C53FDF" w:rsidRPr="005F7FF7">
        <w:rPr>
          <w:rFonts w:cs="Times New Roman"/>
          <w:sz w:val="22"/>
        </w:rPr>
        <w:t xml:space="preserve">a CG </w:t>
      </w:r>
      <w:r w:rsidR="00574730" w:rsidRPr="005F7FF7">
        <w:rPr>
          <w:rFonts w:cs="Times New Roman"/>
          <w:sz w:val="22"/>
        </w:rPr>
        <w:t>C</w:t>
      </w:r>
      <w:r w:rsidR="00703599" w:rsidRPr="005F7FF7">
        <w:rPr>
          <w:rFonts w:cs="Times New Roman"/>
          <w:sz w:val="22"/>
        </w:rPr>
        <w:t>ode in June 2002</w:t>
      </w:r>
      <w:r w:rsidR="00372B08">
        <w:rPr>
          <w:rFonts w:cs="Times New Roman"/>
          <w:sz w:val="22"/>
        </w:rPr>
        <w:t>, which came</w:t>
      </w:r>
      <w:r w:rsidR="0070415E" w:rsidRPr="005F7FF7">
        <w:rPr>
          <w:rFonts w:cs="Times New Roman"/>
          <w:sz w:val="22"/>
        </w:rPr>
        <w:t xml:space="preserve"> </w:t>
      </w:r>
      <w:r w:rsidR="00703599" w:rsidRPr="005F7FF7">
        <w:rPr>
          <w:rFonts w:cs="Times New Roman"/>
          <w:sz w:val="22"/>
        </w:rPr>
        <w:t>into effect in January 200</w:t>
      </w:r>
      <w:r w:rsidR="00C53FDF" w:rsidRPr="005F7FF7">
        <w:rPr>
          <w:rFonts w:cs="Times New Roman"/>
          <w:sz w:val="22"/>
        </w:rPr>
        <w:t>3</w:t>
      </w:r>
      <w:r w:rsidR="00703599" w:rsidRPr="005F7FF7">
        <w:rPr>
          <w:rFonts w:cs="Times New Roman"/>
          <w:sz w:val="22"/>
        </w:rPr>
        <w:t>. The</w:t>
      </w:r>
      <w:r w:rsidR="00574730" w:rsidRPr="005F7FF7">
        <w:rPr>
          <w:rFonts w:cs="Times New Roman"/>
          <w:sz w:val="22"/>
        </w:rPr>
        <w:t xml:space="preserve"> Code contained CG provisions relating to four main areas</w:t>
      </w:r>
      <w:r w:rsidR="00703599" w:rsidRPr="005F7FF7">
        <w:rPr>
          <w:rFonts w:cs="Times New Roman"/>
          <w:sz w:val="22"/>
        </w:rPr>
        <w:t>: (i) board and directors; (ii) accounting and auditing; (iii) external auditors and internal control systems; and (iv) disclosure and transparency (see the Appendix).</w:t>
      </w:r>
      <w:r w:rsidR="00567077" w:rsidRPr="005F7FF7">
        <w:rPr>
          <w:rFonts w:cs="Times New Roman"/>
          <w:sz w:val="22"/>
        </w:rPr>
        <w:t xml:space="preserve"> </w:t>
      </w:r>
    </w:p>
    <w:p w:rsidR="004148CE" w:rsidRPr="005F7FF7" w:rsidRDefault="005A6931" w:rsidP="00E90D53">
      <w:pPr>
        <w:spacing w:line="360" w:lineRule="auto"/>
        <w:ind w:firstLine="720"/>
        <w:jc w:val="both"/>
        <w:rPr>
          <w:rFonts w:cs="Times New Roman"/>
          <w:sz w:val="22"/>
          <w:lang w:val="en-US"/>
        </w:rPr>
      </w:pPr>
      <w:r w:rsidRPr="005F7FF7">
        <w:rPr>
          <w:rFonts w:cs="Times New Roman"/>
          <w:sz w:val="22"/>
        </w:rPr>
        <w:t xml:space="preserve">Discernibly, </w:t>
      </w:r>
      <w:r w:rsidR="00751BDD">
        <w:rPr>
          <w:rFonts w:cs="Times New Roman"/>
          <w:sz w:val="22"/>
        </w:rPr>
        <w:t xml:space="preserve">the </w:t>
      </w:r>
      <w:r w:rsidR="00703599" w:rsidRPr="005F7FF7">
        <w:rPr>
          <w:rFonts w:cs="Times New Roman"/>
          <w:sz w:val="22"/>
        </w:rPr>
        <w:t>Oman</w:t>
      </w:r>
      <w:r w:rsidRPr="005F7FF7">
        <w:rPr>
          <w:rFonts w:cs="Times New Roman"/>
          <w:sz w:val="22"/>
        </w:rPr>
        <w:t xml:space="preserve">i Code </w:t>
      </w:r>
      <w:r w:rsidR="00703599" w:rsidRPr="005F7FF7">
        <w:rPr>
          <w:rFonts w:cs="Times New Roman"/>
          <w:sz w:val="22"/>
        </w:rPr>
        <w:t xml:space="preserve">adopted </w:t>
      </w:r>
      <w:r w:rsidR="009A6429" w:rsidRPr="005F7FF7">
        <w:rPr>
          <w:rFonts w:cs="Times New Roman"/>
          <w:sz w:val="22"/>
        </w:rPr>
        <w:t>UK-style voluntary compliance and enforcement regime (‘comply or explain’).</w:t>
      </w:r>
      <w:r w:rsidR="00703599" w:rsidRPr="005F7FF7">
        <w:rPr>
          <w:rFonts w:cs="Times New Roman"/>
          <w:sz w:val="22"/>
        </w:rPr>
        <w:t xml:space="preserve"> </w:t>
      </w:r>
      <w:r w:rsidR="009A6429" w:rsidRPr="005F7FF7">
        <w:rPr>
          <w:rFonts w:cs="Times New Roman"/>
          <w:sz w:val="22"/>
        </w:rPr>
        <w:t xml:space="preserve">Specifically, the CG provisions and principles </w:t>
      </w:r>
      <w:r w:rsidR="0045677E" w:rsidRPr="005F7FF7">
        <w:rPr>
          <w:rFonts w:cs="Times New Roman"/>
          <w:sz w:val="22"/>
        </w:rPr>
        <w:t>(e.g., accountability,</w:t>
      </w:r>
      <w:r w:rsidR="00552901" w:rsidRPr="005F7FF7">
        <w:rPr>
          <w:rFonts w:cs="Times New Roman"/>
          <w:sz w:val="22"/>
        </w:rPr>
        <w:t xml:space="preserve"> fairness,</w:t>
      </w:r>
      <w:r w:rsidR="0045677E" w:rsidRPr="005F7FF7">
        <w:rPr>
          <w:rFonts w:cs="Times New Roman"/>
          <w:sz w:val="22"/>
        </w:rPr>
        <w:t xml:space="preserve"> independence, honesty, integrity and transparency) </w:t>
      </w:r>
      <w:r w:rsidR="009A6429" w:rsidRPr="005F7FF7">
        <w:rPr>
          <w:rFonts w:cs="Times New Roman"/>
          <w:sz w:val="22"/>
        </w:rPr>
        <w:t>contained in the Omani C</w:t>
      </w:r>
      <w:r w:rsidR="00703599" w:rsidRPr="005F7FF7">
        <w:rPr>
          <w:rFonts w:cs="Times New Roman"/>
          <w:sz w:val="22"/>
        </w:rPr>
        <w:t>ode was drawn mainly from the 1992 UK Cadbury Report, principally in relation to the composition and functions of the board of directors</w:t>
      </w:r>
      <w:r w:rsidR="00703599" w:rsidRPr="005F7FF7">
        <w:rPr>
          <w:rFonts w:cs="Times New Roman"/>
          <w:i/>
          <w:iCs/>
          <w:sz w:val="22"/>
        </w:rPr>
        <w:t xml:space="preserve">. </w:t>
      </w:r>
      <w:r w:rsidR="00552901" w:rsidRPr="005F7FF7">
        <w:rPr>
          <w:rFonts w:cs="Times New Roman"/>
          <w:iCs/>
          <w:sz w:val="22"/>
        </w:rPr>
        <w:t>For example, it advocated a UK-style one-tier corpo</w:t>
      </w:r>
      <w:r w:rsidR="007C520B" w:rsidRPr="005F7FF7">
        <w:rPr>
          <w:rFonts w:cs="Times New Roman"/>
          <w:iCs/>
          <w:sz w:val="22"/>
        </w:rPr>
        <w:t>rate board</w:t>
      </w:r>
      <w:r w:rsidR="00F125D6">
        <w:rPr>
          <w:rFonts w:cs="Times New Roman"/>
          <w:iCs/>
          <w:sz w:val="22"/>
        </w:rPr>
        <w:t>,</w:t>
      </w:r>
      <w:r w:rsidR="00552901" w:rsidRPr="005F7FF7">
        <w:rPr>
          <w:rFonts w:cs="Times New Roman"/>
          <w:iCs/>
          <w:sz w:val="22"/>
        </w:rPr>
        <w:t xml:space="preserve"> consisting of </w:t>
      </w:r>
      <w:r w:rsidR="00F125D6">
        <w:rPr>
          <w:rFonts w:cs="Times New Roman"/>
          <w:iCs/>
          <w:sz w:val="22"/>
        </w:rPr>
        <w:t>executive</w:t>
      </w:r>
      <w:r w:rsidR="00552901" w:rsidRPr="005F7FF7">
        <w:rPr>
          <w:rFonts w:cs="Times New Roman"/>
          <w:iCs/>
          <w:sz w:val="22"/>
        </w:rPr>
        <w:t xml:space="preserve"> and non-executive directors</w:t>
      </w:r>
      <w:r w:rsidR="00F125D6">
        <w:rPr>
          <w:rFonts w:cs="Times New Roman"/>
          <w:iCs/>
          <w:sz w:val="22"/>
        </w:rPr>
        <w:t>,</w:t>
      </w:r>
      <w:r w:rsidR="00552901" w:rsidRPr="005F7FF7">
        <w:rPr>
          <w:rFonts w:cs="Times New Roman"/>
          <w:iCs/>
          <w:sz w:val="22"/>
        </w:rPr>
        <w:t xml:space="preserve"> </w:t>
      </w:r>
      <w:r w:rsidR="007C520B" w:rsidRPr="005F7FF7">
        <w:rPr>
          <w:rFonts w:cs="Times New Roman"/>
          <w:iCs/>
          <w:sz w:val="22"/>
        </w:rPr>
        <w:t>whose operations are supported by a number of subcommitees, including audit, nomination and remuneration committees. The central objective of these board structure</w:t>
      </w:r>
      <w:r w:rsidR="00E90D53" w:rsidRPr="005F7FF7">
        <w:rPr>
          <w:rFonts w:cs="Times New Roman"/>
          <w:iCs/>
          <w:sz w:val="22"/>
        </w:rPr>
        <w:t xml:space="preserve">s is to enhance CG, disclosure and transparency by improving accounting, auditing, internal control and risk management systems. </w:t>
      </w:r>
      <w:r w:rsidR="003C3572" w:rsidRPr="005F7FF7">
        <w:rPr>
          <w:rFonts w:cs="Times New Roman"/>
          <w:iCs/>
          <w:sz w:val="22"/>
        </w:rPr>
        <w:t xml:space="preserve">Additionally, Oman has made explicit efforts at developing and improving </w:t>
      </w:r>
      <w:r w:rsidR="003C3572" w:rsidRPr="005F7FF7">
        <w:rPr>
          <w:rFonts w:cs="Times New Roman"/>
          <w:sz w:val="22"/>
        </w:rPr>
        <w:t>t</w:t>
      </w:r>
      <w:r w:rsidR="00703599" w:rsidRPr="005F7FF7">
        <w:rPr>
          <w:rFonts w:cs="Times New Roman"/>
          <w:sz w:val="22"/>
        </w:rPr>
        <w:t>he institutional framework for accounting and auditing</w:t>
      </w:r>
      <w:r w:rsidR="003C3572" w:rsidRPr="005F7FF7">
        <w:rPr>
          <w:rFonts w:cs="Times New Roman"/>
          <w:sz w:val="22"/>
        </w:rPr>
        <w:t>.</w:t>
      </w:r>
      <w:r w:rsidR="00703599" w:rsidRPr="005F7FF7">
        <w:rPr>
          <w:rFonts w:cs="Times New Roman"/>
          <w:sz w:val="22"/>
        </w:rPr>
        <w:t xml:space="preserve"> </w:t>
      </w:r>
      <w:r w:rsidR="003C3572" w:rsidRPr="005F7FF7">
        <w:rPr>
          <w:rFonts w:cs="Times New Roman"/>
          <w:sz w:val="22"/>
        </w:rPr>
        <w:t xml:space="preserve">For example, Oman is one of the first countries in the MENA region to </w:t>
      </w:r>
      <w:r w:rsidR="0044684E">
        <w:rPr>
          <w:rFonts w:cs="Times New Roman"/>
          <w:sz w:val="22"/>
        </w:rPr>
        <w:t xml:space="preserve">have </w:t>
      </w:r>
      <w:r w:rsidR="003C3572" w:rsidRPr="005F7FF7">
        <w:rPr>
          <w:rFonts w:cs="Times New Roman"/>
          <w:sz w:val="22"/>
        </w:rPr>
        <w:t>fully adopt</w:t>
      </w:r>
      <w:r w:rsidR="0044684E">
        <w:rPr>
          <w:rFonts w:cs="Times New Roman"/>
          <w:sz w:val="22"/>
        </w:rPr>
        <w:t>ed</w:t>
      </w:r>
      <w:r w:rsidR="00703599" w:rsidRPr="005F7FF7">
        <w:rPr>
          <w:rFonts w:cs="Times New Roman"/>
          <w:sz w:val="22"/>
        </w:rPr>
        <w:t xml:space="preserve"> </w:t>
      </w:r>
      <w:r w:rsidR="00987024" w:rsidRPr="005F7FF7">
        <w:rPr>
          <w:rFonts w:cs="Times New Roman"/>
          <w:spacing w:val="-1"/>
          <w:sz w:val="22"/>
        </w:rPr>
        <w:t>International</w:t>
      </w:r>
      <w:r w:rsidR="00987024" w:rsidRPr="005F7FF7">
        <w:rPr>
          <w:rFonts w:cs="Times New Roman"/>
          <w:spacing w:val="46"/>
          <w:sz w:val="22"/>
        </w:rPr>
        <w:t xml:space="preserve"> </w:t>
      </w:r>
      <w:r w:rsidR="00987024" w:rsidRPr="005F7FF7">
        <w:rPr>
          <w:rFonts w:cs="Times New Roman"/>
          <w:spacing w:val="-1"/>
          <w:sz w:val="22"/>
        </w:rPr>
        <w:t>Accounting</w:t>
      </w:r>
      <w:r w:rsidR="00987024" w:rsidRPr="005F7FF7">
        <w:rPr>
          <w:rFonts w:cs="Times New Roman"/>
          <w:spacing w:val="43"/>
          <w:sz w:val="22"/>
        </w:rPr>
        <w:t xml:space="preserve"> </w:t>
      </w:r>
      <w:r w:rsidR="00987024" w:rsidRPr="005F7FF7">
        <w:rPr>
          <w:rFonts w:cs="Times New Roman"/>
          <w:spacing w:val="-1"/>
          <w:sz w:val="22"/>
        </w:rPr>
        <w:t>Standards</w:t>
      </w:r>
      <w:r w:rsidR="00987024" w:rsidRPr="005F7FF7">
        <w:rPr>
          <w:rFonts w:cs="Times New Roman"/>
          <w:spacing w:val="43"/>
          <w:sz w:val="22"/>
        </w:rPr>
        <w:t xml:space="preserve"> (</w:t>
      </w:r>
      <w:r w:rsidR="00987024" w:rsidRPr="005F7FF7">
        <w:rPr>
          <w:rFonts w:cs="Times New Roman"/>
          <w:sz w:val="22"/>
        </w:rPr>
        <w:t xml:space="preserve">IASs) and </w:t>
      </w:r>
      <w:r w:rsidR="003C3572" w:rsidRPr="005F7FF7">
        <w:rPr>
          <w:rFonts w:cs="Times New Roman"/>
          <w:sz w:val="22"/>
        </w:rPr>
        <w:t xml:space="preserve">subsequently, </w:t>
      </w:r>
      <w:r w:rsidR="00987024" w:rsidRPr="005F7FF7">
        <w:rPr>
          <w:rFonts w:cs="Times New Roman"/>
          <w:spacing w:val="-1"/>
          <w:sz w:val="22"/>
        </w:rPr>
        <w:t>International</w:t>
      </w:r>
      <w:r w:rsidR="00987024" w:rsidRPr="005F7FF7">
        <w:rPr>
          <w:rFonts w:cs="Times New Roman"/>
          <w:spacing w:val="46"/>
          <w:sz w:val="22"/>
        </w:rPr>
        <w:t xml:space="preserve"> </w:t>
      </w:r>
      <w:r w:rsidR="00987024" w:rsidRPr="005F7FF7">
        <w:rPr>
          <w:rFonts w:cs="Times New Roman"/>
          <w:spacing w:val="-1"/>
          <w:sz w:val="22"/>
        </w:rPr>
        <w:t>Financial</w:t>
      </w:r>
      <w:r w:rsidR="00987024" w:rsidRPr="005F7FF7">
        <w:rPr>
          <w:rFonts w:cs="Times New Roman"/>
          <w:spacing w:val="46"/>
          <w:sz w:val="22"/>
        </w:rPr>
        <w:t xml:space="preserve"> </w:t>
      </w:r>
      <w:r w:rsidR="00987024" w:rsidRPr="005F7FF7">
        <w:rPr>
          <w:rFonts w:cs="Times New Roman"/>
          <w:spacing w:val="-1"/>
          <w:sz w:val="22"/>
        </w:rPr>
        <w:t>Reporting</w:t>
      </w:r>
      <w:r w:rsidR="00987024" w:rsidRPr="005F7FF7">
        <w:rPr>
          <w:rFonts w:cs="Times New Roman"/>
          <w:spacing w:val="43"/>
          <w:sz w:val="22"/>
        </w:rPr>
        <w:t xml:space="preserve"> </w:t>
      </w:r>
      <w:r w:rsidR="00987024" w:rsidRPr="005F7FF7">
        <w:rPr>
          <w:rFonts w:cs="Times New Roman"/>
          <w:spacing w:val="-1"/>
          <w:sz w:val="22"/>
        </w:rPr>
        <w:t>Standards</w:t>
      </w:r>
      <w:r w:rsidR="00987024" w:rsidRPr="005F7FF7">
        <w:rPr>
          <w:rFonts w:cs="Times New Roman"/>
          <w:sz w:val="22"/>
        </w:rPr>
        <w:t xml:space="preserve"> (IFRS)</w:t>
      </w:r>
      <w:r w:rsidR="002A76BC" w:rsidRPr="005F7FF7">
        <w:rPr>
          <w:rFonts w:cs="Times New Roman"/>
          <w:sz w:val="22"/>
        </w:rPr>
        <w:t xml:space="preserve"> with the</w:t>
      </w:r>
      <w:r w:rsidR="00746890" w:rsidRPr="005F7FF7">
        <w:rPr>
          <w:rFonts w:cs="Times New Roman"/>
          <w:sz w:val="22"/>
        </w:rPr>
        <w:t xml:space="preserve"> main</w:t>
      </w:r>
      <w:r w:rsidR="002A76BC" w:rsidRPr="005F7FF7">
        <w:rPr>
          <w:rFonts w:cs="Times New Roman"/>
          <w:sz w:val="22"/>
        </w:rPr>
        <w:t xml:space="preserve"> objective of increasing investor confidence and improving </w:t>
      </w:r>
      <w:r w:rsidR="00746890" w:rsidRPr="005F7FF7">
        <w:rPr>
          <w:rFonts w:cs="Times New Roman"/>
          <w:sz w:val="22"/>
        </w:rPr>
        <w:t xml:space="preserve">the credibility, comparability and </w:t>
      </w:r>
      <w:r w:rsidR="002A76BC" w:rsidRPr="005F7FF7">
        <w:rPr>
          <w:rFonts w:cs="Times New Roman"/>
          <w:sz w:val="22"/>
        </w:rPr>
        <w:t>quality of financial reports of Omani firms</w:t>
      </w:r>
      <w:r w:rsidR="00746890" w:rsidRPr="005F7FF7">
        <w:rPr>
          <w:rFonts w:cs="Times New Roman"/>
          <w:sz w:val="22"/>
        </w:rPr>
        <w:t>, and thereby reducing the extent of EM</w:t>
      </w:r>
      <w:r w:rsidR="002A76BC" w:rsidRPr="005F7FF7">
        <w:rPr>
          <w:rFonts w:cs="Times New Roman"/>
          <w:sz w:val="22"/>
        </w:rPr>
        <w:t>.</w:t>
      </w:r>
      <w:r w:rsidR="00703599" w:rsidRPr="005F7FF7">
        <w:rPr>
          <w:rFonts w:cs="Times New Roman"/>
          <w:sz w:val="22"/>
        </w:rPr>
        <w:t xml:space="preserve"> </w:t>
      </w:r>
      <w:bookmarkEnd w:id="5"/>
      <w:bookmarkEnd w:id="6"/>
    </w:p>
    <w:p w:rsidR="000771A3" w:rsidRPr="005F7FF7" w:rsidRDefault="00151364" w:rsidP="009A6429">
      <w:pPr>
        <w:spacing w:line="360" w:lineRule="auto"/>
        <w:ind w:firstLine="720"/>
        <w:jc w:val="both"/>
        <w:rPr>
          <w:rFonts w:cs="Times New Roman"/>
          <w:sz w:val="22"/>
        </w:rPr>
      </w:pPr>
      <w:r w:rsidRPr="005F7FF7">
        <w:rPr>
          <w:rFonts w:cs="Times New Roman"/>
          <w:sz w:val="22"/>
        </w:rPr>
        <w:t>As previously noted and a</w:t>
      </w:r>
      <w:r w:rsidR="000771A3" w:rsidRPr="005F7FF7">
        <w:rPr>
          <w:rFonts w:cs="Times New Roman"/>
          <w:sz w:val="22"/>
        </w:rPr>
        <w:t>part from pursuing CG, accounting and auditing reforms</w:t>
      </w:r>
      <w:r w:rsidRPr="005F7FF7">
        <w:rPr>
          <w:rFonts w:cs="Times New Roman"/>
          <w:sz w:val="22"/>
        </w:rPr>
        <w:t xml:space="preserve">, the Omani </w:t>
      </w:r>
    </w:p>
    <w:p w:rsidR="00012CB6" w:rsidRPr="005F7FF7" w:rsidRDefault="00151364" w:rsidP="00012CB6">
      <w:pPr>
        <w:spacing w:line="360" w:lineRule="auto"/>
        <w:jc w:val="both"/>
        <w:rPr>
          <w:rFonts w:cs="Times New Roman"/>
          <w:sz w:val="22"/>
        </w:rPr>
      </w:pPr>
      <w:r w:rsidRPr="005F7FF7">
        <w:rPr>
          <w:rFonts w:cs="Times New Roman"/>
          <w:sz w:val="22"/>
        </w:rPr>
        <w:t xml:space="preserve">corporate context is uniquely and interestingly characterised by hierarchical social structures, increased corporate commitment towards incorporating Islamic religious beliefs and values into corporate operations and concentrated ownership structures. </w:t>
      </w:r>
      <w:r w:rsidR="0007068A">
        <w:rPr>
          <w:rFonts w:cs="Times New Roman"/>
          <w:sz w:val="22"/>
        </w:rPr>
        <w:t>This characterisation is</w:t>
      </w:r>
      <w:r w:rsidR="007E5EFD" w:rsidRPr="005F7FF7">
        <w:rPr>
          <w:rFonts w:cs="Times New Roman"/>
          <w:sz w:val="22"/>
        </w:rPr>
        <w:t xml:space="preserve"> typically evident in the establishment and operation of Shariah supervisory boards</w:t>
      </w:r>
      <w:r w:rsidR="00734026">
        <w:rPr>
          <w:rFonts w:cs="Times New Roman"/>
          <w:sz w:val="22"/>
        </w:rPr>
        <w:t xml:space="preserve"> (SSB)</w:t>
      </w:r>
      <w:r w:rsidR="007E5EFD" w:rsidRPr="005F7FF7">
        <w:rPr>
          <w:rFonts w:cs="Times New Roman"/>
          <w:sz w:val="22"/>
        </w:rPr>
        <w:t>, whose main role is to certify whether corporate operations and investment</w:t>
      </w:r>
      <w:r w:rsidR="0044684E">
        <w:rPr>
          <w:rFonts w:cs="Times New Roman"/>
          <w:sz w:val="22"/>
        </w:rPr>
        <w:t>s</w:t>
      </w:r>
      <w:r w:rsidR="007E5EFD" w:rsidRPr="005F7FF7">
        <w:rPr>
          <w:rFonts w:cs="Times New Roman"/>
          <w:sz w:val="22"/>
        </w:rPr>
        <w:t xml:space="preserve"> are consistent with the tenents of Shariah law. Commitment to Islamic religious</w:t>
      </w:r>
      <w:r w:rsidR="00012CB6" w:rsidRPr="005F7FF7">
        <w:rPr>
          <w:rFonts w:cs="Times New Roman"/>
          <w:sz w:val="22"/>
        </w:rPr>
        <w:t xml:space="preserve"> beliefs and values is</w:t>
      </w:r>
      <w:r w:rsidR="007E5EFD" w:rsidRPr="005F7FF7">
        <w:rPr>
          <w:rFonts w:cs="Times New Roman"/>
          <w:sz w:val="22"/>
        </w:rPr>
        <w:t xml:space="preserve"> </w:t>
      </w:r>
      <w:r w:rsidR="00012CB6" w:rsidRPr="005F7FF7">
        <w:rPr>
          <w:rFonts w:cs="Times New Roman"/>
          <w:sz w:val="22"/>
        </w:rPr>
        <w:t xml:space="preserve">of keen </w:t>
      </w:r>
      <w:r w:rsidR="00AD0B06">
        <w:rPr>
          <w:rFonts w:cs="Times New Roman"/>
          <w:sz w:val="22"/>
        </w:rPr>
        <w:t xml:space="preserve">relevance to the current study </w:t>
      </w:r>
      <w:r w:rsidR="00012CB6" w:rsidRPr="005F7FF7">
        <w:rPr>
          <w:rFonts w:cs="Times New Roman"/>
          <w:sz w:val="22"/>
        </w:rPr>
        <w:t xml:space="preserve">because prior studies </w:t>
      </w:r>
      <w:r w:rsidR="00D07A46">
        <w:rPr>
          <w:rFonts w:cs="Times New Roman"/>
          <w:sz w:val="22"/>
        </w:rPr>
        <w:t xml:space="preserve">suggest that Judo-Christian religious beliefs and values </w:t>
      </w:r>
      <w:r w:rsidR="00012CB6" w:rsidRPr="005F7FF7">
        <w:rPr>
          <w:rFonts w:cs="Times New Roman"/>
          <w:sz w:val="22"/>
        </w:rPr>
        <w:t xml:space="preserve">can </w:t>
      </w:r>
      <w:r w:rsidR="00D07A46">
        <w:rPr>
          <w:rFonts w:cs="Times New Roman"/>
          <w:sz w:val="22"/>
        </w:rPr>
        <w:t xml:space="preserve">have an </w:t>
      </w:r>
      <w:r w:rsidR="00012CB6" w:rsidRPr="005F7FF7">
        <w:rPr>
          <w:rFonts w:cs="Times New Roman"/>
          <w:sz w:val="22"/>
        </w:rPr>
        <w:t xml:space="preserve">impact </w:t>
      </w:r>
      <w:r w:rsidR="00D07A46">
        <w:rPr>
          <w:rFonts w:cs="Times New Roman"/>
          <w:sz w:val="22"/>
        </w:rPr>
        <w:t xml:space="preserve">on a number </w:t>
      </w:r>
      <w:r w:rsidR="00012CB6" w:rsidRPr="005F7FF7">
        <w:rPr>
          <w:rFonts w:cs="Times New Roman"/>
          <w:sz w:val="22"/>
        </w:rPr>
        <w:t>of corporate decisions, including managerial commitment to engage in EM. Overall, and whilst these contextual issues are interesting, they also raise the question of whether a UK-style voluntary CG Code can be effective in improving CG standards and performance,</w:t>
      </w:r>
      <w:r w:rsidR="00676551" w:rsidRPr="005F7FF7">
        <w:rPr>
          <w:rFonts w:cs="Times New Roman"/>
          <w:sz w:val="22"/>
        </w:rPr>
        <w:t xml:space="preserve"> including reducing EM. We, therefore, investigate</w:t>
      </w:r>
      <w:r w:rsidR="00012CB6" w:rsidRPr="005F7FF7">
        <w:rPr>
          <w:rFonts w:cs="Times New Roman"/>
          <w:sz w:val="22"/>
        </w:rPr>
        <w:t xml:space="preserve"> the extent to whic</w:t>
      </w:r>
      <w:r w:rsidR="00676551" w:rsidRPr="005F7FF7">
        <w:rPr>
          <w:rFonts w:cs="Times New Roman"/>
          <w:sz w:val="22"/>
        </w:rPr>
        <w:t>h CG and IG mechanisms may affect</w:t>
      </w:r>
      <w:r w:rsidR="00012CB6" w:rsidRPr="005F7FF7">
        <w:rPr>
          <w:rFonts w:cs="Times New Roman"/>
          <w:sz w:val="22"/>
        </w:rPr>
        <w:t xml:space="preserve"> corporate EM practices in Oman.</w:t>
      </w:r>
    </w:p>
    <w:p w:rsidR="00917795" w:rsidRPr="005F7FF7" w:rsidRDefault="00917795" w:rsidP="00012CB6">
      <w:pPr>
        <w:spacing w:line="360" w:lineRule="auto"/>
        <w:jc w:val="both"/>
        <w:rPr>
          <w:rFonts w:cs="Times New Roman"/>
          <w:sz w:val="22"/>
          <w:lang w:val="en-US"/>
        </w:rPr>
      </w:pPr>
    </w:p>
    <w:p w:rsidR="00917795" w:rsidRPr="00330DD3" w:rsidRDefault="00330DD3" w:rsidP="00330DD3">
      <w:pPr>
        <w:rPr>
          <w:b/>
          <w:sz w:val="22"/>
        </w:rPr>
      </w:pPr>
      <w:r w:rsidRPr="00330DD3">
        <w:rPr>
          <w:b/>
          <w:sz w:val="22"/>
        </w:rPr>
        <w:t xml:space="preserve">3. </w:t>
      </w:r>
      <w:r w:rsidR="00917795" w:rsidRPr="00330DD3">
        <w:rPr>
          <w:b/>
          <w:sz w:val="22"/>
        </w:rPr>
        <w:t>Behavioural</w:t>
      </w:r>
      <w:r w:rsidR="007D0B6B" w:rsidRPr="00330DD3">
        <w:rPr>
          <w:b/>
          <w:sz w:val="22"/>
        </w:rPr>
        <w:t xml:space="preserve"> </w:t>
      </w:r>
      <w:r w:rsidR="00917795" w:rsidRPr="00330DD3">
        <w:rPr>
          <w:b/>
          <w:sz w:val="22"/>
        </w:rPr>
        <w:t>theoretical framework</w:t>
      </w:r>
      <w:r w:rsidR="00480CD7" w:rsidRPr="00330DD3">
        <w:rPr>
          <w:b/>
          <w:sz w:val="22"/>
        </w:rPr>
        <w:t xml:space="preserve"> </w:t>
      </w:r>
    </w:p>
    <w:p w:rsidR="00917795" w:rsidRPr="005F7FF7" w:rsidRDefault="00917795" w:rsidP="00917795">
      <w:pPr>
        <w:rPr>
          <w:rFonts w:cs="Times New Roman"/>
          <w:sz w:val="22"/>
        </w:rPr>
      </w:pPr>
    </w:p>
    <w:p w:rsidR="00F90E5B" w:rsidRDefault="007472E9" w:rsidP="005A0788">
      <w:pPr>
        <w:spacing w:line="360" w:lineRule="auto"/>
        <w:ind w:firstLine="720"/>
        <w:jc w:val="both"/>
        <w:rPr>
          <w:rFonts w:cs="Times New Roman"/>
          <w:sz w:val="22"/>
        </w:rPr>
      </w:pPr>
      <w:r w:rsidRPr="005F7FF7">
        <w:rPr>
          <w:rFonts w:cs="Times New Roman"/>
          <w:sz w:val="22"/>
        </w:rPr>
        <w:t>Although a number of previous studies have examined the effect of a number of different CG mechanisms on corporate EM practices (</w:t>
      </w:r>
      <w:r w:rsidR="00CE0BB2" w:rsidRPr="005F7FF7">
        <w:rPr>
          <w:rFonts w:cs="Times New Roman"/>
          <w:sz w:val="22"/>
        </w:rPr>
        <w:t xml:space="preserve">Chung et al., 2002; Klein, 2002; Xie et al., 2003; </w:t>
      </w:r>
      <w:r w:rsidRPr="005F7FF7">
        <w:rPr>
          <w:rFonts w:cs="Times New Roman"/>
          <w:sz w:val="22"/>
        </w:rPr>
        <w:t>Cornett et al., 2008</w:t>
      </w:r>
      <w:r w:rsidR="00CE0BB2" w:rsidRPr="005F7FF7">
        <w:rPr>
          <w:rFonts w:cs="Times New Roman"/>
          <w:sz w:val="22"/>
        </w:rPr>
        <w:t>; Krishnan &amp; Parsons, 2008; Gavious et al., 2012</w:t>
      </w:r>
      <w:r w:rsidRPr="005F7FF7">
        <w:rPr>
          <w:rFonts w:cs="Times New Roman"/>
          <w:sz w:val="22"/>
        </w:rPr>
        <w:t xml:space="preserve">), </w:t>
      </w:r>
      <w:r w:rsidR="00CE0BB2" w:rsidRPr="005F7FF7">
        <w:rPr>
          <w:rFonts w:cs="Times New Roman"/>
          <w:sz w:val="22"/>
        </w:rPr>
        <w:t xml:space="preserve">they are mostly informed by </w:t>
      </w:r>
      <w:r w:rsidR="00556A65" w:rsidRPr="005F7FF7">
        <w:rPr>
          <w:rFonts w:cs="Times New Roman"/>
          <w:sz w:val="22"/>
        </w:rPr>
        <w:t>insights</w:t>
      </w:r>
      <w:r w:rsidR="00A7675E">
        <w:rPr>
          <w:rFonts w:cs="Times New Roman"/>
          <w:sz w:val="22"/>
        </w:rPr>
        <w:t xml:space="preserve"> drawn</w:t>
      </w:r>
      <w:r w:rsidR="00556A65" w:rsidRPr="005F7FF7">
        <w:rPr>
          <w:rFonts w:cs="Times New Roman"/>
          <w:sz w:val="22"/>
        </w:rPr>
        <w:t xml:space="preserve"> from </w:t>
      </w:r>
      <w:r w:rsidR="00CE0BB2" w:rsidRPr="005F7FF7">
        <w:rPr>
          <w:rFonts w:cs="Times New Roman"/>
          <w:sz w:val="22"/>
        </w:rPr>
        <w:t>agenc</w:t>
      </w:r>
      <w:r w:rsidR="005D5E5D" w:rsidRPr="005F7FF7">
        <w:rPr>
          <w:rFonts w:cs="Times New Roman"/>
          <w:sz w:val="22"/>
        </w:rPr>
        <w:t>y theory</w:t>
      </w:r>
      <w:r w:rsidR="00213289" w:rsidRPr="005F7FF7">
        <w:rPr>
          <w:rFonts w:cs="Times New Roman"/>
          <w:sz w:val="22"/>
        </w:rPr>
        <w:t xml:space="preserve"> and often report</w:t>
      </w:r>
      <w:r w:rsidR="00222563" w:rsidRPr="005F7FF7">
        <w:rPr>
          <w:rFonts w:cs="Times New Roman"/>
          <w:sz w:val="22"/>
        </w:rPr>
        <w:t xml:space="preserve"> conflicting findings</w:t>
      </w:r>
      <w:r w:rsidR="00CE0BB2" w:rsidRPr="005F7FF7">
        <w:rPr>
          <w:rFonts w:cs="Times New Roman"/>
          <w:sz w:val="22"/>
        </w:rPr>
        <w:t xml:space="preserve"> (Jensen &amp; Meckling, 1976; Jensen, 1993)</w:t>
      </w:r>
      <w:r w:rsidR="005D5E5D" w:rsidRPr="005F7FF7">
        <w:rPr>
          <w:rFonts w:cs="Times New Roman"/>
          <w:sz w:val="22"/>
        </w:rPr>
        <w:t>.</w:t>
      </w:r>
      <w:r w:rsidR="00CE0BB2" w:rsidRPr="005F7FF7">
        <w:rPr>
          <w:rFonts w:cs="Times New Roman"/>
          <w:sz w:val="22"/>
        </w:rPr>
        <w:t xml:space="preserve"> </w:t>
      </w:r>
      <w:r w:rsidR="00860EC0" w:rsidRPr="005F7FF7">
        <w:rPr>
          <w:rFonts w:cs="Times New Roman"/>
          <w:sz w:val="22"/>
        </w:rPr>
        <w:t>Ob</w:t>
      </w:r>
      <w:r w:rsidR="003C1500">
        <w:rPr>
          <w:rFonts w:cs="Times New Roman"/>
          <w:sz w:val="22"/>
        </w:rPr>
        <w:t>s</w:t>
      </w:r>
      <w:r w:rsidR="00860EC0" w:rsidRPr="005F7FF7">
        <w:rPr>
          <w:rFonts w:cs="Times New Roman"/>
          <w:sz w:val="22"/>
        </w:rPr>
        <w:t>ervably, a</w:t>
      </w:r>
      <w:r w:rsidR="005D5E5D" w:rsidRPr="005F7FF7">
        <w:rPr>
          <w:rFonts w:cs="Times New Roman"/>
          <w:sz w:val="22"/>
        </w:rPr>
        <w:t xml:space="preserve">gency theory is underpinned by rational economics, optimising </w:t>
      </w:r>
      <w:r w:rsidR="00222563" w:rsidRPr="005F7FF7">
        <w:rPr>
          <w:rFonts w:cs="Times New Roman"/>
          <w:sz w:val="22"/>
        </w:rPr>
        <w:t xml:space="preserve">and opportunistic behaviour </w:t>
      </w:r>
      <w:r w:rsidR="00860EC0" w:rsidRPr="005F7FF7">
        <w:rPr>
          <w:rFonts w:cs="Times New Roman"/>
          <w:sz w:val="22"/>
        </w:rPr>
        <w:t xml:space="preserve">arising from </w:t>
      </w:r>
      <w:r w:rsidR="001F6C78">
        <w:rPr>
          <w:rFonts w:cs="Times New Roman"/>
          <w:sz w:val="22"/>
        </w:rPr>
        <w:t xml:space="preserve">assumed </w:t>
      </w:r>
      <w:r w:rsidR="00860EC0" w:rsidRPr="005F7FF7">
        <w:rPr>
          <w:rFonts w:cs="Times New Roman"/>
          <w:sz w:val="22"/>
        </w:rPr>
        <w:t>information asymmetry between corporate agents (managers) and princip</w:t>
      </w:r>
      <w:r w:rsidR="003400CC" w:rsidRPr="005F7FF7">
        <w:rPr>
          <w:rFonts w:cs="Times New Roman"/>
          <w:sz w:val="22"/>
        </w:rPr>
        <w:t>a</w:t>
      </w:r>
      <w:r w:rsidR="00860EC0" w:rsidRPr="005F7FF7">
        <w:rPr>
          <w:rFonts w:cs="Times New Roman"/>
          <w:sz w:val="22"/>
        </w:rPr>
        <w:t xml:space="preserve">ls (shareholders) </w:t>
      </w:r>
      <w:r w:rsidR="005D5E5D" w:rsidRPr="005F7FF7">
        <w:rPr>
          <w:rFonts w:cs="Times New Roman"/>
          <w:sz w:val="22"/>
        </w:rPr>
        <w:t>(Fama, 1980; Fama &amp; Jensen, 1983)</w:t>
      </w:r>
      <w:r w:rsidR="00222563" w:rsidRPr="005F7FF7">
        <w:rPr>
          <w:rFonts w:cs="Times New Roman"/>
          <w:sz w:val="22"/>
        </w:rPr>
        <w:t>. Agency theory,</w:t>
      </w:r>
      <w:r w:rsidR="00860EC0" w:rsidRPr="005F7FF7">
        <w:rPr>
          <w:rFonts w:cs="Times New Roman"/>
          <w:sz w:val="22"/>
        </w:rPr>
        <w:t xml:space="preserve"> therefore, places emphasis on establishing formal CG structures, incentives and control mechanism to curb managerial opportunism</w:t>
      </w:r>
      <w:r w:rsidR="003F6C1A">
        <w:rPr>
          <w:rFonts w:cs="Times New Roman"/>
          <w:sz w:val="22"/>
        </w:rPr>
        <w:t xml:space="preserve"> and self-serving behaviour</w:t>
      </w:r>
      <w:r w:rsidR="00860EC0" w:rsidRPr="005F7FF7">
        <w:rPr>
          <w:rFonts w:cs="Times New Roman"/>
          <w:sz w:val="22"/>
        </w:rPr>
        <w:t xml:space="preserve">. </w:t>
      </w:r>
      <w:r w:rsidR="000947AE" w:rsidRPr="005F7FF7">
        <w:rPr>
          <w:rFonts w:cs="Times New Roman"/>
          <w:sz w:val="22"/>
        </w:rPr>
        <w:t xml:space="preserve">However, increasing empirical evidence suggests </w:t>
      </w:r>
      <w:r w:rsidR="00875B62" w:rsidRPr="005F7FF7">
        <w:rPr>
          <w:rFonts w:cs="Times New Roman"/>
          <w:sz w:val="22"/>
        </w:rPr>
        <w:t xml:space="preserve">that </w:t>
      </w:r>
      <w:r w:rsidR="00222563" w:rsidRPr="005F7FF7">
        <w:rPr>
          <w:rFonts w:cs="Times New Roman"/>
          <w:sz w:val="22"/>
        </w:rPr>
        <w:t>agency theory</w:t>
      </w:r>
      <w:r w:rsidR="005562B7" w:rsidRPr="005F7FF7">
        <w:rPr>
          <w:rFonts w:cs="Times New Roman"/>
          <w:sz w:val="22"/>
        </w:rPr>
        <w:t>’s</w:t>
      </w:r>
      <w:r w:rsidR="00222563" w:rsidRPr="005F7FF7">
        <w:rPr>
          <w:rFonts w:cs="Times New Roman"/>
          <w:sz w:val="22"/>
        </w:rPr>
        <w:t xml:space="preserve"> </w:t>
      </w:r>
      <w:r w:rsidR="00875B62" w:rsidRPr="005F7FF7">
        <w:rPr>
          <w:rFonts w:cs="Times New Roman"/>
          <w:sz w:val="22"/>
        </w:rPr>
        <w:t xml:space="preserve">heavy reliance on formal CG strucures, complete </w:t>
      </w:r>
      <w:r w:rsidR="001F6C78">
        <w:rPr>
          <w:rFonts w:cs="Times New Roman"/>
          <w:sz w:val="22"/>
        </w:rPr>
        <w:t xml:space="preserve">and/or perfect </w:t>
      </w:r>
      <w:r w:rsidR="00875B62" w:rsidRPr="005F7FF7">
        <w:rPr>
          <w:rFonts w:cs="Times New Roman"/>
          <w:sz w:val="22"/>
        </w:rPr>
        <w:t>contractual</w:t>
      </w:r>
      <w:r w:rsidR="000C7B86" w:rsidRPr="005F7FF7">
        <w:rPr>
          <w:rFonts w:cs="Times New Roman"/>
          <w:sz w:val="22"/>
        </w:rPr>
        <w:t xml:space="preserve"> (e.g., bonding and monitoring contracts)</w:t>
      </w:r>
      <w:r w:rsidR="00875B62" w:rsidRPr="005F7FF7">
        <w:rPr>
          <w:rFonts w:cs="Times New Roman"/>
          <w:sz w:val="22"/>
        </w:rPr>
        <w:t xml:space="preserve"> arrangements, </w:t>
      </w:r>
      <w:r w:rsidR="00B3307C" w:rsidRPr="005F7FF7">
        <w:rPr>
          <w:rFonts w:cs="Times New Roman"/>
          <w:sz w:val="22"/>
        </w:rPr>
        <w:t xml:space="preserve">blanket assumptions of managerial distrust, opportunistic and self-serving behaviour, </w:t>
      </w:r>
      <w:r w:rsidR="00967C47" w:rsidRPr="005F7FF7">
        <w:rPr>
          <w:rFonts w:cs="Times New Roman"/>
          <w:sz w:val="22"/>
        </w:rPr>
        <w:t xml:space="preserve">rational economic </w:t>
      </w:r>
      <w:r w:rsidR="00875B62" w:rsidRPr="005F7FF7">
        <w:rPr>
          <w:rFonts w:cs="Times New Roman"/>
          <w:sz w:val="22"/>
        </w:rPr>
        <w:t xml:space="preserve">incentives and control mechanisms </w:t>
      </w:r>
      <w:r w:rsidR="007A2740" w:rsidRPr="005F7FF7">
        <w:rPr>
          <w:rFonts w:cs="Times New Roman"/>
          <w:sz w:val="22"/>
        </w:rPr>
        <w:t>ha</w:t>
      </w:r>
      <w:r w:rsidR="008104F9">
        <w:rPr>
          <w:rFonts w:cs="Times New Roman"/>
          <w:sz w:val="22"/>
        </w:rPr>
        <w:t>ve failed to provide full expla</w:t>
      </w:r>
      <w:r w:rsidR="007A2740" w:rsidRPr="005F7FF7">
        <w:rPr>
          <w:rFonts w:cs="Times New Roman"/>
          <w:sz w:val="22"/>
        </w:rPr>
        <w:t xml:space="preserve">nations for the various </w:t>
      </w:r>
      <w:r w:rsidR="00875B62" w:rsidRPr="005F7FF7">
        <w:rPr>
          <w:rFonts w:cs="Times New Roman"/>
          <w:sz w:val="22"/>
        </w:rPr>
        <w:t xml:space="preserve">actual </w:t>
      </w:r>
      <w:r w:rsidR="007A2740" w:rsidRPr="005F7FF7">
        <w:rPr>
          <w:rFonts w:cs="Times New Roman"/>
          <w:sz w:val="22"/>
        </w:rPr>
        <w:t>managerial/corporate motives</w:t>
      </w:r>
      <w:r w:rsidR="00860EC0" w:rsidRPr="005F7FF7">
        <w:rPr>
          <w:rFonts w:cs="Times New Roman"/>
          <w:sz w:val="22"/>
        </w:rPr>
        <w:t xml:space="preserve"> </w:t>
      </w:r>
      <w:r w:rsidR="00610E74" w:rsidRPr="005F7FF7">
        <w:rPr>
          <w:rFonts w:cs="Times New Roman"/>
          <w:sz w:val="22"/>
        </w:rPr>
        <w:t>for e</w:t>
      </w:r>
      <w:r w:rsidR="007539E6" w:rsidRPr="005F7FF7">
        <w:rPr>
          <w:rFonts w:cs="Times New Roman"/>
          <w:sz w:val="22"/>
        </w:rPr>
        <w:t>ngaging in EM. Noticeably, th</w:t>
      </w:r>
      <w:r w:rsidR="0004067D" w:rsidRPr="005F7FF7">
        <w:rPr>
          <w:rFonts w:cs="Times New Roman"/>
          <w:sz w:val="22"/>
        </w:rPr>
        <w:t>e</w:t>
      </w:r>
      <w:r w:rsidR="007539E6" w:rsidRPr="005F7FF7">
        <w:rPr>
          <w:rFonts w:cs="Times New Roman"/>
          <w:sz w:val="22"/>
        </w:rPr>
        <w:t xml:space="preserve"> rational economic (agency theory) approach has been dominant/ubiquitous because of lack of a stronger</w:t>
      </w:r>
      <w:r w:rsidR="000D065A">
        <w:rPr>
          <w:rFonts w:cs="Times New Roman"/>
          <w:sz w:val="22"/>
        </w:rPr>
        <w:t xml:space="preserve"> non-economic</w:t>
      </w:r>
      <w:r w:rsidR="007539E6" w:rsidRPr="005F7FF7">
        <w:rPr>
          <w:rFonts w:cs="Times New Roman"/>
          <w:sz w:val="22"/>
        </w:rPr>
        <w:t xml:space="preserve"> alternative (van Ees et al., 2009)</w:t>
      </w:r>
      <w:r w:rsidR="000E3577" w:rsidRPr="005F7FF7">
        <w:rPr>
          <w:rFonts w:cs="Times New Roman"/>
          <w:sz w:val="22"/>
        </w:rPr>
        <w:t>, and therefore</w:t>
      </w:r>
      <w:r w:rsidR="007539E6" w:rsidRPr="005F7FF7">
        <w:rPr>
          <w:rFonts w:cs="Times New Roman"/>
          <w:sz w:val="22"/>
        </w:rPr>
        <w:t xml:space="preserve"> </w:t>
      </w:r>
      <w:r w:rsidR="000E3577" w:rsidRPr="005F7FF7">
        <w:rPr>
          <w:rFonts w:cs="Times New Roman"/>
          <w:sz w:val="22"/>
        </w:rPr>
        <w:t xml:space="preserve">recent years have witnessed increasing clarion calls </w:t>
      </w:r>
      <w:r w:rsidR="00610E74" w:rsidRPr="005F7FF7">
        <w:rPr>
          <w:rFonts w:cs="Times New Roman"/>
          <w:sz w:val="22"/>
        </w:rPr>
        <w:t xml:space="preserve">for alternative theoretical perspectives to be considered </w:t>
      </w:r>
      <w:r w:rsidR="00860EC0" w:rsidRPr="005F7FF7">
        <w:rPr>
          <w:rFonts w:cs="Times New Roman"/>
          <w:sz w:val="22"/>
        </w:rPr>
        <w:t>(Daily et al., 2003; Hambrick et al., 2008)</w:t>
      </w:r>
      <w:r w:rsidR="00875B62" w:rsidRPr="005F7FF7">
        <w:rPr>
          <w:rFonts w:cs="Times New Roman"/>
          <w:sz w:val="22"/>
        </w:rPr>
        <w:t>.</w:t>
      </w:r>
      <w:r w:rsidR="005562B7" w:rsidRPr="005F7FF7">
        <w:rPr>
          <w:rFonts w:cs="Times New Roman"/>
          <w:sz w:val="22"/>
        </w:rPr>
        <w:t xml:space="preserve"> </w:t>
      </w:r>
    </w:p>
    <w:p w:rsidR="007539E6" w:rsidRPr="005F7FF7" w:rsidRDefault="007539E6" w:rsidP="005A0788">
      <w:pPr>
        <w:spacing w:line="360" w:lineRule="auto"/>
        <w:ind w:firstLine="720"/>
        <w:jc w:val="both"/>
        <w:rPr>
          <w:rFonts w:cs="Times New Roman"/>
          <w:sz w:val="22"/>
        </w:rPr>
      </w:pPr>
      <w:r w:rsidRPr="005F7FF7">
        <w:rPr>
          <w:rFonts w:cs="Times New Roman"/>
          <w:sz w:val="22"/>
        </w:rPr>
        <w:t xml:space="preserve">In </w:t>
      </w:r>
      <w:r w:rsidR="00480CD7" w:rsidRPr="005F7FF7">
        <w:rPr>
          <w:rFonts w:cs="Times New Roman"/>
          <w:sz w:val="22"/>
        </w:rPr>
        <w:t>response</w:t>
      </w:r>
      <w:r w:rsidRPr="005F7FF7">
        <w:rPr>
          <w:rFonts w:cs="Times New Roman"/>
          <w:sz w:val="22"/>
        </w:rPr>
        <w:t xml:space="preserve"> to these calls,  </w:t>
      </w:r>
      <w:r w:rsidR="005A0788" w:rsidRPr="005F7FF7">
        <w:rPr>
          <w:rFonts w:cs="Times New Roman"/>
          <w:sz w:val="22"/>
        </w:rPr>
        <w:t xml:space="preserve">increasing number of researchers </w:t>
      </w:r>
      <w:r w:rsidR="00480CD7" w:rsidRPr="005F7FF7">
        <w:rPr>
          <w:rFonts w:cs="Times New Roman"/>
          <w:sz w:val="22"/>
        </w:rPr>
        <w:t xml:space="preserve">have </w:t>
      </w:r>
      <w:r w:rsidR="0013032E" w:rsidRPr="005F7FF7">
        <w:rPr>
          <w:rFonts w:cs="Times New Roman"/>
          <w:sz w:val="22"/>
        </w:rPr>
        <w:t xml:space="preserve">particularly </w:t>
      </w:r>
      <w:r w:rsidR="00480CD7" w:rsidRPr="005F7FF7">
        <w:rPr>
          <w:rFonts w:cs="Times New Roman"/>
          <w:sz w:val="22"/>
        </w:rPr>
        <w:t>highlighted the need to examine behavioural</w:t>
      </w:r>
      <w:r w:rsidR="00213289" w:rsidRPr="005F7FF7">
        <w:rPr>
          <w:rFonts w:cs="Times New Roman"/>
          <w:sz w:val="22"/>
        </w:rPr>
        <w:t xml:space="preserve"> processes and interactions among directors in order to fully understand </w:t>
      </w:r>
      <w:r w:rsidR="0013032E" w:rsidRPr="005F7FF7">
        <w:rPr>
          <w:rFonts w:cs="Times New Roman"/>
          <w:sz w:val="22"/>
        </w:rPr>
        <w:t>the pre</w:t>
      </w:r>
      <w:r w:rsidR="003F6C1A">
        <w:rPr>
          <w:rFonts w:cs="Times New Roman"/>
          <w:sz w:val="22"/>
        </w:rPr>
        <w:t>-conditions for achieving effec</w:t>
      </w:r>
      <w:r w:rsidR="0013032E" w:rsidRPr="005F7FF7">
        <w:rPr>
          <w:rFonts w:cs="Times New Roman"/>
          <w:sz w:val="22"/>
        </w:rPr>
        <w:t xml:space="preserve">tive CG arrangements </w:t>
      </w:r>
      <w:r w:rsidR="007472E9" w:rsidRPr="005F7FF7">
        <w:rPr>
          <w:rFonts w:cs="Times New Roman"/>
          <w:sz w:val="22"/>
        </w:rPr>
        <w:t>(Gabrielsson &amp; Huse, 2004; van Ees et al., 2009; Huse et al., 2011)</w:t>
      </w:r>
      <w:r w:rsidR="00480CD7" w:rsidRPr="005F7FF7">
        <w:rPr>
          <w:rFonts w:cs="Times New Roman"/>
          <w:sz w:val="22"/>
        </w:rPr>
        <w:t>.</w:t>
      </w:r>
      <w:r w:rsidR="007472E9" w:rsidRPr="005F7FF7">
        <w:rPr>
          <w:rFonts w:cs="Times New Roman"/>
          <w:sz w:val="22"/>
        </w:rPr>
        <w:t xml:space="preserve"> </w:t>
      </w:r>
      <w:r w:rsidR="00213289" w:rsidRPr="005F7FF7">
        <w:rPr>
          <w:rFonts w:cs="Times New Roman"/>
          <w:sz w:val="22"/>
        </w:rPr>
        <w:t>Specifically and drawing on the behaviour</w:t>
      </w:r>
      <w:r w:rsidR="000D065A">
        <w:rPr>
          <w:rFonts w:cs="Times New Roman"/>
          <w:sz w:val="22"/>
        </w:rPr>
        <w:t>al</w:t>
      </w:r>
      <w:r w:rsidR="00213289" w:rsidRPr="005F7FF7">
        <w:rPr>
          <w:rFonts w:cs="Times New Roman"/>
          <w:sz w:val="22"/>
        </w:rPr>
        <w:t xml:space="preserve"> theory of the firm, van Ees et al.</w:t>
      </w:r>
      <w:r w:rsidR="001F6C78">
        <w:rPr>
          <w:rFonts w:cs="Times New Roman"/>
          <w:sz w:val="22"/>
        </w:rPr>
        <w:t xml:space="preserve"> </w:t>
      </w:r>
      <w:r w:rsidR="00213289" w:rsidRPr="005F7FF7">
        <w:rPr>
          <w:rFonts w:cs="Times New Roman"/>
          <w:sz w:val="22"/>
        </w:rPr>
        <w:t>(2009)</w:t>
      </w:r>
      <w:r w:rsidR="0013032E" w:rsidRPr="005F7FF7">
        <w:rPr>
          <w:rFonts w:cs="Times New Roman"/>
          <w:sz w:val="22"/>
        </w:rPr>
        <w:t xml:space="preserve"> have proposed a behavioural theory of corporate boards and governance</w:t>
      </w:r>
      <w:r w:rsidR="00F3680F" w:rsidRPr="005F7FF7">
        <w:rPr>
          <w:rFonts w:cs="Times New Roman"/>
          <w:sz w:val="22"/>
        </w:rPr>
        <w:t xml:space="preserve">, which posits that in practice, instituting </w:t>
      </w:r>
      <w:r w:rsidR="009B568E" w:rsidRPr="005F7FF7">
        <w:rPr>
          <w:rFonts w:cs="Times New Roman"/>
          <w:sz w:val="22"/>
        </w:rPr>
        <w:t xml:space="preserve">optimal </w:t>
      </w:r>
      <w:r w:rsidR="00F3680F" w:rsidRPr="005F7FF7">
        <w:rPr>
          <w:rFonts w:cs="Times New Roman"/>
          <w:sz w:val="22"/>
        </w:rPr>
        <w:t xml:space="preserve">formal governance structures aimed at resolving </w:t>
      </w:r>
      <w:r w:rsidR="00A76B4F">
        <w:rPr>
          <w:rFonts w:cs="Times New Roman"/>
          <w:sz w:val="22"/>
        </w:rPr>
        <w:t>conflict of</w:t>
      </w:r>
      <w:r w:rsidR="00F3680F" w:rsidRPr="005F7FF7">
        <w:rPr>
          <w:rFonts w:cs="Times New Roman"/>
          <w:sz w:val="22"/>
        </w:rPr>
        <w:t xml:space="preserve"> interests arising from rational economic motives and opportunistic behaviour may be less of a concern for corporate boards, and instead </w:t>
      </w:r>
      <w:r w:rsidR="003F6C1A">
        <w:rPr>
          <w:rFonts w:cs="Times New Roman"/>
          <w:sz w:val="22"/>
        </w:rPr>
        <w:t xml:space="preserve">boards may </w:t>
      </w:r>
      <w:r w:rsidR="00F3680F" w:rsidRPr="005F7FF7">
        <w:rPr>
          <w:rFonts w:cs="Times New Roman"/>
          <w:sz w:val="22"/>
        </w:rPr>
        <w:t>be more concern</w:t>
      </w:r>
      <w:r w:rsidR="003F6C1A">
        <w:rPr>
          <w:rFonts w:cs="Times New Roman"/>
          <w:sz w:val="22"/>
        </w:rPr>
        <w:t>ed</w:t>
      </w:r>
      <w:r w:rsidR="00F3680F" w:rsidRPr="005F7FF7">
        <w:rPr>
          <w:rFonts w:cs="Times New Roman"/>
          <w:sz w:val="22"/>
        </w:rPr>
        <w:t xml:space="preserve"> with providing practical solutions to problems of co-ordination, communication, planning, control and information processing.</w:t>
      </w:r>
    </w:p>
    <w:p w:rsidR="00F90E5B" w:rsidRDefault="009B568E" w:rsidP="005A0788">
      <w:pPr>
        <w:spacing w:line="360" w:lineRule="auto"/>
        <w:ind w:firstLine="720"/>
        <w:jc w:val="both"/>
        <w:rPr>
          <w:rFonts w:cs="Times New Roman"/>
          <w:sz w:val="22"/>
        </w:rPr>
      </w:pPr>
      <w:r w:rsidRPr="005F7FF7">
        <w:rPr>
          <w:rFonts w:cs="Times New Roman"/>
          <w:sz w:val="22"/>
        </w:rPr>
        <w:t>In particular, van Ees et al. (2009, pp.311-313)</w:t>
      </w:r>
      <w:r w:rsidR="008D107F">
        <w:rPr>
          <w:rFonts w:cs="Times New Roman"/>
          <w:sz w:val="22"/>
        </w:rPr>
        <w:t xml:space="preserve"> have outlined</w:t>
      </w:r>
      <w:r w:rsidRPr="005F7FF7">
        <w:rPr>
          <w:rFonts w:cs="Times New Roman"/>
          <w:sz w:val="22"/>
        </w:rPr>
        <w:t xml:space="preserve"> the four</w:t>
      </w:r>
      <w:r w:rsidR="008D107F">
        <w:rPr>
          <w:rFonts w:cs="Times New Roman"/>
          <w:sz w:val="22"/>
        </w:rPr>
        <w:t xml:space="preserve"> main</w:t>
      </w:r>
      <w:r w:rsidRPr="005F7FF7">
        <w:rPr>
          <w:rFonts w:cs="Times New Roman"/>
          <w:sz w:val="22"/>
        </w:rPr>
        <w:t xml:space="preserve"> behavioural assumptions that underline behavioural theory of corporate boards and governance in sharp contrast to those of the rational economics (agency) approach</w:t>
      </w:r>
      <w:r w:rsidR="008D107F">
        <w:rPr>
          <w:rFonts w:cs="Times New Roman"/>
          <w:sz w:val="22"/>
        </w:rPr>
        <w:t>, including: (i) bounded rationality; (ii) satisficing behaviour; (iii) routinisation; and (iv) political bargaining</w:t>
      </w:r>
      <w:r w:rsidR="006144C1">
        <w:rPr>
          <w:rFonts w:cs="Times New Roman"/>
          <w:sz w:val="22"/>
        </w:rPr>
        <w:t>. First</w:t>
      </w:r>
      <w:r w:rsidR="00316FAF">
        <w:rPr>
          <w:rFonts w:cs="Times New Roman"/>
          <w:sz w:val="22"/>
        </w:rPr>
        <w:t xml:space="preserve"> </w:t>
      </w:r>
      <w:r w:rsidR="0073187F">
        <w:rPr>
          <w:rFonts w:cs="Times New Roman"/>
          <w:sz w:val="22"/>
        </w:rPr>
        <w:t xml:space="preserve">and in contrast to </w:t>
      </w:r>
      <w:r w:rsidR="00FC07B3">
        <w:rPr>
          <w:rFonts w:cs="Times New Roman"/>
          <w:sz w:val="22"/>
        </w:rPr>
        <w:t xml:space="preserve">the </w:t>
      </w:r>
      <w:r w:rsidR="0073187F">
        <w:rPr>
          <w:rFonts w:cs="Times New Roman"/>
          <w:sz w:val="22"/>
        </w:rPr>
        <w:t xml:space="preserve">agency driven </w:t>
      </w:r>
      <w:r w:rsidR="00A7675E">
        <w:rPr>
          <w:rFonts w:cs="Times New Roman"/>
          <w:sz w:val="22"/>
        </w:rPr>
        <w:t xml:space="preserve">assumption of </w:t>
      </w:r>
      <w:r w:rsidR="0073187F">
        <w:rPr>
          <w:rFonts w:cs="Times New Roman"/>
          <w:sz w:val="22"/>
        </w:rPr>
        <w:t xml:space="preserve">unbounded rationality, </w:t>
      </w:r>
      <w:r w:rsidR="00316FAF">
        <w:rPr>
          <w:rFonts w:cs="Times New Roman"/>
          <w:sz w:val="22"/>
        </w:rPr>
        <w:t>bounded rationality</w:t>
      </w:r>
      <w:r w:rsidR="00120904">
        <w:rPr>
          <w:rFonts w:cs="Times New Roman"/>
          <w:sz w:val="22"/>
        </w:rPr>
        <w:t xml:space="preserve"> refers to the concept</w:t>
      </w:r>
      <w:r w:rsidR="00FD4616">
        <w:rPr>
          <w:rFonts w:cs="Times New Roman"/>
          <w:sz w:val="22"/>
        </w:rPr>
        <w:t xml:space="preserve"> that there is a limit to corporate decision makers</w:t>
      </w:r>
      <w:r w:rsidR="00A9121C">
        <w:rPr>
          <w:rFonts w:cs="Times New Roman"/>
          <w:sz w:val="22"/>
        </w:rPr>
        <w:t xml:space="preserve">’ </w:t>
      </w:r>
      <w:r w:rsidR="007B5EE2">
        <w:rPr>
          <w:rFonts w:cs="Times New Roman"/>
          <w:sz w:val="22"/>
        </w:rPr>
        <w:t xml:space="preserve">cognitive </w:t>
      </w:r>
      <w:r w:rsidR="00A9121C">
        <w:rPr>
          <w:rFonts w:cs="Times New Roman"/>
          <w:sz w:val="22"/>
        </w:rPr>
        <w:t xml:space="preserve">ability to </w:t>
      </w:r>
      <w:r w:rsidR="007B5EE2">
        <w:rPr>
          <w:rFonts w:cs="Times New Roman"/>
          <w:sz w:val="22"/>
        </w:rPr>
        <w:t xml:space="preserve">continuously </w:t>
      </w:r>
      <w:r w:rsidR="00A9121C">
        <w:rPr>
          <w:rFonts w:cs="Times New Roman"/>
          <w:sz w:val="22"/>
        </w:rPr>
        <w:t xml:space="preserve">process </w:t>
      </w:r>
      <w:r w:rsidR="007B5EE2">
        <w:rPr>
          <w:rFonts w:cs="Times New Roman"/>
          <w:sz w:val="22"/>
        </w:rPr>
        <w:t xml:space="preserve">large amounts of </w:t>
      </w:r>
      <w:r w:rsidR="0005242B">
        <w:rPr>
          <w:rFonts w:cs="Times New Roman"/>
          <w:sz w:val="22"/>
        </w:rPr>
        <w:t xml:space="preserve">complex </w:t>
      </w:r>
      <w:r w:rsidR="00A9121C">
        <w:rPr>
          <w:rFonts w:cs="Times New Roman"/>
          <w:sz w:val="22"/>
        </w:rPr>
        <w:t xml:space="preserve">information and find </w:t>
      </w:r>
      <w:r w:rsidR="007B5EE2">
        <w:rPr>
          <w:rFonts w:cs="Times New Roman"/>
          <w:sz w:val="22"/>
        </w:rPr>
        <w:t xml:space="preserve">optimal </w:t>
      </w:r>
      <w:r w:rsidR="00A9121C">
        <w:rPr>
          <w:rFonts w:cs="Times New Roman"/>
          <w:sz w:val="22"/>
        </w:rPr>
        <w:t>solutions to complex problems.</w:t>
      </w:r>
      <w:r w:rsidR="007B5EE2">
        <w:rPr>
          <w:rFonts w:cs="Times New Roman"/>
          <w:sz w:val="22"/>
        </w:rPr>
        <w:t xml:space="preserve"> </w:t>
      </w:r>
      <w:r w:rsidR="00B90BEA">
        <w:rPr>
          <w:rFonts w:cs="Times New Roman"/>
          <w:sz w:val="22"/>
        </w:rPr>
        <w:t xml:space="preserve">Thus, rationality is very expensive as a great amount of cognitive effort is required in order to be able to implement complex rational rules, which may still not be able to </w:t>
      </w:r>
      <w:r w:rsidR="0005242B">
        <w:rPr>
          <w:rFonts w:cs="Times New Roman"/>
          <w:sz w:val="22"/>
        </w:rPr>
        <w:t xml:space="preserve">necessarily </w:t>
      </w:r>
      <w:r w:rsidR="00B90BEA">
        <w:rPr>
          <w:rFonts w:cs="Times New Roman"/>
          <w:sz w:val="22"/>
        </w:rPr>
        <w:t>deliver optimal solutions. Bounded rationality, therefore, suggests</w:t>
      </w:r>
      <w:r w:rsidR="0005242B">
        <w:rPr>
          <w:rFonts w:cs="Times New Roman"/>
          <w:sz w:val="22"/>
        </w:rPr>
        <w:t xml:space="preserve"> that top management (e.g., corporate boards) decision-making process</w:t>
      </w:r>
      <w:r w:rsidR="00FC07B3">
        <w:rPr>
          <w:rFonts w:cs="Times New Roman"/>
          <w:sz w:val="22"/>
        </w:rPr>
        <w:t>es</w:t>
      </w:r>
      <w:r w:rsidR="0005242B">
        <w:rPr>
          <w:rFonts w:cs="Times New Roman"/>
          <w:sz w:val="22"/>
        </w:rPr>
        <w:t xml:space="preserve"> may be improved by following simplified decision-making rules, as the highly complex environment (i.e., internal and external economic, cultural, political, social and technological environment)</w:t>
      </w:r>
      <w:r w:rsidR="000E3C12">
        <w:rPr>
          <w:rFonts w:cs="Times New Roman"/>
          <w:sz w:val="22"/>
        </w:rPr>
        <w:t xml:space="preserve"> within which</w:t>
      </w:r>
      <w:r w:rsidR="0005242B">
        <w:rPr>
          <w:rFonts w:cs="Times New Roman"/>
          <w:sz w:val="22"/>
        </w:rPr>
        <w:t xml:space="preserve"> modern corporations</w:t>
      </w:r>
      <w:r w:rsidR="000E3C12">
        <w:rPr>
          <w:rFonts w:cs="Times New Roman"/>
          <w:sz w:val="22"/>
        </w:rPr>
        <w:t xml:space="preserve"> operate </w:t>
      </w:r>
      <w:r w:rsidR="00454CB8">
        <w:rPr>
          <w:rFonts w:cs="Times New Roman"/>
          <w:sz w:val="22"/>
        </w:rPr>
        <w:t>can</w:t>
      </w:r>
      <w:r w:rsidR="0005242B">
        <w:rPr>
          <w:rFonts w:cs="Times New Roman"/>
          <w:sz w:val="22"/>
        </w:rPr>
        <w:t xml:space="preserve"> </w:t>
      </w:r>
      <w:r w:rsidR="007822AA">
        <w:rPr>
          <w:rFonts w:cs="Times New Roman"/>
          <w:sz w:val="22"/>
        </w:rPr>
        <w:t>render it very difficult to fully appreciate th</w:t>
      </w:r>
      <w:r w:rsidR="000E3C12">
        <w:rPr>
          <w:rFonts w:cs="Times New Roman"/>
          <w:sz w:val="22"/>
        </w:rPr>
        <w:t>e various connections among all relevant variables</w:t>
      </w:r>
      <w:r w:rsidR="007822AA">
        <w:rPr>
          <w:rFonts w:cs="Times New Roman"/>
          <w:sz w:val="22"/>
        </w:rPr>
        <w:t xml:space="preserve">. </w:t>
      </w:r>
    </w:p>
    <w:p w:rsidR="007539E6" w:rsidRDefault="007822AA" w:rsidP="005A0788">
      <w:pPr>
        <w:spacing w:line="360" w:lineRule="auto"/>
        <w:ind w:firstLine="720"/>
        <w:jc w:val="both"/>
        <w:rPr>
          <w:rFonts w:cs="Times New Roman"/>
          <w:sz w:val="22"/>
        </w:rPr>
      </w:pPr>
      <w:r>
        <w:rPr>
          <w:rFonts w:cs="Times New Roman"/>
          <w:sz w:val="22"/>
        </w:rPr>
        <w:t>However, bounded rationality does not necessarily suggest that</w:t>
      </w:r>
      <w:r w:rsidR="002B3781">
        <w:rPr>
          <w:rFonts w:cs="Times New Roman"/>
          <w:sz w:val="22"/>
        </w:rPr>
        <w:t xml:space="preserve"> the decision-makers are not attempting to</w:t>
      </w:r>
      <w:r>
        <w:rPr>
          <w:rFonts w:cs="Times New Roman"/>
          <w:sz w:val="22"/>
        </w:rPr>
        <w:t xml:space="preserve"> maximise utility or achive optimal solutions; just that they are constrained by their cogni</w:t>
      </w:r>
      <w:r w:rsidR="002B3781">
        <w:rPr>
          <w:rFonts w:cs="Times New Roman"/>
          <w:sz w:val="22"/>
        </w:rPr>
        <w:t>tive and decision-making limitations.</w:t>
      </w:r>
      <w:r>
        <w:rPr>
          <w:rFonts w:cs="Times New Roman"/>
          <w:sz w:val="22"/>
        </w:rPr>
        <w:t xml:space="preserve"> </w:t>
      </w:r>
      <w:r w:rsidR="002B3781">
        <w:rPr>
          <w:rFonts w:cs="Times New Roman"/>
          <w:sz w:val="22"/>
        </w:rPr>
        <w:t>In</w:t>
      </w:r>
      <w:r w:rsidR="000E3C12">
        <w:rPr>
          <w:rFonts w:cs="Times New Roman"/>
          <w:sz w:val="22"/>
        </w:rPr>
        <w:t xml:space="preserve"> this case, a behavioural theoretical </w:t>
      </w:r>
      <w:r w:rsidR="00FC07B3">
        <w:rPr>
          <w:rFonts w:cs="Times New Roman"/>
          <w:sz w:val="22"/>
        </w:rPr>
        <w:t>explanation</w:t>
      </w:r>
      <w:r w:rsidR="000E3C12">
        <w:rPr>
          <w:rFonts w:cs="Times New Roman"/>
          <w:sz w:val="22"/>
        </w:rPr>
        <w:t xml:space="preserve"> based on cognitive biases and </w:t>
      </w:r>
      <w:r w:rsidR="00640438">
        <w:rPr>
          <w:rFonts w:cs="Times New Roman"/>
          <w:sz w:val="22"/>
        </w:rPr>
        <w:t xml:space="preserve">limitations can be offered for </w:t>
      </w:r>
      <w:r w:rsidR="00C86EB5">
        <w:rPr>
          <w:rFonts w:cs="Times New Roman"/>
          <w:sz w:val="22"/>
        </w:rPr>
        <w:t xml:space="preserve">any </w:t>
      </w:r>
      <w:r w:rsidR="00640438">
        <w:rPr>
          <w:rFonts w:cs="Times New Roman"/>
          <w:sz w:val="22"/>
        </w:rPr>
        <w:t>poor and inefficient decision</w:t>
      </w:r>
      <w:r w:rsidR="006144C1">
        <w:rPr>
          <w:rFonts w:cs="Times New Roman"/>
          <w:sz w:val="22"/>
        </w:rPr>
        <w:t>s that have been made</w:t>
      </w:r>
      <w:r w:rsidR="00640438">
        <w:rPr>
          <w:rFonts w:cs="Times New Roman"/>
          <w:sz w:val="22"/>
        </w:rPr>
        <w:t xml:space="preserve"> </w:t>
      </w:r>
      <w:r w:rsidR="006144C1">
        <w:rPr>
          <w:rFonts w:cs="Times New Roman"/>
          <w:sz w:val="22"/>
        </w:rPr>
        <w:t xml:space="preserve">by management </w:t>
      </w:r>
      <w:r w:rsidR="00640438">
        <w:rPr>
          <w:rFonts w:cs="Times New Roman"/>
          <w:sz w:val="22"/>
        </w:rPr>
        <w:t xml:space="preserve">rather than simply attributing </w:t>
      </w:r>
      <w:r w:rsidR="006144C1">
        <w:rPr>
          <w:rFonts w:cs="Times New Roman"/>
          <w:sz w:val="22"/>
        </w:rPr>
        <w:t>them</w:t>
      </w:r>
      <w:r w:rsidR="00640438">
        <w:rPr>
          <w:rFonts w:cs="Times New Roman"/>
          <w:sz w:val="22"/>
        </w:rPr>
        <w:t xml:space="preserve"> to managerial opportunism and self-serving behaviour.</w:t>
      </w:r>
      <w:r w:rsidR="002B3781">
        <w:rPr>
          <w:rFonts w:cs="Times New Roman"/>
          <w:sz w:val="22"/>
        </w:rPr>
        <w:t xml:space="preserve"> </w:t>
      </w:r>
      <w:r w:rsidR="00C86EB5">
        <w:rPr>
          <w:rFonts w:cs="Times New Roman"/>
          <w:sz w:val="22"/>
        </w:rPr>
        <w:t xml:space="preserve">For example, due to cognitive and information processing limitations, managers may make decisions </w:t>
      </w:r>
      <w:r w:rsidR="00E5468D">
        <w:rPr>
          <w:rFonts w:cs="Times New Roman"/>
          <w:sz w:val="22"/>
        </w:rPr>
        <w:t xml:space="preserve">(e.g., in reaching a forecasted or actual </w:t>
      </w:r>
      <w:r w:rsidR="00434355">
        <w:rPr>
          <w:rFonts w:cs="Times New Roman"/>
          <w:sz w:val="22"/>
        </w:rPr>
        <w:t xml:space="preserve">annual </w:t>
      </w:r>
      <w:r w:rsidR="00E5468D">
        <w:rPr>
          <w:rFonts w:cs="Times New Roman"/>
          <w:sz w:val="22"/>
        </w:rPr>
        <w:t xml:space="preserve">earnings figure) </w:t>
      </w:r>
      <w:r w:rsidR="00C86EB5">
        <w:rPr>
          <w:rFonts w:cs="Times New Roman"/>
          <w:sz w:val="22"/>
        </w:rPr>
        <w:t xml:space="preserve">based on a selection of information rather </w:t>
      </w:r>
      <w:r w:rsidR="00E5468D">
        <w:rPr>
          <w:rFonts w:cs="Times New Roman"/>
          <w:sz w:val="22"/>
        </w:rPr>
        <w:t xml:space="preserve">than </w:t>
      </w:r>
      <w:r w:rsidR="00C86EB5">
        <w:rPr>
          <w:rFonts w:cs="Times New Roman"/>
          <w:sz w:val="22"/>
        </w:rPr>
        <w:t>the complete information available</w:t>
      </w:r>
      <w:r w:rsidR="006144C1">
        <w:rPr>
          <w:rFonts w:cs="Times New Roman"/>
          <w:sz w:val="22"/>
        </w:rPr>
        <w:t xml:space="preserve">. This </w:t>
      </w:r>
      <w:r w:rsidR="00FC07B3">
        <w:rPr>
          <w:rFonts w:cs="Times New Roman"/>
          <w:sz w:val="22"/>
        </w:rPr>
        <w:t>may lead to corporate</w:t>
      </w:r>
      <w:r w:rsidR="006144C1">
        <w:rPr>
          <w:rFonts w:cs="Times New Roman"/>
          <w:sz w:val="22"/>
        </w:rPr>
        <w:t xml:space="preserve"> inefficiencies and failures, but it will be inappropriate to attribute such failures </w:t>
      </w:r>
      <w:r w:rsidR="00454CB8">
        <w:rPr>
          <w:rFonts w:cs="Times New Roman"/>
          <w:sz w:val="22"/>
        </w:rPr>
        <w:t xml:space="preserve">only </w:t>
      </w:r>
      <w:r w:rsidR="006144C1">
        <w:rPr>
          <w:rFonts w:cs="Times New Roman"/>
          <w:sz w:val="22"/>
        </w:rPr>
        <w:t xml:space="preserve">to managerial opportunism instead </w:t>
      </w:r>
      <w:r w:rsidR="00E5468D">
        <w:rPr>
          <w:rFonts w:cs="Times New Roman"/>
          <w:sz w:val="22"/>
        </w:rPr>
        <w:t xml:space="preserve">of </w:t>
      </w:r>
      <w:r w:rsidR="00454CB8">
        <w:rPr>
          <w:rFonts w:cs="Times New Roman"/>
          <w:sz w:val="22"/>
        </w:rPr>
        <w:t xml:space="preserve">possible </w:t>
      </w:r>
      <w:r w:rsidR="00E5468D">
        <w:rPr>
          <w:rFonts w:cs="Times New Roman"/>
          <w:sz w:val="22"/>
        </w:rPr>
        <w:t>cognitive biases and incompetence</w:t>
      </w:r>
      <w:r w:rsidR="006144C1">
        <w:rPr>
          <w:rFonts w:cs="Times New Roman"/>
          <w:sz w:val="22"/>
        </w:rPr>
        <w:t>.</w:t>
      </w:r>
    </w:p>
    <w:p w:rsidR="007822AA" w:rsidRDefault="007822AA" w:rsidP="005A0788">
      <w:pPr>
        <w:spacing w:line="360" w:lineRule="auto"/>
        <w:ind w:firstLine="720"/>
        <w:jc w:val="both"/>
        <w:rPr>
          <w:rFonts w:cs="Times New Roman"/>
          <w:sz w:val="22"/>
        </w:rPr>
      </w:pPr>
      <w:r>
        <w:rPr>
          <w:rFonts w:cs="Times New Roman"/>
          <w:sz w:val="22"/>
        </w:rPr>
        <w:t xml:space="preserve">Second, </w:t>
      </w:r>
      <w:r w:rsidR="00E5468D">
        <w:rPr>
          <w:rFonts w:cs="Times New Roman"/>
          <w:sz w:val="22"/>
        </w:rPr>
        <w:t>satisficing behaviour suggest</w:t>
      </w:r>
      <w:r w:rsidR="002F0A88">
        <w:rPr>
          <w:rFonts w:cs="Times New Roman"/>
          <w:sz w:val="22"/>
        </w:rPr>
        <w:t>s</w:t>
      </w:r>
      <w:r w:rsidR="00E5468D">
        <w:rPr>
          <w:rFonts w:cs="Times New Roman"/>
          <w:sz w:val="22"/>
        </w:rPr>
        <w:t xml:space="preserve"> that decision-makers tend to </w:t>
      </w:r>
      <w:r w:rsidR="00434355">
        <w:rPr>
          <w:rFonts w:cs="Times New Roman"/>
          <w:sz w:val="22"/>
        </w:rPr>
        <w:t xml:space="preserve">choose practical options that are </w:t>
      </w:r>
      <w:r w:rsidR="00626B43">
        <w:rPr>
          <w:rFonts w:cs="Times New Roman"/>
          <w:sz w:val="22"/>
        </w:rPr>
        <w:t>just</w:t>
      </w:r>
      <w:r w:rsidR="00435F0B">
        <w:rPr>
          <w:rFonts w:cs="Times New Roman"/>
          <w:sz w:val="22"/>
        </w:rPr>
        <w:t xml:space="preserve"> </w:t>
      </w:r>
      <w:r w:rsidR="00434355">
        <w:rPr>
          <w:rFonts w:cs="Times New Roman"/>
          <w:sz w:val="22"/>
        </w:rPr>
        <w:t xml:space="preserve">sufficient or ‘good enough’ to meet/satisfy current needs rather than look for </w:t>
      </w:r>
      <w:r w:rsidR="00435F0B">
        <w:rPr>
          <w:rFonts w:cs="Times New Roman"/>
          <w:sz w:val="22"/>
        </w:rPr>
        <w:t xml:space="preserve">the theoretically </w:t>
      </w:r>
      <w:r w:rsidR="00626B43">
        <w:rPr>
          <w:rFonts w:cs="Times New Roman"/>
          <w:sz w:val="22"/>
        </w:rPr>
        <w:t>optima</w:t>
      </w:r>
      <w:r w:rsidR="00435F0B">
        <w:rPr>
          <w:rFonts w:cs="Times New Roman"/>
          <w:sz w:val="22"/>
        </w:rPr>
        <w:t>l solution</w:t>
      </w:r>
      <w:r w:rsidR="00434355">
        <w:rPr>
          <w:rFonts w:cs="Times New Roman"/>
          <w:sz w:val="22"/>
        </w:rPr>
        <w:t>.</w:t>
      </w:r>
      <w:r w:rsidR="00D62FAA">
        <w:rPr>
          <w:rFonts w:cs="Times New Roman"/>
          <w:sz w:val="22"/>
        </w:rPr>
        <w:t xml:space="preserve"> </w:t>
      </w:r>
      <w:r w:rsidR="0066776A">
        <w:rPr>
          <w:rFonts w:cs="Times New Roman"/>
          <w:sz w:val="22"/>
        </w:rPr>
        <w:t xml:space="preserve">That is, any divergence from the theoretically optimal solution cannot be construed as opportunistic agent behaviour as the objective is to seek satificing solution that meet current needs or challenges. </w:t>
      </w:r>
      <w:r w:rsidR="006A3F54">
        <w:rPr>
          <w:rFonts w:cs="Times New Roman"/>
          <w:sz w:val="22"/>
        </w:rPr>
        <w:t>Consequently, behavioural theory suggests that</w:t>
      </w:r>
      <w:r w:rsidR="001F6C78">
        <w:rPr>
          <w:rFonts w:cs="Times New Roman"/>
          <w:sz w:val="22"/>
        </w:rPr>
        <w:t xml:space="preserve"> the</w:t>
      </w:r>
      <w:r w:rsidR="006A3F54">
        <w:rPr>
          <w:rFonts w:cs="Times New Roman"/>
          <w:sz w:val="22"/>
        </w:rPr>
        <w:t xml:space="preserve"> introduction of ‘</w:t>
      </w:r>
      <w:r w:rsidR="006A3F54" w:rsidRPr="00B44F78">
        <w:rPr>
          <w:rFonts w:cs="Times New Roman"/>
          <w:sz w:val="22"/>
        </w:rPr>
        <w:t>sati</w:t>
      </w:r>
      <w:r w:rsidR="000B37AE" w:rsidRPr="00B44F78">
        <w:rPr>
          <w:rFonts w:cs="Times New Roman"/>
          <w:sz w:val="22"/>
        </w:rPr>
        <w:t>s</w:t>
      </w:r>
      <w:r w:rsidR="006A3F54" w:rsidRPr="00B44F78">
        <w:rPr>
          <w:rFonts w:cs="Times New Roman"/>
          <w:sz w:val="22"/>
        </w:rPr>
        <w:t>ficing</w:t>
      </w:r>
      <w:r w:rsidR="006A3F54">
        <w:rPr>
          <w:rFonts w:cs="Times New Roman"/>
          <w:sz w:val="22"/>
        </w:rPr>
        <w:t xml:space="preserve"> behaviour’ instead of ‘optimal behaviour’ </w:t>
      </w:r>
      <w:r w:rsidR="00406022">
        <w:rPr>
          <w:rFonts w:cs="Times New Roman"/>
          <w:sz w:val="22"/>
        </w:rPr>
        <w:t xml:space="preserve">can minimise the possible </w:t>
      </w:r>
      <w:r w:rsidR="006260BF">
        <w:rPr>
          <w:rFonts w:cs="Times New Roman"/>
          <w:sz w:val="22"/>
        </w:rPr>
        <w:t>benefits that agents may</w:t>
      </w:r>
      <w:r w:rsidR="00406022">
        <w:rPr>
          <w:rFonts w:cs="Times New Roman"/>
          <w:sz w:val="22"/>
        </w:rPr>
        <w:t xml:space="preserve"> receive from engaging in opportunistic </w:t>
      </w:r>
      <w:r w:rsidR="006260BF">
        <w:rPr>
          <w:rFonts w:cs="Times New Roman"/>
          <w:sz w:val="22"/>
        </w:rPr>
        <w:t>decisions.</w:t>
      </w:r>
      <w:r w:rsidR="0091335F">
        <w:rPr>
          <w:rFonts w:cs="Times New Roman"/>
          <w:sz w:val="22"/>
        </w:rPr>
        <w:t xml:space="preserve"> Hence, the importance of personal utility maximising behaviour </w:t>
      </w:r>
      <w:r w:rsidR="00435F0B">
        <w:rPr>
          <w:rFonts w:cs="Times New Roman"/>
          <w:sz w:val="22"/>
        </w:rPr>
        <w:t>being</w:t>
      </w:r>
      <w:r w:rsidR="0091335F">
        <w:rPr>
          <w:rFonts w:cs="Times New Roman"/>
          <w:sz w:val="22"/>
        </w:rPr>
        <w:t xml:space="preserve"> the major determinant of managerial decisions may be reduced – with organisational decisions not viewed</w:t>
      </w:r>
      <w:r w:rsidR="00435F0B">
        <w:rPr>
          <w:rFonts w:cs="Times New Roman"/>
          <w:sz w:val="22"/>
        </w:rPr>
        <w:t xml:space="preserve"> necessarily</w:t>
      </w:r>
      <w:r w:rsidR="0091335F">
        <w:rPr>
          <w:rFonts w:cs="Times New Roman"/>
          <w:sz w:val="22"/>
        </w:rPr>
        <w:t xml:space="preserve"> as optimal solutions, but rather as </w:t>
      </w:r>
      <w:r w:rsidR="00435F0B">
        <w:rPr>
          <w:rFonts w:cs="Times New Roman"/>
          <w:sz w:val="22"/>
        </w:rPr>
        <w:t>practical solutions that meet current specific needs/aspirations. The</w:t>
      </w:r>
      <w:r w:rsidR="000A09AC">
        <w:rPr>
          <w:rFonts w:cs="Times New Roman"/>
          <w:sz w:val="22"/>
        </w:rPr>
        <w:t xml:space="preserve"> current</w:t>
      </w:r>
      <w:r w:rsidR="00435F0B">
        <w:rPr>
          <w:rFonts w:cs="Times New Roman"/>
          <w:sz w:val="22"/>
        </w:rPr>
        <w:t xml:space="preserve"> levels of aspiration (‘satisfying goals’) are set based on history</w:t>
      </w:r>
      <w:r w:rsidR="00C476CC">
        <w:rPr>
          <w:rFonts w:cs="Times New Roman"/>
          <w:sz w:val="22"/>
        </w:rPr>
        <w:t xml:space="preserve"> (e.g., past performance)</w:t>
      </w:r>
      <w:r w:rsidR="00435F0B">
        <w:rPr>
          <w:rFonts w:cs="Times New Roman"/>
          <w:sz w:val="22"/>
        </w:rPr>
        <w:t xml:space="preserve"> and social </w:t>
      </w:r>
      <w:r w:rsidR="00C476CC">
        <w:rPr>
          <w:rFonts w:cs="Times New Roman"/>
          <w:sz w:val="22"/>
        </w:rPr>
        <w:t>environment (e.g., peer group – industry and size). For example, a company may simply set its future earnings target by referring to its past and/or peer group performance</w:t>
      </w:r>
      <w:r w:rsidR="00836475">
        <w:rPr>
          <w:rFonts w:cs="Times New Roman"/>
          <w:sz w:val="22"/>
        </w:rPr>
        <w:t xml:space="preserve"> </w:t>
      </w:r>
      <w:r w:rsidR="00C476CC">
        <w:rPr>
          <w:rFonts w:cs="Times New Roman"/>
          <w:sz w:val="22"/>
        </w:rPr>
        <w:t xml:space="preserve">rather than being presented </w:t>
      </w:r>
      <w:r w:rsidR="00E80CD2">
        <w:rPr>
          <w:rFonts w:cs="Times New Roman"/>
          <w:sz w:val="22"/>
        </w:rPr>
        <w:t xml:space="preserve">always </w:t>
      </w:r>
      <w:r w:rsidR="00C476CC">
        <w:rPr>
          <w:rFonts w:cs="Times New Roman"/>
          <w:sz w:val="22"/>
        </w:rPr>
        <w:t xml:space="preserve">as a complex opportunistic attempt by managers to </w:t>
      </w:r>
      <w:r w:rsidR="00D91435">
        <w:rPr>
          <w:rFonts w:cs="Times New Roman"/>
          <w:sz w:val="22"/>
        </w:rPr>
        <w:t xml:space="preserve">deliberately </w:t>
      </w:r>
      <w:r w:rsidR="00C476CC">
        <w:rPr>
          <w:rFonts w:cs="Times New Roman"/>
          <w:sz w:val="22"/>
        </w:rPr>
        <w:t>manage earnings either upwards or downwards</w:t>
      </w:r>
      <w:r w:rsidR="00B9570D">
        <w:rPr>
          <w:rFonts w:cs="Times New Roman"/>
          <w:sz w:val="22"/>
        </w:rPr>
        <w:t xml:space="preserve"> for their own personal gain</w:t>
      </w:r>
      <w:r w:rsidR="00C476CC">
        <w:rPr>
          <w:rFonts w:cs="Times New Roman"/>
          <w:sz w:val="22"/>
        </w:rPr>
        <w:t xml:space="preserve">. </w:t>
      </w:r>
    </w:p>
    <w:p w:rsidR="0007068A" w:rsidRDefault="00C476CC" w:rsidP="005A0788">
      <w:pPr>
        <w:spacing w:line="360" w:lineRule="auto"/>
        <w:ind w:firstLine="720"/>
        <w:jc w:val="both"/>
        <w:rPr>
          <w:rFonts w:cs="Times New Roman"/>
          <w:sz w:val="22"/>
        </w:rPr>
      </w:pPr>
      <w:r>
        <w:rPr>
          <w:rFonts w:cs="Times New Roman"/>
          <w:sz w:val="22"/>
        </w:rPr>
        <w:t>Third</w:t>
      </w:r>
      <w:r w:rsidR="00E04F85">
        <w:rPr>
          <w:rFonts w:cs="Times New Roman"/>
          <w:sz w:val="22"/>
        </w:rPr>
        <w:t xml:space="preserve">, van Ees et al. (2009, p.312) define routine as </w:t>
      </w:r>
      <w:r w:rsidR="00E04F85" w:rsidRPr="00E04F85">
        <w:rPr>
          <w:rFonts w:cs="Times New Roman"/>
          <w:sz w:val="22"/>
        </w:rPr>
        <w:t>“</w:t>
      </w:r>
      <w:r w:rsidR="00E04F85" w:rsidRPr="00E04F85">
        <w:rPr>
          <w:rFonts w:cs="Times New Roman"/>
          <w:i/>
          <w:sz w:val="22"/>
        </w:rPr>
        <w:t>standard operating procedures</w:t>
      </w:r>
      <w:r w:rsidR="00E04F85">
        <w:rPr>
          <w:rFonts w:cs="Times New Roman"/>
          <w:i/>
          <w:sz w:val="22"/>
        </w:rPr>
        <w:t xml:space="preserve">” or “…as the </w:t>
      </w:r>
      <w:r w:rsidR="00E04F85" w:rsidRPr="00E04F85">
        <w:rPr>
          <w:rFonts w:cs="Times New Roman"/>
          <w:i/>
          <w:sz w:val="22"/>
        </w:rPr>
        <w:t>codified memory of the organization; embodying the past experience, knowledge, beliefs, values, and capabilities of the organization and its decision makers</w:t>
      </w:r>
      <w:r w:rsidR="00E04F85">
        <w:rPr>
          <w:rFonts w:cs="Times New Roman"/>
          <w:sz w:val="22"/>
        </w:rPr>
        <w:t>”.</w:t>
      </w:r>
      <w:r w:rsidR="000D5108">
        <w:rPr>
          <w:rFonts w:cs="Times New Roman"/>
          <w:sz w:val="22"/>
        </w:rPr>
        <w:t xml:space="preserve"> Thus, routines tend to be </w:t>
      </w:r>
      <w:r w:rsidR="00F531F3">
        <w:rPr>
          <w:rFonts w:cs="Times New Roman"/>
          <w:sz w:val="22"/>
        </w:rPr>
        <w:t xml:space="preserve">(often </w:t>
      </w:r>
      <w:r w:rsidR="00AF596D">
        <w:rPr>
          <w:rFonts w:cs="Times New Roman"/>
          <w:sz w:val="22"/>
        </w:rPr>
        <w:t>taken-for-granted</w:t>
      </w:r>
      <w:r w:rsidR="00F531F3">
        <w:rPr>
          <w:rFonts w:cs="Times New Roman"/>
          <w:sz w:val="22"/>
        </w:rPr>
        <w:t>)</w:t>
      </w:r>
      <w:r w:rsidR="00AF596D">
        <w:rPr>
          <w:rFonts w:cs="Times New Roman"/>
          <w:sz w:val="22"/>
        </w:rPr>
        <w:t xml:space="preserve"> </w:t>
      </w:r>
      <w:r w:rsidR="000D5108">
        <w:rPr>
          <w:rFonts w:cs="Times New Roman"/>
          <w:sz w:val="22"/>
        </w:rPr>
        <w:t>tacit knowledge developed over many years</w:t>
      </w:r>
      <w:r w:rsidR="00AF596D">
        <w:rPr>
          <w:rFonts w:cs="Times New Roman"/>
          <w:sz w:val="22"/>
        </w:rPr>
        <w:t xml:space="preserve"> and </w:t>
      </w:r>
      <w:r w:rsidR="00B43AF4">
        <w:rPr>
          <w:rFonts w:cs="Times New Roman"/>
          <w:sz w:val="22"/>
        </w:rPr>
        <w:t>are</w:t>
      </w:r>
      <w:r w:rsidR="00AF596D">
        <w:rPr>
          <w:rFonts w:cs="Times New Roman"/>
          <w:sz w:val="22"/>
        </w:rPr>
        <w:t xml:space="preserve"> </w:t>
      </w:r>
      <w:r w:rsidR="000D5108">
        <w:rPr>
          <w:rFonts w:cs="Times New Roman"/>
          <w:sz w:val="22"/>
        </w:rPr>
        <w:t xml:space="preserve">widely accepted </w:t>
      </w:r>
      <w:r w:rsidR="00AF596D">
        <w:rPr>
          <w:rFonts w:cs="Times New Roman"/>
          <w:sz w:val="22"/>
        </w:rPr>
        <w:t>within an organisation</w:t>
      </w:r>
      <w:r w:rsidR="001E259F">
        <w:rPr>
          <w:rFonts w:cs="Times New Roman"/>
          <w:sz w:val="22"/>
        </w:rPr>
        <w:t>, easily becoming part of the organisation’s beliefs, capabilities, culture, experiences, knowledge and values</w:t>
      </w:r>
      <w:r w:rsidR="00AF596D">
        <w:rPr>
          <w:rFonts w:cs="Times New Roman"/>
          <w:sz w:val="22"/>
        </w:rPr>
        <w:t>.</w:t>
      </w:r>
      <w:r w:rsidR="00A94ECA">
        <w:rPr>
          <w:rFonts w:cs="Times New Roman"/>
          <w:sz w:val="22"/>
        </w:rPr>
        <w:t xml:space="preserve"> In this case, routinisation of decision-making can be a vital source of </w:t>
      </w:r>
      <w:r w:rsidR="00ED28B3">
        <w:rPr>
          <w:rFonts w:cs="Times New Roman"/>
          <w:sz w:val="22"/>
        </w:rPr>
        <w:t>cor</w:t>
      </w:r>
      <w:r w:rsidR="001E259F">
        <w:rPr>
          <w:rFonts w:cs="Times New Roman"/>
          <w:sz w:val="22"/>
        </w:rPr>
        <w:t>p</w:t>
      </w:r>
      <w:r w:rsidR="00ED28B3">
        <w:rPr>
          <w:rFonts w:cs="Times New Roman"/>
          <w:sz w:val="22"/>
        </w:rPr>
        <w:t>orate unity and control</w:t>
      </w:r>
      <w:r w:rsidR="001E259F">
        <w:rPr>
          <w:rFonts w:cs="Times New Roman"/>
          <w:sz w:val="22"/>
        </w:rPr>
        <w:t xml:space="preserve"> by eliminating conflicts of interests</w:t>
      </w:r>
      <w:r w:rsidR="006555E5">
        <w:rPr>
          <w:rFonts w:cs="Times New Roman"/>
          <w:sz w:val="22"/>
        </w:rPr>
        <w:t xml:space="preserve"> and conserving cognitive efforts re</w:t>
      </w:r>
      <w:r w:rsidR="00D40244">
        <w:rPr>
          <w:rFonts w:cs="Times New Roman"/>
          <w:sz w:val="22"/>
        </w:rPr>
        <w:t xml:space="preserve">quired in </w:t>
      </w:r>
      <w:r w:rsidR="001E259F">
        <w:rPr>
          <w:rFonts w:cs="Times New Roman"/>
          <w:sz w:val="22"/>
        </w:rPr>
        <w:t>reaching optimal decision</w:t>
      </w:r>
      <w:r w:rsidR="00B1166E">
        <w:rPr>
          <w:rFonts w:cs="Times New Roman"/>
          <w:sz w:val="22"/>
        </w:rPr>
        <w:t>, often through prolonged discussions and negotiations</w:t>
      </w:r>
      <w:r w:rsidR="001E259F">
        <w:rPr>
          <w:rFonts w:cs="Times New Roman"/>
          <w:sz w:val="22"/>
        </w:rPr>
        <w:t>.</w:t>
      </w:r>
      <w:r w:rsidR="00ED28B3">
        <w:rPr>
          <w:rFonts w:cs="Times New Roman"/>
          <w:sz w:val="22"/>
        </w:rPr>
        <w:t xml:space="preserve"> </w:t>
      </w:r>
      <w:r w:rsidR="00D70411">
        <w:rPr>
          <w:rFonts w:cs="Times New Roman"/>
          <w:sz w:val="22"/>
        </w:rPr>
        <w:t>Similar to decision making under bounded rationality and satisficing behaviour, decisions made</w:t>
      </w:r>
      <w:r w:rsidR="003D5D12">
        <w:rPr>
          <w:rFonts w:cs="Times New Roman"/>
          <w:sz w:val="22"/>
        </w:rPr>
        <w:t xml:space="preserve"> based on routines can also </w:t>
      </w:r>
      <w:r w:rsidR="00D70411">
        <w:rPr>
          <w:rFonts w:cs="Times New Roman"/>
          <w:sz w:val="22"/>
        </w:rPr>
        <w:t>be biased and thus lead to organisation inefficiencies and failures</w:t>
      </w:r>
      <w:r w:rsidR="00B24010">
        <w:rPr>
          <w:rFonts w:cs="Times New Roman"/>
          <w:sz w:val="22"/>
        </w:rPr>
        <w:t xml:space="preserve">, but divergence from optimal decisions cannot be attributed </w:t>
      </w:r>
      <w:r w:rsidR="00BD44D3">
        <w:rPr>
          <w:rFonts w:cs="Times New Roman"/>
          <w:sz w:val="22"/>
        </w:rPr>
        <w:t xml:space="preserve">only </w:t>
      </w:r>
      <w:r w:rsidR="00B24010">
        <w:rPr>
          <w:rFonts w:cs="Times New Roman"/>
          <w:sz w:val="22"/>
        </w:rPr>
        <w:t xml:space="preserve">to </w:t>
      </w:r>
      <w:r w:rsidR="00BD44D3">
        <w:rPr>
          <w:rFonts w:cs="Times New Roman"/>
          <w:sz w:val="22"/>
        </w:rPr>
        <w:t xml:space="preserve">managerial </w:t>
      </w:r>
      <w:r w:rsidR="00B24010">
        <w:rPr>
          <w:rFonts w:cs="Times New Roman"/>
          <w:sz w:val="22"/>
        </w:rPr>
        <w:t xml:space="preserve">self-serving behaviour instead of </w:t>
      </w:r>
      <w:r w:rsidR="00BD44D3">
        <w:rPr>
          <w:rFonts w:cs="Times New Roman"/>
          <w:sz w:val="22"/>
        </w:rPr>
        <w:t xml:space="preserve">possible </w:t>
      </w:r>
      <w:r w:rsidR="00B24010">
        <w:rPr>
          <w:rFonts w:cs="Times New Roman"/>
          <w:sz w:val="22"/>
        </w:rPr>
        <w:t>inherent limitations associated with the organisational rountines themselves</w:t>
      </w:r>
      <w:r w:rsidR="00D70411">
        <w:rPr>
          <w:rFonts w:cs="Times New Roman"/>
          <w:sz w:val="22"/>
        </w:rPr>
        <w:t xml:space="preserve">. </w:t>
      </w:r>
    </w:p>
    <w:p w:rsidR="00C476CC" w:rsidRPr="005F7FF7" w:rsidRDefault="009C2111" w:rsidP="005A0788">
      <w:pPr>
        <w:spacing w:line="360" w:lineRule="auto"/>
        <w:ind w:firstLine="720"/>
        <w:jc w:val="both"/>
        <w:rPr>
          <w:rFonts w:cs="Times New Roman"/>
          <w:sz w:val="22"/>
        </w:rPr>
      </w:pPr>
      <w:r>
        <w:rPr>
          <w:rFonts w:cs="Times New Roman"/>
          <w:sz w:val="22"/>
        </w:rPr>
        <w:t xml:space="preserve">The final assumption underlying behaviouraly theory </w:t>
      </w:r>
      <w:r w:rsidR="00E2303D">
        <w:rPr>
          <w:rFonts w:cs="Times New Roman"/>
          <w:sz w:val="22"/>
        </w:rPr>
        <w:t xml:space="preserve">boards and governance </w:t>
      </w:r>
      <w:r>
        <w:rPr>
          <w:rFonts w:cs="Times New Roman"/>
          <w:sz w:val="22"/>
        </w:rPr>
        <w:t xml:space="preserve">is that it views corporations as complex coalitions of stakeholders engaged in </w:t>
      </w:r>
      <w:r w:rsidR="00621E1A">
        <w:rPr>
          <w:rFonts w:cs="Times New Roman"/>
          <w:sz w:val="22"/>
        </w:rPr>
        <w:t xml:space="preserve">continuous </w:t>
      </w:r>
      <w:r>
        <w:rPr>
          <w:rFonts w:cs="Times New Roman"/>
          <w:sz w:val="22"/>
        </w:rPr>
        <w:t>political bargaining.</w:t>
      </w:r>
      <w:r w:rsidR="00621E1A">
        <w:rPr>
          <w:rFonts w:cs="Times New Roman"/>
          <w:sz w:val="22"/>
        </w:rPr>
        <w:t xml:space="preserve"> In this case, corporations are viewed as complex political system, consisting of coalitions and sub-coalitions of different stakeholders with different objectives and preferences.</w:t>
      </w:r>
      <w:r w:rsidR="00FA6E15">
        <w:rPr>
          <w:rFonts w:cs="Times New Roman"/>
          <w:sz w:val="22"/>
        </w:rPr>
        <w:t xml:space="preserve"> Distinct from agency theory</w:t>
      </w:r>
      <w:r w:rsidR="00510AFD">
        <w:rPr>
          <w:rFonts w:cs="Times New Roman"/>
          <w:sz w:val="22"/>
        </w:rPr>
        <w:t>, goal conflicts are resolved via negotiation</w:t>
      </w:r>
      <w:r w:rsidR="00FA6E15">
        <w:rPr>
          <w:rFonts w:cs="Times New Roman"/>
          <w:sz w:val="22"/>
        </w:rPr>
        <w:t>s</w:t>
      </w:r>
      <w:r w:rsidR="00510AFD">
        <w:rPr>
          <w:rFonts w:cs="Times New Roman"/>
          <w:sz w:val="22"/>
        </w:rPr>
        <w:t xml:space="preserve"> and political barganining instead of alig</w:t>
      </w:r>
      <w:r w:rsidR="00454CB8">
        <w:rPr>
          <w:rFonts w:cs="Times New Roman"/>
          <w:sz w:val="22"/>
        </w:rPr>
        <w:t>n</w:t>
      </w:r>
      <w:r w:rsidR="00510AFD">
        <w:rPr>
          <w:rFonts w:cs="Times New Roman"/>
          <w:sz w:val="22"/>
        </w:rPr>
        <w:t>ment of rational economic motives</w:t>
      </w:r>
      <w:r w:rsidR="003B123E">
        <w:rPr>
          <w:rFonts w:cs="Times New Roman"/>
          <w:sz w:val="22"/>
        </w:rPr>
        <w:t xml:space="preserve"> by monitoring and incentivising managers</w:t>
      </w:r>
      <w:r w:rsidR="00510AFD">
        <w:rPr>
          <w:rFonts w:cs="Times New Roman"/>
          <w:sz w:val="22"/>
        </w:rPr>
        <w:t>.</w:t>
      </w:r>
      <w:r w:rsidR="006265C3">
        <w:rPr>
          <w:rFonts w:cs="Times New Roman"/>
          <w:sz w:val="22"/>
        </w:rPr>
        <w:t xml:space="preserve"> Therefore, organisational objectives and goals reflect the variety of goals and objectives that are pursued by the different stakeholders of coalitions and subcoalitions</w:t>
      </w:r>
      <w:r w:rsidR="00F9101C">
        <w:rPr>
          <w:rFonts w:cs="Times New Roman"/>
          <w:sz w:val="22"/>
        </w:rPr>
        <w:t>, which shift contantly through negotiations and political bargaining</w:t>
      </w:r>
      <w:r w:rsidR="00496EC8">
        <w:rPr>
          <w:rFonts w:cs="Times New Roman"/>
          <w:sz w:val="22"/>
        </w:rPr>
        <w:t xml:space="preserve"> and problem solving processes</w:t>
      </w:r>
      <w:r w:rsidR="005318EE">
        <w:rPr>
          <w:rFonts w:cs="Times New Roman"/>
          <w:sz w:val="22"/>
        </w:rPr>
        <w:t xml:space="preserve"> </w:t>
      </w:r>
      <w:r w:rsidR="00A724EE">
        <w:rPr>
          <w:rFonts w:cs="Times New Roman"/>
          <w:sz w:val="22"/>
        </w:rPr>
        <w:t>that are</w:t>
      </w:r>
      <w:r w:rsidR="005318EE">
        <w:rPr>
          <w:rFonts w:cs="Times New Roman"/>
          <w:sz w:val="22"/>
        </w:rPr>
        <w:t xml:space="preserve"> aimed at achieving the objective</w:t>
      </w:r>
      <w:r w:rsidR="00981722">
        <w:rPr>
          <w:rFonts w:cs="Times New Roman"/>
          <w:sz w:val="22"/>
        </w:rPr>
        <w:t>s</w:t>
      </w:r>
      <w:r w:rsidR="005318EE">
        <w:rPr>
          <w:rFonts w:cs="Times New Roman"/>
          <w:sz w:val="22"/>
        </w:rPr>
        <w:t xml:space="preserve"> set by the dominant coalition.</w:t>
      </w:r>
    </w:p>
    <w:p w:rsidR="009D58E3" w:rsidRPr="005F7FF7" w:rsidRDefault="000643D9" w:rsidP="009D58E3">
      <w:pPr>
        <w:spacing w:line="360" w:lineRule="auto"/>
        <w:ind w:firstLine="720"/>
        <w:jc w:val="both"/>
        <w:rPr>
          <w:rFonts w:cs="Times New Roman"/>
          <w:sz w:val="22"/>
        </w:rPr>
      </w:pPr>
      <w:r>
        <w:rPr>
          <w:rFonts w:cs="Times New Roman"/>
          <w:sz w:val="22"/>
        </w:rPr>
        <w:t>To sum up, behavioural theory indicates that due to cognitive and information process</w:t>
      </w:r>
      <w:r w:rsidR="00DC68C1">
        <w:rPr>
          <w:rFonts w:cs="Times New Roman"/>
          <w:sz w:val="22"/>
        </w:rPr>
        <w:t>ing</w:t>
      </w:r>
      <w:r>
        <w:rPr>
          <w:rFonts w:cs="Times New Roman"/>
          <w:sz w:val="22"/>
        </w:rPr>
        <w:t xml:space="preserve"> limitations, organisation</w:t>
      </w:r>
      <w:r w:rsidR="00981722">
        <w:rPr>
          <w:rFonts w:cs="Times New Roman"/>
          <w:sz w:val="22"/>
        </w:rPr>
        <w:t>al</w:t>
      </w:r>
      <w:r>
        <w:rPr>
          <w:rFonts w:cs="Times New Roman"/>
          <w:sz w:val="22"/>
        </w:rPr>
        <w:t xml:space="preserve"> actors are rarely able to fully assess all available alternatives during decision-making. Instead pragmatic solutions that are</w:t>
      </w:r>
      <w:r w:rsidR="000F4673">
        <w:rPr>
          <w:rFonts w:cs="Times New Roman"/>
          <w:sz w:val="22"/>
        </w:rPr>
        <w:t xml:space="preserve"> typically</w:t>
      </w:r>
      <w:r>
        <w:rPr>
          <w:rFonts w:cs="Times New Roman"/>
          <w:sz w:val="22"/>
        </w:rPr>
        <w:t xml:space="preserve"> satisfactory in terms resolving immediate/current problems are sought</w:t>
      </w:r>
      <w:r w:rsidR="00726EE5">
        <w:rPr>
          <w:rFonts w:cs="Times New Roman"/>
          <w:sz w:val="22"/>
        </w:rPr>
        <w:t xml:space="preserve">. Such satisficing solutions </w:t>
      </w:r>
      <w:r w:rsidR="009D58E3">
        <w:rPr>
          <w:rFonts w:cs="Times New Roman"/>
          <w:sz w:val="22"/>
        </w:rPr>
        <w:t xml:space="preserve">are often inherent </w:t>
      </w:r>
      <w:r w:rsidR="00726EE5">
        <w:rPr>
          <w:rFonts w:cs="Times New Roman"/>
          <w:sz w:val="22"/>
        </w:rPr>
        <w:t xml:space="preserve">wihin the </w:t>
      </w:r>
      <w:r w:rsidR="009D58E3">
        <w:rPr>
          <w:rFonts w:cs="Times New Roman"/>
          <w:sz w:val="22"/>
        </w:rPr>
        <w:t>organisational routines and heuristics based on capabilities, beliefs, experiences, feelings/intutions, knowledge and value</w:t>
      </w:r>
      <w:r w:rsidR="00597CAF">
        <w:rPr>
          <w:rFonts w:cs="Times New Roman"/>
          <w:sz w:val="22"/>
        </w:rPr>
        <w:t>s</w:t>
      </w:r>
      <w:r w:rsidR="009D58E3">
        <w:rPr>
          <w:rFonts w:cs="Times New Roman"/>
          <w:sz w:val="22"/>
        </w:rPr>
        <w:t xml:space="preserve"> that</w:t>
      </w:r>
      <w:r w:rsidR="00597CAF">
        <w:rPr>
          <w:rFonts w:cs="Times New Roman"/>
          <w:sz w:val="22"/>
        </w:rPr>
        <w:t xml:space="preserve"> are</w:t>
      </w:r>
      <w:r w:rsidR="009D58E3">
        <w:rPr>
          <w:rFonts w:cs="Times New Roman"/>
          <w:sz w:val="22"/>
        </w:rPr>
        <w:t xml:space="preserve"> often taken-for-granted.</w:t>
      </w:r>
      <w:r>
        <w:rPr>
          <w:rFonts w:cs="Times New Roman"/>
          <w:sz w:val="22"/>
        </w:rPr>
        <w:t xml:space="preserve"> </w:t>
      </w:r>
      <w:r w:rsidR="009D58E3">
        <w:rPr>
          <w:rFonts w:cs="Times New Roman"/>
          <w:sz w:val="22"/>
        </w:rPr>
        <w:t>Finally, goal formation</w:t>
      </w:r>
      <w:r w:rsidR="00745A41">
        <w:rPr>
          <w:rFonts w:cs="Times New Roman"/>
          <w:sz w:val="22"/>
        </w:rPr>
        <w:t xml:space="preserve"> and emerging conflicts</w:t>
      </w:r>
      <w:r w:rsidR="009D58E3">
        <w:rPr>
          <w:rFonts w:cs="Times New Roman"/>
          <w:sz w:val="22"/>
        </w:rPr>
        <w:t xml:space="preserve"> are resolved through continuous process of negotiation and political bargaining towards achieving the objective</w:t>
      </w:r>
      <w:r w:rsidR="00597CAF">
        <w:rPr>
          <w:rFonts w:cs="Times New Roman"/>
          <w:sz w:val="22"/>
        </w:rPr>
        <w:t>s</w:t>
      </w:r>
      <w:r w:rsidR="009D58E3">
        <w:rPr>
          <w:rFonts w:cs="Times New Roman"/>
          <w:sz w:val="22"/>
        </w:rPr>
        <w:t xml:space="preserve"> set by the dominant coalition.</w:t>
      </w:r>
      <w:r w:rsidR="000F4673">
        <w:rPr>
          <w:rFonts w:cs="Times New Roman"/>
          <w:sz w:val="22"/>
        </w:rPr>
        <w:t xml:space="preserve"> </w:t>
      </w:r>
      <w:r w:rsidR="00726EE5">
        <w:rPr>
          <w:rFonts w:cs="Times New Roman"/>
          <w:sz w:val="22"/>
        </w:rPr>
        <w:t>We, therefore, employ this behavioural theoretical perspective in developing our hypotheses and interpreting our findings.</w:t>
      </w:r>
    </w:p>
    <w:p w:rsidR="007539E6" w:rsidRPr="005F7FF7" w:rsidRDefault="007539E6" w:rsidP="005A0788">
      <w:pPr>
        <w:spacing w:line="360" w:lineRule="auto"/>
        <w:ind w:firstLine="720"/>
        <w:jc w:val="both"/>
        <w:rPr>
          <w:rFonts w:cs="Times New Roman"/>
          <w:sz w:val="22"/>
        </w:rPr>
      </w:pPr>
    </w:p>
    <w:p w:rsidR="00E865C4" w:rsidRPr="00952D49" w:rsidRDefault="00330DD3" w:rsidP="00330DD3">
      <w:pPr>
        <w:rPr>
          <w:b/>
          <w:sz w:val="22"/>
        </w:rPr>
      </w:pPr>
      <w:r w:rsidRPr="00952D49">
        <w:rPr>
          <w:b/>
          <w:sz w:val="22"/>
        </w:rPr>
        <w:t xml:space="preserve">4. </w:t>
      </w:r>
      <w:r w:rsidR="003C3948" w:rsidRPr="00952D49">
        <w:rPr>
          <w:b/>
          <w:sz w:val="22"/>
        </w:rPr>
        <w:t>Literature revi</w:t>
      </w:r>
      <w:r w:rsidR="008104F9" w:rsidRPr="00952D49">
        <w:rPr>
          <w:b/>
          <w:sz w:val="22"/>
        </w:rPr>
        <w:t>e</w:t>
      </w:r>
      <w:r w:rsidR="003C3948" w:rsidRPr="00952D49">
        <w:rPr>
          <w:b/>
          <w:sz w:val="22"/>
        </w:rPr>
        <w:t>w and hypotheses development</w:t>
      </w:r>
      <w:r w:rsidR="00144AFE" w:rsidRPr="00952D49">
        <w:rPr>
          <w:b/>
          <w:sz w:val="22"/>
        </w:rPr>
        <w:t xml:space="preserve"> </w:t>
      </w:r>
    </w:p>
    <w:p w:rsidR="00E865C4" w:rsidRPr="00DF47C6" w:rsidRDefault="00E865C4" w:rsidP="00CF02FE">
      <w:pPr>
        <w:spacing w:line="360" w:lineRule="auto"/>
        <w:ind w:firstLine="568"/>
        <w:jc w:val="both"/>
        <w:rPr>
          <w:rFonts w:cs="Times New Roman"/>
          <w:sz w:val="22"/>
        </w:rPr>
      </w:pPr>
    </w:p>
    <w:p w:rsidR="00B329EF" w:rsidRPr="00DF47C6" w:rsidRDefault="003E6C02" w:rsidP="00DF47C6">
      <w:pPr>
        <w:spacing w:line="360" w:lineRule="auto"/>
        <w:ind w:firstLine="431"/>
        <w:jc w:val="both"/>
        <w:rPr>
          <w:rFonts w:cs="Times New Roman"/>
          <w:sz w:val="22"/>
        </w:rPr>
      </w:pPr>
      <w:r w:rsidRPr="00DF47C6">
        <w:rPr>
          <w:rFonts w:cs="Times New Roman"/>
          <w:sz w:val="22"/>
        </w:rPr>
        <w:t>Prior studies have</w:t>
      </w:r>
      <w:r w:rsidR="000C6564" w:rsidRPr="00DF47C6">
        <w:rPr>
          <w:rFonts w:cs="Times New Roman"/>
          <w:sz w:val="22"/>
        </w:rPr>
        <w:t xml:space="preserve"> examined</w:t>
      </w:r>
      <w:r w:rsidRPr="00DF47C6">
        <w:rPr>
          <w:rFonts w:cs="Times New Roman"/>
          <w:sz w:val="22"/>
        </w:rPr>
        <w:t>: (</w:t>
      </w:r>
      <w:r w:rsidRPr="007D28B0">
        <w:rPr>
          <w:rFonts w:cs="Times New Roman"/>
          <w:i/>
          <w:sz w:val="22"/>
        </w:rPr>
        <w:t>i</w:t>
      </w:r>
      <w:r w:rsidRPr="00DF47C6">
        <w:rPr>
          <w:rFonts w:cs="Times New Roman"/>
          <w:sz w:val="22"/>
        </w:rPr>
        <w:t>)</w:t>
      </w:r>
      <w:r w:rsidR="000C6564" w:rsidRPr="00DF47C6">
        <w:rPr>
          <w:rFonts w:cs="Times New Roman"/>
          <w:sz w:val="22"/>
        </w:rPr>
        <w:t xml:space="preserve"> the link between CG </w:t>
      </w:r>
      <w:r w:rsidR="00705E7A" w:rsidRPr="00DF47C6">
        <w:rPr>
          <w:rFonts w:cs="Times New Roman"/>
          <w:sz w:val="22"/>
        </w:rPr>
        <w:t xml:space="preserve">structures </w:t>
      </w:r>
      <w:r w:rsidR="00872C21" w:rsidRPr="00DF47C6">
        <w:rPr>
          <w:rFonts w:cs="Times New Roman"/>
          <w:sz w:val="22"/>
        </w:rPr>
        <w:t xml:space="preserve">(e.g., board characteristics) </w:t>
      </w:r>
      <w:r w:rsidR="000C6564" w:rsidRPr="00DF47C6">
        <w:rPr>
          <w:rFonts w:cs="Times New Roman"/>
          <w:sz w:val="22"/>
        </w:rPr>
        <w:t xml:space="preserve">and EM </w:t>
      </w:r>
      <w:r w:rsidRPr="00DF47C6">
        <w:rPr>
          <w:rFonts w:cs="Times New Roman"/>
          <w:sz w:val="22"/>
        </w:rPr>
        <w:t>(</w:t>
      </w:r>
      <w:r w:rsidR="0007068A" w:rsidRPr="00DF47C6">
        <w:rPr>
          <w:rFonts w:cs="Times New Roman"/>
          <w:sz w:val="22"/>
        </w:rPr>
        <w:t xml:space="preserve">Chung et al., 2002; Klein, 2002; Xie et al., 2003; Davidson et al., 2005; Mitra &amp; Cready, 2005; Lin et al., 2006; Rahman &amp; Ali, 2006; Jaggi &amp; Tsui, 2007; Jiraporn &amp; Gleason, 2007; Bowen et al., 2008; Jiang et al., 2008; Epps &amp; Ismail, 2009; Ghosh et al., 2010; </w:t>
      </w:r>
      <w:r w:rsidRPr="00DF47C6">
        <w:rPr>
          <w:rFonts w:cs="Times New Roman"/>
          <w:sz w:val="22"/>
        </w:rPr>
        <w:t xml:space="preserve">Kent et al., 2010; </w:t>
      </w:r>
      <w:r w:rsidR="0007068A" w:rsidRPr="00DF47C6">
        <w:rPr>
          <w:rFonts w:cs="Times New Roman"/>
          <w:sz w:val="22"/>
        </w:rPr>
        <w:t xml:space="preserve">Lo et al., 2010; Bekiris &amp; Doukakis, 2011; Alves, 2012; Chen &amp; Zhang, 2012; Leventis &amp; Dimitropoulos, 2012; Anglin et </w:t>
      </w:r>
      <w:r w:rsidR="000C6564" w:rsidRPr="00DF47C6">
        <w:rPr>
          <w:rFonts w:cs="Times New Roman"/>
          <w:sz w:val="22"/>
        </w:rPr>
        <w:t>al., 2013; Albu &amp; Girbin, 2015)</w:t>
      </w:r>
      <w:r w:rsidRPr="00DF47C6">
        <w:rPr>
          <w:rFonts w:cs="Times New Roman"/>
          <w:sz w:val="22"/>
        </w:rPr>
        <w:t>; (</w:t>
      </w:r>
      <w:r w:rsidRPr="007D28B0">
        <w:rPr>
          <w:rFonts w:cs="Times New Roman"/>
          <w:i/>
          <w:sz w:val="22"/>
        </w:rPr>
        <w:t>ii</w:t>
      </w:r>
      <w:r w:rsidRPr="00DF47C6">
        <w:rPr>
          <w:rFonts w:cs="Times New Roman"/>
          <w:sz w:val="22"/>
        </w:rPr>
        <w:t>)</w:t>
      </w:r>
      <w:r w:rsidR="000C6564" w:rsidRPr="00DF47C6">
        <w:rPr>
          <w:rFonts w:cs="Times New Roman"/>
          <w:sz w:val="22"/>
        </w:rPr>
        <w:t xml:space="preserve"> </w:t>
      </w:r>
      <w:r w:rsidRPr="00DF47C6">
        <w:rPr>
          <w:rFonts w:cs="Times New Roman"/>
          <w:sz w:val="22"/>
        </w:rPr>
        <w:t xml:space="preserve">the effect of </w:t>
      </w:r>
      <w:r w:rsidR="0037585D" w:rsidRPr="00DF47C6">
        <w:rPr>
          <w:rFonts w:cs="Times New Roman"/>
          <w:sz w:val="22"/>
        </w:rPr>
        <w:t>gender on EM</w:t>
      </w:r>
      <w:r w:rsidR="000C6564" w:rsidRPr="00DF47C6">
        <w:rPr>
          <w:rFonts w:cs="Times New Roman"/>
          <w:sz w:val="22"/>
        </w:rPr>
        <w:t xml:space="preserve"> (Krishnan &amp; Parsons, 2008; Gavious et al., 2012)</w:t>
      </w:r>
      <w:r w:rsidRPr="00DF47C6">
        <w:rPr>
          <w:rFonts w:cs="Times New Roman"/>
          <w:sz w:val="22"/>
        </w:rPr>
        <w:t>; (</w:t>
      </w:r>
      <w:r w:rsidRPr="007D28B0">
        <w:rPr>
          <w:rFonts w:cs="Times New Roman"/>
          <w:i/>
          <w:sz w:val="22"/>
        </w:rPr>
        <w:t>iii</w:t>
      </w:r>
      <w:r w:rsidRPr="00DF47C6">
        <w:rPr>
          <w:rFonts w:cs="Times New Roman"/>
          <w:sz w:val="22"/>
        </w:rPr>
        <w:t xml:space="preserve">) </w:t>
      </w:r>
      <w:r w:rsidR="000C6564" w:rsidRPr="00DF47C6">
        <w:rPr>
          <w:rFonts w:cs="Times New Roman"/>
          <w:sz w:val="22"/>
        </w:rPr>
        <w:t xml:space="preserve"> </w:t>
      </w:r>
      <w:r w:rsidRPr="00DF47C6">
        <w:rPr>
          <w:rFonts w:cs="Times New Roman"/>
          <w:sz w:val="22"/>
        </w:rPr>
        <w:t xml:space="preserve">the impact of </w:t>
      </w:r>
      <w:r w:rsidR="00E94B48">
        <w:rPr>
          <w:rFonts w:cs="Times New Roman"/>
          <w:sz w:val="22"/>
        </w:rPr>
        <w:t xml:space="preserve">audit firm </w:t>
      </w:r>
      <w:r w:rsidRPr="00DF47C6">
        <w:rPr>
          <w:rFonts w:cs="Times New Roman"/>
          <w:sz w:val="22"/>
        </w:rPr>
        <w:t>size on EM</w:t>
      </w:r>
      <w:r w:rsidR="000C6564" w:rsidRPr="00DF47C6">
        <w:rPr>
          <w:rFonts w:cs="Times New Roman"/>
          <w:sz w:val="22"/>
        </w:rPr>
        <w:t xml:space="preserve"> (Chia et al., 2007; Francis &amp; Wang, 2008) or au</w:t>
      </w:r>
      <w:r w:rsidRPr="00DF47C6">
        <w:rPr>
          <w:rFonts w:cs="Times New Roman"/>
          <w:sz w:val="22"/>
        </w:rPr>
        <w:t xml:space="preserve">dit quality (DeAngelo, 1981); </w:t>
      </w:r>
      <w:r w:rsidR="00C54173" w:rsidRPr="00DF47C6">
        <w:rPr>
          <w:rFonts w:cs="Times New Roman"/>
          <w:sz w:val="22"/>
        </w:rPr>
        <w:t xml:space="preserve"> </w:t>
      </w:r>
      <w:r w:rsidRPr="00DF47C6">
        <w:rPr>
          <w:rFonts w:cs="Times New Roman"/>
          <w:sz w:val="22"/>
        </w:rPr>
        <w:t>(</w:t>
      </w:r>
      <w:r w:rsidRPr="007D28B0">
        <w:rPr>
          <w:rFonts w:cs="Times New Roman"/>
          <w:i/>
          <w:sz w:val="22"/>
        </w:rPr>
        <w:t>iv</w:t>
      </w:r>
      <w:r w:rsidRPr="00DF47C6">
        <w:rPr>
          <w:rFonts w:cs="Times New Roman"/>
          <w:sz w:val="22"/>
        </w:rPr>
        <w:t xml:space="preserve">) the effect of </w:t>
      </w:r>
      <w:r w:rsidR="000C6564" w:rsidRPr="00DF47C6">
        <w:rPr>
          <w:rFonts w:cs="Times New Roman"/>
          <w:sz w:val="22"/>
        </w:rPr>
        <w:t>terrorist</w:t>
      </w:r>
      <w:r w:rsidRPr="00DF47C6">
        <w:rPr>
          <w:rFonts w:cs="Times New Roman"/>
          <w:sz w:val="22"/>
        </w:rPr>
        <w:t>s attacks on EM</w:t>
      </w:r>
      <w:r w:rsidR="000C6564" w:rsidRPr="00DF47C6">
        <w:rPr>
          <w:rFonts w:cs="Times New Roman"/>
          <w:sz w:val="22"/>
        </w:rPr>
        <w:t xml:space="preserve"> (Iatridis, 2012)</w:t>
      </w:r>
      <w:r w:rsidR="00DF47C6" w:rsidRPr="00DF47C6">
        <w:rPr>
          <w:rFonts w:cs="Times New Roman"/>
          <w:sz w:val="22"/>
        </w:rPr>
        <w:t>; and (v) the effect of executive pay on EM (Cornett et al., 2008).</w:t>
      </w:r>
    </w:p>
    <w:p w:rsidR="00B329EF" w:rsidRPr="00DF47C6" w:rsidRDefault="005C1B22" w:rsidP="005C1B22">
      <w:pPr>
        <w:spacing w:line="360" w:lineRule="auto"/>
        <w:ind w:firstLine="431"/>
        <w:jc w:val="both"/>
        <w:rPr>
          <w:rFonts w:cs="Times New Roman"/>
          <w:sz w:val="22"/>
        </w:rPr>
      </w:pPr>
      <w:r w:rsidRPr="00DF47C6">
        <w:rPr>
          <w:rFonts w:cs="Times New Roman"/>
          <w:sz w:val="22"/>
        </w:rPr>
        <w:t>Others have investigated the effect of religion/culture on: (</w:t>
      </w:r>
      <w:r w:rsidRPr="007D28B0">
        <w:rPr>
          <w:rFonts w:cs="Times New Roman"/>
          <w:i/>
          <w:sz w:val="22"/>
        </w:rPr>
        <w:t>i</w:t>
      </w:r>
      <w:r w:rsidRPr="00DF47C6">
        <w:rPr>
          <w:rFonts w:cs="Times New Roman"/>
          <w:sz w:val="22"/>
        </w:rPr>
        <w:t>) EM/earnings quality</w:t>
      </w:r>
      <w:r w:rsidR="0007068A" w:rsidRPr="00DF47C6">
        <w:rPr>
          <w:rFonts w:cs="Times New Roman"/>
          <w:sz w:val="22"/>
        </w:rPr>
        <w:t xml:space="preserve"> (Callen et al., 2011; Du et al., 2</w:t>
      </w:r>
      <w:r w:rsidRPr="00DF47C6">
        <w:rPr>
          <w:rFonts w:cs="Times New Roman"/>
          <w:sz w:val="22"/>
        </w:rPr>
        <w:t>015; Kanagaretnam et al., 2015) and financial reporting irregularities (Dyreng et al., 2012; McGuire et al., 2012); (</w:t>
      </w:r>
      <w:r w:rsidRPr="007D28B0">
        <w:rPr>
          <w:rFonts w:cs="Times New Roman"/>
          <w:i/>
          <w:sz w:val="22"/>
        </w:rPr>
        <w:t>ii</w:t>
      </w:r>
      <w:r w:rsidRPr="00DF47C6">
        <w:rPr>
          <w:rFonts w:cs="Times New Roman"/>
          <w:sz w:val="22"/>
        </w:rPr>
        <w:t xml:space="preserve">) </w:t>
      </w:r>
      <w:r w:rsidR="00C54173" w:rsidRPr="00DF47C6">
        <w:rPr>
          <w:rFonts w:cs="Times New Roman"/>
          <w:sz w:val="22"/>
        </w:rPr>
        <w:t>CSR (Brammer et al., 2007</w:t>
      </w:r>
      <w:r w:rsidRPr="00DF47C6">
        <w:rPr>
          <w:rFonts w:cs="Times New Roman"/>
          <w:sz w:val="22"/>
        </w:rPr>
        <w:t xml:space="preserve">) and </w:t>
      </w:r>
      <w:r w:rsidR="00E268CD">
        <w:rPr>
          <w:rFonts w:cs="Times New Roman"/>
          <w:sz w:val="22"/>
        </w:rPr>
        <w:t xml:space="preserve">corporate </w:t>
      </w:r>
      <w:r w:rsidRPr="00DF47C6">
        <w:rPr>
          <w:rFonts w:cs="Times New Roman"/>
          <w:sz w:val="22"/>
        </w:rPr>
        <w:t>philanthropy (Du et al., 2014); (</w:t>
      </w:r>
      <w:r w:rsidRPr="007D28B0">
        <w:rPr>
          <w:rFonts w:cs="Times New Roman"/>
          <w:i/>
          <w:sz w:val="22"/>
        </w:rPr>
        <w:t>iii</w:t>
      </w:r>
      <w:r w:rsidRPr="00DF47C6">
        <w:rPr>
          <w:rFonts w:cs="Times New Roman"/>
          <w:sz w:val="22"/>
        </w:rPr>
        <w:t xml:space="preserve">) </w:t>
      </w:r>
      <w:r w:rsidR="00C54173" w:rsidRPr="00DF47C6">
        <w:rPr>
          <w:rFonts w:cs="Times New Roman"/>
          <w:sz w:val="22"/>
        </w:rPr>
        <w:t>agency problems (Du,</w:t>
      </w:r>
      <w:r w:rsidRPr="00DF47C6">
        <w:rPr>
          <w:rFonts w:cs="Times New Roman"/>
          <w:sz w:val="22"/>
        </w:rPr>
        <w:t xml:space="preserve"> 2013) </w:t>
      </w:r>
      <w:r w:rsidR="00C54173" w:rsidRPr="00DF47C6">
        <w:rPr>
          <w:rFonts w:cs="Times New Roman"/>
          <w:sz w:val="22"/>
        </w:rPr>
        <w:t>and tunnelling (Du,</w:t>
      </w:r>
      <w:r w:rsidRPr="00DF47C6">
        <w:rPr>
          <w:rFonts w:cs="Times New Roman"/>
          <w:sz w:val="22"/>
        </w:rPr>
        <w:t xml:space="preserve"> 2014); (</w:t>
      </w:r>
      <w:r w:rsidRPr="007D28B0">
        <w:rPr>
          <w:rFonts w:cs="Times New Roman"/>
          <w:i/>
          <w:sz w:val="22"/>
        </w:rPr>
        <w:t>iv</w:t>
      </w:r>
      <w:r w:rsidRPr="00DF47C6">
        <w:rPr>
          <w:rFonts w:cs="Times New Roman"/>
          <w:sz w:val="22"/>
        </w:rPr>
        <w:t xml:space="preserve">) </w:t>
      </w:r>
      <w:r w:rsidR="00DF47C6" w:rsidRPr="00DF47C6">
        <w:rPr>
          <w:rFonts w:cs="Times New Roman"/>
          <w:sz w:val="22"/>
        </w:rPr>
        <w:t>equity-</w:t>
      </w:r>
      <w:r w:rsidR="00C54173" w:rsidRPr="00DF47C6">
        <w:rPr>
          <w:rFonts w:cs="Times New Roman"/>
          <w:sz w:val="22"/>
        </w:rPr>
        <w:t>pricing (El Ghoul et al.,</w:t>
      </w:r>
      <w:r w:rsidR="00B44F78">
        <w:rPr>
          <w:rFonts w:cs="Times New Roman"/>
          <w:sz w:val="22"/>
        </w:rPr>
        <w:t xml:space="preserve"> 201</w:t>
      </w:r>
      <w:r w:rsidRPr="00DF47C6">
        <w:rPr>
          <w:rFonts w:cs="Times New Roman"/>
          <w:sz w:val="22"/>
        </w:rPr>
        <w:t>2)</w:t>
      </w:r>
      <w:r w:rsidR="00DF47C6" w:rsidRPr="00DF47C6">
        <w:rPr>
          <w:rFonts w:cs="Times New Roman"/>
          <w:sz w:val="22"/>
        </w:rPr>
        <w:t>, corporate decision-</w:t>
      </w:r>
      <w:r w:rsidR="00C54173" w:rsidRPr="00DF47C6">
        <w:rPr>
          <w:rFonts w:cs="Times New Roman"/>
          <w:sz w:val="22"/>
        </w:rPr>
        <w:t>making (Hilary &amp; Hui, 2009)</w:t>
      </w:r>
      <w:r w:rsidR="00DF47C6" w:rsidRPr="00DF47C6">
        <w:rPr>
          <w:rFonts w:cs="Times New Roman"/>
          <w:sz w:val="22"/>
        </w:rPr>
        <w:t xml:space="preserve"> and risk-taking (Bartke &amp; Schwarze, 2008)</w:t>
      </w:r>
      <w:r w:rsidRPr="00DF47C6">
        <w:rPr>
          <w:rFonts w:cs="Times New Roman"/>
          <w:sz w:val="22"/>
        </w:rPr>
        <w:t>; and (</w:t>
      </w:r>
      <w:r w:rsidRPr="007D28B0">
        <w:rPr>
          <w:rFonts w:cs="Times New Roman"/>
          <w:i/>
          <w:sz w:val="22"/>
        </w:rPr>
        <w:t>v</w:t>
      </w:r>
      <w:r w:rsidRPr="00DF47C6">
        <w:rPr>
          <w:rFonts w:cs="Times New Roman"/>
          <w:sz w:val="22"/>
        </w:rPr>
        <w:t>)</w:t>
      </w:r>
      <w:r w:rsidR="00C54173" w:rsidRPr="00DF47C6">
        <w:rPr>
          <w:rFonts w:cs="Times New Roman"/>
          <w:sz w:val="22"/>
        </w:rPr>
        <w:t xml:space="preserve"> tax evasion/tax fraud (Stack 2006; Richardson 2008)</w:t>
      </w:r>
      <w:r w:rsidR="00DF47C6" w:rsidRPr="00DF47C6">
        <w:rPr>
          <w:rFonts w:cs="Times New Roman"/>
          <w:sz w:val="22"/>
        </w:rPr>
        <w:t xml:space="preserve"> and</w:t>
      </w:r>
      <w:r w:rsidR="00C54173" w:rsidRPr="00DF47C6">
        <w:rPr>
          <w:rFonts w:cs="Times New Roman"/>
          <w:sz w:val="22"/>
        </w:rPr>
        <w:t xml:space="preserve"> corruption (Mensah 2014)</w:t>
      </w:r>
      <w:r w:rsidRPr="00DF47C6">
        <w:rPr>
          <w:rFonts w:cs="Times New Roman"/>
          <w:sz w:val="22"/>
        </w:rPr>
        <w:t xml:space="preserve">. </w:t>
      </w:r>
    </w:p>
    <w:p w:rsidR="005C1B22" w:rsidRPr="00DF47C6" w:rsidRDefault="00710D68" w:rsidP="00FB7C56">
      <w:pPr>
        <w:spacing w:line="360" w:lineRule="auto"/>
        <w:ind w:firstLine="431"/>
        <w:jc w:val="both"/>
        <w:rPr>
          <w:rFonts w:cs="Times New Roman"/>
          <w:sz w:val="22"/>
        </w:rPr>
      </w:pPr>
      <w:r>
        <w:rPr>
          <w:rFonts w:cs="Times New Roman"/>
          <w:sz w:val="22"/>
        </w:rPr>
        <w:t xml:space="preserve">Finally, </w:t>
      </w:r>
      <w:r w:rsidR="006B2907">
        <w:rPr>
          <w:rFonts w:cs="Times New Roman"/>
          <w:sz w:val="22"/>
        </w:rPr>
        <w:t>there are</w:t>
      </w:r>
      <w:r w:rsidR="00AC3786">
        <w:rPr>
          <w:rFonts w:cs="Times New Roman"/>
          <w:sz w:val="22"/>
        </w:rPr>
        <w:t xml:space="preserve"> </w:t>
      </w:r>
      <w:r w:rsidRPr="005F7FF7">
        <w:rPr>
          <w:rFonts w:cs="Times New Roman"/>
          <w:sz w:val="22"/>
        </w:rPr>
        <w:t xml:space="preserve">normative/critical reviews relating to the distinctiveness of IG srtuctures (Archer et al., 1998; Rahman, 1998; </w:t>
      </w:r>
      <w:r w:rsidR="00FB7C56" w:rsidRPr="005F7FF7">
        <w:rPr>
          <w:rFonts w:cs="Times New Roman"/>
          <w:sz w:val="22"/>
        </w:rPr>
        <w:t>Lewis, 2005</w:t>
      </w:r>
      <w:r w:rsidR="00FB7C56">
        <w:rPr>
          <w:rFonts w:cs="Times New Roman"/>
          <w:sz w:val="22"/>
        </w:rPr>
        <w:t xml:space="preserve">; </w:t>
      </w:r>
      <w:r w:rsidRPr="005F7FF7">
        <w:rPr>
          <w:rFonts w:cs="Times New Roman"/>
          <w:sz w:val="22"/>
        </w:rPr>
        <w:t>Choudhury &amp; Hoque, 2006; Kamla et al., 2006; Abu-Tapanjeh, 2009</w:t>
      </w:r>
      <w:r>
        <w:rPr>
          <w:rFonts w:cs="Times New Roman"/>
          <w:sz w:val="22"/>
        </w:rPr>
        <w:t xml:space="preserve">; </w:t>
      </w:r>
      <w:r w:rsidRPr="00102963">
        <w:rPr>
          <w:rFonts w:cs="Times New Roman"/>
          <w:sz w:val="22"/>
        </w:rPr>
        <w:t>Williams &amp; Zinkin, 2010)</w:t>
      </w:r>
      <w:r>
        <w:rPr>
          <w:rFonts w:cs="Times New Roman"/>
          <w:sz w:val="22"/>
        </w:rPr>
        <w:t xml:space="preserve"> and</w:t>
      </w:r>
      <w:r w:rsidRPr="005F7FF7">
        <w:rPr>
          <w:rFonts w:cs="Times New Roman"/>
          <w:sz w:val="22"/>
        </w:rPr>
        <w:t xml:space="preserve"> empirical evidence on how such IG mechanisms may drive corporate outcomes and practices, such as performance, </w:t>
      </w:r>
      <w:r w:rsidR="00AC3786">
        <w:rPr>
          <w:rFonts w:cs="Times New Roman"/>
          <w:sz w:val="22"/>
        </w:rPr>
        <w:t>CSR, risk-taking and EM</w:t>
      </w:r>
      <w:r w:rsidRPr="005F7FF7">
        <w:rPr>
          <w:rFonts w:cs="Times New Roman"/>
          <w:sz w:val="22"/>
        </w:rPr>
        <w:t xml:space="preserve"> (Safieddine, 2009; Farook et al., 2011; Rahman &amp; Bukair, 2013; Ginena, 2014</w:t>
      </w:r>
      <w:r w:rsidR="00871705">
        <w:rPr>
          <w:rFonts w:cs="Times New Roman"/>
          <w:sz w:val="22"/>
        </w:rPr>
        <w:t>; Mollah &amp; Zaman, 2015</w:t>
      </w:r>
      <w:r w:rsidRPr="005F7FF7">
        <w:rPr>
          <w:rFonts w:cs="Times New Roman"/>
          <w:sz w:val="22"/>
        </w:rPr>
        <w:t>).</w:t>
      </w:r>
    </w:p>
    <w:p w:rsidR="001D3110" w:rsidRPr="00DF47C6" w:rsidRDefault="00AC3786" w:rsidP="00561519">
      <w:pPr>
        <w:spacing w:line="360" w:lineRule="auto"/>
        <w:ind w:firstLine="431"/>
        <w:jc w:val="both"/>
        <w:rPr>
          <w:rFonts w:cs="Times New Roman"/>
          <w:sz w:val="22"/>
        </w:rPr>
      </w:pPr>
      <w:r>
        <w:rPr>
          <w:rFonts w:cs="Times New Roman"/>
          <w:sz w:val="22"/>
        </w:rPr>
        <w:t>Consequently, we draw on the above stran</w:t>
      </w:r>
      <w:r w:rsidR="001E00A2">
        <w:rPr>
          <w:rFonts w:cs="Times New Roman"/>
          <w:sz w:val="22"/>
        </w:rPr>
        <w:t>ds of the literature, behavioural theory (</w:t>
      </w:r>
      <w:r w:rsidR="001E00A2" w:rsidRPr="00F948AC">
        <w:rPr>
          <w:rFonts w:cs="Times New Roman"/>
        </w:rPr>
        <w:t xml:space="preserve">Gabrielsson &amp; Huse, 2004; van Ees </w:t>
      </w:r>
      <w:r w:rsidR="001E00A2">
        <w:rPr>
          <w:rFonts w:cs="Times New Roman"/>
        </w:rPr>
        <w:t>et al., 2009; Huse et al., 2011)</w:t>
      </w:r>
      <w:r w:rsidR="007378A2" w:rsidRPr="00710D68">
        <w:rPr>
          <w:rFonts w:cs="Times New Roman"/>
          <w:sz w:val="22"/>
        </w:rPr>
        <w:t xml:space="preserve"> and </w:t>
      </w:r>
      <w:r w:rsidR="00EE227E">
        <w:rPr>
          <w:rFonts w:cs="Times New Roman"/>
          <w:sz w:val="22"/>
        </w:rPr>
        <w:t xml:space="preserve">relevant </w:t>
      </w:r>
      <w:r w:rsidR="001E00A2">
        <w:rPr>
          <w:rFonts w:cs="Times New Roman"/>
          <w:sz w:val="22"/>
        </w:rPr>
        <w:t xml:space="preserve">insights from the </w:t>
      </w:r>
      <w:r w:rsidR="007378A2" w:rsidRPr="00710D68">
        <w:rPr>
          <w:rFonts w:cs="Times New Roman"/>
          <w:sz w:val="22"/>
        </w:rPr>
        <w:t xml:space="preserve">Omani </w:t>
      </w:r>
      <w:r w:rsidR="001E00A2">
        <w:rPr>
          <w:rFonts w:cs="Times New Roman"/>
          <w:sz w:val="22"/>
        </w:rPr>
        <w:t xml:space="preserve">corporate </w:t>
      </w:r>
      <w:r w:rsidR="0070415E" w:rsidRPr="00710D68">
        <w:rPr>
          <w:rFonts w:cs="Times New Roman"/>
          <w:sz w:val="22"/>
        </w:rPr>
        <w:t>context</w:t>
      </w:r>
      <w:r w:rsidR="004F6940" w:rsidRPr="00710D68">
        <w:rPr>
          <w:rFonts w:cs="Times New Roman"/>
          <w:sz w:val="22"/>
        </w:rPr>
        <w:t xml:space="preserve"> to identify potential</w:t>
      </w:r>
      <w:r w:rsidR="009733A3" w:rsidRPr="00710D68">
        <w:rPr>
          <w:rFonts w:cs="Times New Roman"/>
          <w:sz w:val="22"/>
        </w:rPr>
        <w:t xml:space="preserve"> </w:t>
      </w:r>
      <w:r w:rsidR="007378A2" w:rsidRPr="00710D68">
        <w:rPr>
          <w:rFonts w:cs="Times New Roman"/>
          <w:sz w:val="22"/>
        </w:rPr>
        <w:t xml:space="preserve">CG </w:t>
      </w:r>
      <w:r w:rsidR="009733A3" w:rsidRPr="00710D68">
        <w:rPr>
          <w:rFonts w:cs="Times New Roman"/>
          <w:sz w:val="22"/>
        </w:rPr>
        <w:t xml:space="preserve">factors that </w:t>
      </w:r>
      <w:r w:rsidR="007378A2" w:rsidRPr="00DF47C6">
        <w:rPr>
          <w:rFonts w:cs="Times New Roman"/>
          <w:sz w:val="22"/>
        </w:rPr>
        <w:t>may have</w:t>
      </w:r>
      <w:r w:rsidR="00EE227E">
        <w:rPr>
          <w:rFonts w:cs="Times New Roman"/>
          <w:sz w:val="22"/>
        </w:rPr>
        <w:t xml:space="preserve"> effect</w:t>
      </w:r>
      <w:r w:rsidR="009733A3" w:rsidRPr="00DF47C6">
        <w:rPr>
          <w:rFonts w:cs="Times New Roman"/>
          <w:sz w:val="22"/>
        </w:rPr>
        <w:t xml:space="preserve"> </w:t>
      </w:r>
      <w:r w:rsidR="007378A2" w:rsidRPr="00DF47C6">
        <w:rPr>
          <w:rFonts w:cs="Times New Roman"/>
          <w:sz w:val="22"/>
        </w:rPr>
        <w:t>on EM</w:t>
      </w:r>
      <w:r w:rsidR="009733A3" w:rsidRPr="00DF47C6">
        <w:rPr>
          <w:rFonts w:cs="Times New Roman"/>
          <w:sz w:val="22"/>
        </w:rPr>
        <w:t xml:space="preserve">. Specifically, we examine </w:t>
      </w:r>
      <w:r w:rsidR="00945449" w:rsidRPr="00DF47C6">
        <w:rPr>
          <w:rFonts w:cs="Times New Roman"/>
          <w:sz w:val="22"/>
        </w:rPr>
        <w:t xml:space="preserve">how and why </w:t>
      </w:r>
      <w:r w:rsidR="007378A2" w:rsidRPr="00DF47C6">
        <w:rPr>
          <w:rFonts w:cs="Times New Roman"/>
          <w:sz w:val="22"/>
        </w:rPr>
        <w:t xml:space="preserve">a broad composite CG index, </w:t>
      </w:r>
      <w:r w:rsidR="001E00A2">
        <w:rPr>
          <w:rFonts w:cs="Times New Roman"/>
          <w:sz w:val="22"/>
        </w:rPr>
        <w:t xml:space="preserve">the presence of an IG </w:t>
      </w:r>
      <w:r w:rsidR="004374E1" w:rsidRPr="00DF47C6">
        <w:rPr>
          <w:rFonts w:cs="Times New Roman"/>
          <w:sz w:val="22"/>
        </w:rPr>
        <w:t>committee</w:t>
      </w:r>
      <w:r w:rsidR="001E00A2">
        <w:rPr>
          <w:rFonts w:cs="Times New Roman"/>
          <w:sz w:val="22"/>
        </w:rPr>
        <w:t xml:space="preserve"> (i.e., Shariah supervisory board)</w:t>
      </w:r>
      <w:r w:rsidR="004374E1" w:rsidRPr="00DF47C6">
        <w:rPr>
          <w:rFonts w:cs="Times New Roman"/>
          <w:sz w:val="22"/>
        </w:rPr>
        <w:t xml:space="preserve">, </w:t>
      </w:r>
      <w:r w:rsidR="007378A2" w:rsidRPr="00DF47C6">
        <w:rPr>
          <w:rFonts w:cs="Times New Roman"/>
          <w:sz w:val="22"/>
        </w:rPr>
        <w:t xml:space="preserve">board size, </w:t>
      </w:r>
      <w:r w:rsidR="00CF02FE" w:rsidRPr="00DF47C6">
        <w:rPr>
          <w:rFonts w:cs="Times New Roman"/>
          <w:sz w:val="22"/>
        </w:rPr>
        <w:t xml:space="preserve">audit firm size, </w:t>
      </w:r>
      <w:r w:rsidR="007378A2" w:rsidRPr="00DF47C6">
        <w:rPr>
          <w:rFonts w:cs="Times New Roman"/>
          <w:sz w:val="22"/>
        </w:rPr>
        <w:t>the presence of a CG committee and board diversity on the basis of gender</w:t>
      </w:r>
      <w:r w:rsidR="00945449" w:rsidRPr="00DF47C6">
        <w:rPr>
          <w:rFonts w:cs="Times New Roman"/>
          <w:sz w:val="22"/>
        </w:rPr>
        <w:t>,</w:t>
      </w:r>
      <w:r w:rsidR="004F6940" w:rsidRPr="00DF47C6">
        <w:rPr>
          <w:rFonts w:cs="Times New Roman"/>
          <w:sz w:val="22"/>
        </w:rPr>
        <w:t xml:space="preserve"> </w:t>
      </w:r>
      <w:r w:rsidR="007378A2" w:rsidRPr="00DF47C6">
        <w:rPr>
          <w:rFonts w:cs="Times New Roman"/>
          <w:sz w:val="22"/>
        </w:rPr>
        <w:t>may affect a firm’s EM</w:t>
      </w:r>
      <w:r>
        <w:rPr>
          <w:rFonts w:cs="Times New Roman"/>
          <w:sz w:val="22"/>
        </w:rPr>
        <w:t xml:space="preserve"> practices</w:t>
      </w:r>
      <w:r w:rsidR="009733A3" w:rsidRPr="00DF47C6">
        <w:rPr>
          <w:rFonts w:cs="Times New Roman"/>
          <w:sz w:val="22"/>
        </w:rPr>
        <w:t xml:space="preserve">. </w:t>
      </w:r>
    </w:p>
    <w:p w:rsidR="00E865C4" w:rsidRPr="00DF47C6" w:rsidRDefault="00E865C4" w:rsidP="00CF02FE">
      <w:pPr>
        <w:spacing w:line="360" w:lineRule="auto"/>
        <w:ind w:firstLine="568"/>
        <w:jc w:val="both"/>
        <w:rPr>
          <w:sz w:val="22"/>
        </w:rPr>
      </w:pPr>
    </w:p>
    <w:p w:rsidR="00C90C4E" w:rsidRPr="00952D49" w:rsidRDefault="00952D49" w:rsidP="00952D49">
      <w:pPr>
        <w:rPr>
          <w:i/>
          <w:sz w:val="22"/>
        </w:rPr>
      </w:pPr>
      <w:bookmarkStart w:id="7" w:name="_Toc383249594"/>
      <w:r w:rsidRPr="00952D49">
        <w:rPr>
          <w:i/>
          <w:sz w:val="22"/>
        </w:rPr>
        <w:t xml:space="preserve">4.1 </w:t>
      </w:r>
      <w:r w:rsidR="000244EA" w:rsidRPr="00952D49">
        <w:rPr>
          <w:i/>
          <w:sz w:val="22"/>
        </w:rPr>
        <w:t xml:space="preserve">Firm-level </w:t>
      </w:r>
      <w:r w:rsidR="00BA0D20" w:rsidRPr="00952D49">
        <w:rPr>
          <w:i/>
          <w:sz w:val="22"/>
        </w:rPr>
        <w:t xml:space="preserve">composite </w:t>
      </w:r>
      <w:r w:rsidR="000244EA" w:rsidRPr="00952D49">
        <w:rPr>
          <w:i/>
          <w:sz w:val="22"/>
        </w:rPr>
        <w:t>corporate governance</w:t>
      </w:r>
      <w:r w:rsidR="00BA0D20" w:rsidRPr="00952D49">
        <w:rPr>
          <w:i/>
          <w:sz w:val="22"/>
        </w:rPr>
        <w:t xml:space="preserve"> index</w:t>
      </w:r>
      <w:r w:rsidR="008A7405" w:rsidRPr="00952D49">
        <w:rPr>
          <w:i/>
          <w:sz w:val="22"/>
        </w:rPr>
        <w:t xml:space="preserve"> (OCGI)</w:t>
      </w:r>
      <w:bookmarkEnd w:id="7"/>
      <w:r w:rsidR="004374E1" w:rsidRPr="00952D49">
        <w:rPr>
          <w:i/>
          <w:sz w:val="22"/>
        </w:rPr>
        <w:t xml:space="preserve"> </w:t>
      </w:r>
      <w:r w:rsidR="00A602F6" w:rsidRPr="00952D49">
        <w:rPr>
          <w:i/>
          <w:sz w:val="22"/>
        </w:rPr>
        <w:t>and earnings management</w:t>
      </w:r>
    </w:p>
    <w:p w:rsidR="00E865C4" w:rsidRPr="00DF47C6" w:rsidRDefault="00E865C4" w:rsidP="009A0A41">
      <w:pPr>
        <w:pStyle w:val="BodyText"/>
        <w:spacing w:after="0" w:line="240" w:lineRule="auto"/>
        <w:rPr>
          <w:sz w:val="22"/>
        </w:rPr>
      </w:pPr>
    </w:p>
    <w:p w:rsidR="00DA1DB3" w:rsidRDefault="00852D8A" w:rsidP="00876B4E">
      <w:pPr>
        <w:spacing w:line="360" w:lineRule="auto"/>
        <w:ind w:firstLine="720"/>
        <w:jc w:val="both"/>
        <w:rPr>
          <w:rFonts w:cs="Times New Roman"/>
          <w:sz w:val="22"/>
        </w:rPr>
      </w:pPr>
      <w:r>
        <w:rPr>
          <w:rFonts w:cs="Times New Roman"/>
          <w:sz w:val="22"/>
        </w:rPr>
        <w:t xml:space="preserve">The dominant rational economics </w:t>
      </w:r>
      <w:r w:rsidR="005E0F90">
        <w:rPr>
          <w:rFonts w:cs="Times New Roman"/>
          <w:sz w:val="22"/>
        </w:rPr>
        <w:t xml:space="preserve">inspired </w:t>
      </w:r>
      <w:r w:rsidR="00EC01A9" w:rsidRPr="00DF47C6">
        <w:rPr>
          <w:rFonts w:cs="Times New Roman"/>
          <w:sz w:val="22"/>
        </w:rPr>
        <w:t>agency theory</w:t>
      </w:r>
      <w:r>
        <w:rPr>
          <w:rFonts w:cs="Times New Roman"/>
          <w:sz w:val="22"/>
        </w:rPr>
        <w:t xml:space="preserve"> suggests that</w:t>
      </w:r>
      <w:r w:rsidR="008A7405" w:rsidRPr="00DF47C6">
        <w:rPr>
          <w:rFonts w:cs="Times New Roman"/>
          <w:sz w:val="22"/>
        </w:rPr>
        <w:t xml:space="preserve"> managers are more </w:t>
      </w:r>
      <w:r w:rsidR="007F072A" w:rsidRPr="00DF47C6">
        <w:rPr>
          <w:rFonts w:cs="Times New Roman"/>
          <w:sz w:val="22"/>
        </w:rPr>
        <w:t>likely to engage in EM</w:t>
      </w:r>
      <w:r w:rsidR="008A7405" w:rsidRPr="00DF47C6">
        <w:rPr>
          <w:rFonts w:cs="Times New Roman"/>
          <w:sz w:val="22"/>
        </w:rPr>
        <w:t xml:space="preserve"> because of the </w:t>
      </w:r>
      <w:r>
        <w:rPr>
          <w:rFonts w:cs="Times New Roman"/>
          <w:sz w:val="22"/>
        </w:rPr>
        <w:t xml:space="preserve">apparent </w:t>
      </w:r>
      <w:r w:rsidR="008A7405" w:rsidRPr="00DF47C6">
        <w:rPr>
          <w:rFonts w:cs="Times New Roman"/>
          <w:sz w:val="22"/>
        </w:rPr>
        <w:t xml:space="preserve">conflict of interest </w:t>
      </w:r>
      <w:r>
        <w:rPr>
          <w:rFonts w:cs="Times New Roman"/>
          <w:sz w:val="22"/>
        </w:rPr>
        <w:t>that exist</w:t>
      </w:r>
      <w:r w:rsidR="00F10932">
        <w:rPr>
          <w:rFonts w:cs="Times New Roman"/>
          <w:sz w:val="22"/>
        </w:rPr>
        <w:t>s</w:t>
      </w:r>
      <w:r>
        <w:rPr>
          <w:rFonts w:cs="Times New Roman"/>
          <w:sz w:val="22"/>
        </w:rPr>
        <w:t xml:space="preserve"> </w:t>
      </w:r>
      <w:r w:rsidR="008A7405" w:rsidRPr="00DF47C6">
        <w:rPr>
          <w:rFonts w:cs="Times New Roman"/>
          <w:sz w:val="22"/>
        </w:rPr>
        <w:t xml:space="preserve">between </w:t>
      </w:r>
      <w:r>
        <w:rPr>
          <w:rFonts w:cs="Times New Roman"/>
          <w:sz w:val="22"/>
        </w:rPr>
        <w:t>managers</w:t>
      </w:r>
      <w:r w:rsidR="008A7405" w:rsidRPr="00DF47C6">
        <w:rPr>
          <w:rFonts w:cs="Times New Roman"/>
          <w:sz w:val="22"/>
        </w:rPr>
        <w:t xml:space="preserve"> and shareholders</w:t>
      </w:r>
      <w:r w:rsidR="00EC01A9" w:rsidRPr="00DF47C6">
        <w:rPr>
          <w:rFonts w:cs="Times New Roman"/>
          <w:sz w:val="22"/>
        </w:rPr>
        <w:t xml:space="preserve"> (Jensen </w:t>
      </w:r>
      <w:r w:rsidR="00665936" w:rsidRPr="00710D68">
        <w:rPr>
          <w:rFonts w:cs="Times New Roman"/>
          <w:sz w:val="22"/>
        </w:rPr>
        <w:t>&amp;</w:t>
      </w:r>
      <w:r w:rsidR="00EC01A9" w:rsidRPr="00710D68">
        <w:rPr>
          <w:rFonts w:cs="Times New Roman"/>
          <w:sz w:val="22"/>
        </w:rPr>
        <w:t xml:space="preserve"> Meckling, 1976). </w:t>
      </w:r>
      <w:r>
        <w:rPr>
          <w:rFonts w:cs="Times New Roman"/>
          <w:sz w:val="22"/>
        </w:rPr>
        <w:t>As</w:t>
      </w:r>
      <w:r w:rsidR="00F10932">
        <w:rPr>
          <w:rFonts w:cs="Times New Roman"/>
          <w:sz w:val="22"/>
        </w:rPr>
        <w:t xml:space="preserve"> a result</w:t>
      </w:r>
      <w:r>
        <w:rPr>
          <w:rFonts w:cs="Times New Roman"/>
          <w:sz w:val="22"/>
        </w:rPr>
        <w:t xml:space="preserve">, agency theory suggests that </w:t>
      </w:r>
      <w:r w:rsidR="004729AC">
        <w:rPr>
          <w:rFonts w:cs="Times New Roman"/>
          <w:sz w:val="22"/>
        </w:rPr>
        <w:t>form</w:t>
      </w:r>
      <w:r w:rsidR="00F83F26">
        <w:rPr>
          <w:rFonts w:cs="Times New Roman"/>
          <w:sz w:val="22"/>
        </w:rPr>
        <w:t>al</w:t>
      </w:r>
      <w:r w:rsidR="004729AC">
        <w:rPr>
          <w:rFonts w:cs="Times New Roman"/>
          <w:sz w:val="22"/>
        </w:rPr>
        <w:t xml:space="preserve"> monitoring</w:t>
      </w:r>
      <w:r w:rsidR="008A7405" w:rsidRPr="00710D68">
        <w:rPr>
          <w:rFonts w:cs="Times New Roman"/>
          <w:sz w:val="22"/>
        </w:rPr>
        <w:t xml:space="preserve"> CG </w:t>
      </w:r>
      <w:r w:rsidR="004729AC">
        <w:rPr>
          <w:rFonts w:cs="Times New Roman"/>
          <w:sz w:val="22"/>
        </w:rPr>
        <w:t xml:space="preserve">structures, bonding arrangments and incentive packagages </w:t>
      </w:r>
      <w:r w:rsidR="00F83F26">
        <w:rPr>
          <w:rFonts w:cs="Times New Roman"/>
          <w:sz w:val="22"/>
        </w:rPr>
        <w:t xml:space="preserve">can be instituted </w:t>
      </w:r>
      <w:r w:rsidR="004729AC">
        <w:rPr>
          <w:rFonts w:cs="Times New Roman"/>
          <w:sz w:val="22"/>
        </w:rPr>
        <w:t xml:space="preserve">that </w:t>
      </w:r>
      <w:r w:rsidR="00B52FAD">
        <w:rPr>
          <w:rFonts w:cs="Times New Roman"/>
          <w:sz w:val="22"/>
        </w:rPr>
        <w:t>may serve as a</w:t>
      </w:r>
      <w:r w:rsidR="004729AC">
        <w:rPr>
          <w:rFonts w:cs="Times New Roman"/>
          <w:sz w:val="22"/>
        </w:rPr>
        <w:t xml:space="preserve"> moti</w:t>
      </w:r>
      <w:r w:rsidR="00B52FAD">
        <w:rPr>
          <w:rFonts w:cs="Times New Roman"/>
          <w:sz w:val="22"/>
        </w:rPr>
        <w:t>vation</w:t>
      </w:r>
      <w:r w:rsidR="004729AC">
        <w:rPr>
          <w:rFonts w:cs="Times New Roman"/>
          <w:sz w:val="22"/>
        </w:rPr>
        <w:t xml:space="preserve"> </w:t>
      </w:r>
      <w:r w:rsidR="00B52FAD">
        <w:rPr>
          <w:rFonts w:cs="Times New Roman"/>
          <w:sz w:val="22"/>
        </w:rPr>
        <w:t xml:space="preserve">for </w:t>
      </w:r>
      <w:r w:rsidR="00D56E10">
        <w:rPr>
          <w:rFonts w:cs="Times New Roman"/>
          <w:sz w:val="22"/>
        </w:rPr>
        <w:t xml:space="preserve">managers </w:t>
      </w:r>
      <w:r w:rsidR="004729AC">
        <w:rPr>
          <w:rFonts w:cs="Times New Roman"/>
          <w:sz w:val="22"/>
        </w:rPr>
        <w:t xml:space="preserve">to produce </w:t>
      </w:r>
      <w:r w:rsidR="008A7405" w:rsidRPr="00710D68">
        <w:rPr>
          <w:rFonts w:cs="Times New Roman"/>
          <w:sz w:val="22"/>
        </w:rPr>
        <w:t>reliable and transparent financial report</w:t>
      </w:r>
      <w:r w:rsidR="004729AC">
        <w:rPr>
          <w:rFonts w:cs="Times New Roman"/>
          <w:sz w:val="22"/>
        </w:rPr>
        <w:t>s</w:t>
      </w:r>
      <w:r w:rsidR="00B52FAD">
        <w:rPr>
          <w:rFonts w:cs="Times New Roman"/>
          <w:sz w:val="22"/>
        </w:rPr>
        <w:t xml:space="preserve"> that minimise cases of EM</w:t>
      </w:r>
      <w:r w:rsidR="008A7405" w:rsidRPr="00710D68">
        <w:rPr>
          <w:rFonts w:cs="Times New Roman"/>
          <w:sz w:val="22"/>
        </w:rPr>
        <w:t xml:space="preserve"> (Fama, 1980; Fama </w:t>
      </w:r>
      <w:r w:rsidR="00665936" w:rsidRPr="00710D68">
        <w:rPr>
          <w:rFonts w:cs="Times New Roman"/>
          <w:sz w:val="22"/>
        </w:rPr>
        <w:t>&amp;</w:t>
      </w:r>
      <w:r w:rsidR="008A7405" w:rsidRPr="00710D68">
        <w:rPr>
          <w:rFonts w:cs="Times New Roman"/>
          <w:sz w:val="22"/>
        </w:rPr>
        <w:t xml:space="preserve"> Jensen, 1983; Sh</w:t>
      </w:r>
      <w:r w:rsidR="00FD3E09">
        <w:rPr>
          <w:rFonts w:cs="Times New Roman"/>
          <w:sz w:val="22"/>
        </w:rPr>
        <w:t>leifer</w:t>
      </w:r>
      <w:r w:rsidR="008A7405" w:rsidRPr="00710D68">
        <w:rPr>
          <w:rFonts w:cs="Times New Roman"/>
          <w:sz w:val="22"/>
        </w:rPr>
        <w:t xml:space="preserve"> </w:t>
      </w:r>
      <w:r w:rsidR="00665936" w:rsidRPr="00710D68">
        <w:rPr>
          <w:rFonts w:cs="Times New Roman"/>
          <w:sz w:val="22"/>
        </w:rPr>
        <w:t>&amp;</w:t>
      </w:r>
      <w:r w:rsidR="008A7405" w:rsidRPr="00DF47C6">
        <w:rPr>
          <w:rFonts w:cs="Times New Roman"/>
          <w:sz w:val="22"/>
        </w:rPr>
        <w:t xml:space="preserve"> Vishny, 1986). </w:t>
      </w:r>
      <w:r w:rsidR="00EC01A9" w:rsidRPr="00DF47C6">
        <w:rPr>
          <w:rFonts w:cs="Times New Roman"/>
          <w:sz w:val="22"/>
        </w:rPr>
        <w:t>T</w:t>
      </w:r>
      <w:r w:rsidR="00B52FAD">
        <w:rPr>
          <w:rFonts w:cs="Times New Roman"/>
          <w:sz w:val="22"/>
        </w:rPr>
        <w:t>his also implies that</w:t>
      </w:r>
      <w:r w:rsidR="00EC01A9" w:rsidRPr="00DF47C6">
        <w:rPr>
          <w:rFonts w:cs="Times New Roman"/>
          <w:sz w:val="22"/>
        </w:rPr>
        <w:t xml:space="preserve"> </w:t>
      </w:r>
      <w:r w:rsidR="009478BA" w:rsidRPr="00DF47C6">
        <w:rPr>
          <w:rFonts w:cs="Times New Roman"/>
          <w:sz w:val="22"/>
        </w:rPr>
        <w:t>managers in poorly-</w:t>
      </w:r>
      <w:r w:rsidR="008A7405" w:rsidRPr="00DF47C6">
        <w:rPr>
          <w:rFonts w:cs="Times New Roman"/>
          <w:sz w:val="22"/>
        </w:rPr>
        <w:t>governed firms are more likely to behave opportunistic</w:t>
      </w:r>
      <w:r w:rsidR="004148CE" w:rsidRPr="00DF47C6">
        <w:rPr>
          <w:rFonts w:cs="Times New Roman"/>
          <w:sz w:val="22"/>
        </w:rPr>
        <w:t>ally by engaging in EM</w:t>
      </w:r>
      <w:r w:rsidR="008A7405" w:rsidRPr="00DF47C6">
        <w:rPr>
          <w:rFonts w:cs="Times New Roman"/>
          <w:sz w:val="22"/>
        </w:rPr>
        <w:t xml:space="preserve"> in order to</w:t>
      </w:r>
      <w:r w:rsidR="00DC68C1">
        <w:rPr>
          <w:rFonts w:cs="Times New Roman"/>
          <w:sz w:val="22"/>
        </w:rPr>
        <w:t xml:space="preserve"> </w:t>
      </w:r>
      <w:r w:rsidR="008A7405" w:rsidRPr="00DF47C6">
        <w:rPr>
          <w:rFonts w:cs="Times New Roman"/>
          <w:sz w:val="22"/>
        </w:rPr>
        <w:t>benefit at the expense of shareholders and other stakeholders</w:t>
      </w:r>
      <w:r w:rsidR="009478BA" w:rsidRPr="00DF47C6">
        <w:rPr>
          <w:rFonts w:cs="Times New Roman"/>
          <w:sz w:val="22"/>
        </w:rPr>
        <w:t xml:space="preserve"> than those of better-</w:t>
      </w:r>
      <w:r w:rsidR="00AF6496" w:rsidRPr="00DF47C6">
        <w:rPr>
          <w:rFonts w:cs="Times New Roman"/>
          <w:sz w:val="22"/>
        </w:rPr>
        <w:t xml:space="preserve">governed firms. </w:t>
      </w:r>
    </w:p>
    <w:p w:rsidR="00876B4E" w:rsidRDefault="005308F0" w:rsidP="00876B4E">
      <w:pPr>
        <w:spacing w:line="360" w:lineRule="auto"/>
        <w:ind w:firstLine="720"/>
        <w:jc w:val="both"/>
        <w:rPr>
          <w:rFonts w:cs="Times New Roman"/>
          <w:sz w:val="22"/>
        </w:rPr>
      </w:pPr>
      <w:r>
        <w:rPr>
          <w:rFonts w:cs="Times New Roman"/>
          <w:sz w:val="22"/>
        </w:rPr>
        <w:t>A major limitation of the agency theory is that it assumes that managers have unlimited ability to continuously make rational decisions</w:t>
      </w:r>
      <w:r w:rsidR="00876B4E">
        <w:rPr>
          <w:rFonts w:cs="Times New Roman"/>
          <w:sz w:val="22"/>
        </w:rPr>
        <w:t xml:space="preserve"> based on a full assessment of all available information</w:t>
      </w:r>
      <w:r>
        <w:rPr>
          <w:rFonts w:cs="Times New Roman"/>
          <w:sz w:val="22"/>
        </w:rPr>
        <w:t xml:space="preserve"> that can result in optimal </w:t>
      </w:r>
      <w:r w:rsidR="00876B4E">
        <w:rPr>
          <w:rFonts w:cs="Times New Roman"/>
          <w:sz w:val="22"/>
        </w:rPr>
        <w:t xml:space="preserve">outcomes. However, </w:t>
      </w:r>
      <w:r w:rsidR="00745A41">
        <w:rPr>
          <w:rFonts w:cs="Times New Roman"/>
          <w:sz w:val="22"/>
        </w:rPr>
        <w:t xml:space="preserve">the findings of recent studies based on </w:t>
      </w:r>
      <w:r w:rsidR="00876B4E">
        <w:rPr>
          <w:rFonts w:cs="Times New Roman"/>
          <w:sz w:val="22"/>
        </w:rPr>
        <w:t>behavioural theory (</w:t>
      </w:r>
      <w:r w:rsidR="00745A41">
        <w:rPr>
          <w:rFonts w:cs="Times New Roman"/>
          <w:sz w:val="22"/>
        </w:rPr>
        <w:t xml:space="preserve">see e.g., reviews by </w:t>
      </w:r>
      <w:r w:rsidR="00876B4E" w:rsidRPr="00F948AC">
        <w:rPr>
          <w:rFonts w:cs="Times New Roman"/>
        </w:rPr>
        <w:t xml:space="preserve">Gabrielsson &amp; Huse, 2004; van Ees </w:t>
      </w:r>
      <w:r w:rsidR="00876B4E">
        <w:rPr>
          <w:rFonts w:cs="Times New Roman"/>
        </w:rPr>
        <w:t>et al., 2009; Huse et al., 2011)</w:t>
      </w:r>
      <w:r w:rsidR="00876B4E">
        <w:rPr>
          <w:rFonts w:cs="Times New Roman"/>
          <w:sz w:val="22"/>
        </w:rPr>
        <w:t xml:space="preserve"> </w:t>
      </w:r>
      <w:r w:rsidR="00745A41">
        <w:rPr>
          <w:rFonts w:cs="Times New Roman"/>
          <w:sz w:val="22"/>
        </w:rPr>
        <w:t>indicate</w:t>
      </w:r>
      <w:r w:rsidR="00876B4E">
        <w:rPr>
          <w:rFonts w:cs="Times New Roman"/>
          <w:sz w:val="22"/>
        </w:rPr>
        <w:t xml:space="preserve"> that due to cognitive </w:t>
      </w:r>
      <w:r w:rsidR="0074521E">
        <w:rPr>
          <w:rFonts w:cs="Times New Roman"/>
          <w:sz w:val="22"/>
        </w:rPr>
        <w:t xml:space="preserve">biases </w:t>
      </w:r>
      <w:r w:rsidR="00876B4E">
        <w:rPr>
          <w:rFonts w:cs="Times New Roman"/>
          <w:sz w:val="22"/>
        </w:rPr>
        <w:t>and information process</w:t>
      </w:r>
      <w:r w:rsidR="00DC68C1">
        <w:rPr>
          <w:rFonts w:cs="Times New Roman"/>
          <w:sz w:val="22"/>
        </w:rPr>
        <w:t>ing</w:t>
      </w:r>
      <w:r w:rsidR="00876B4E">
        <w:rPr>
          <w:rFonts w:cs="Times New Roman"/>
          <w:sz w:val="22"/>
        </w:rPr>
        <w:t xml:space="preserve"> limitations, organisation</w:t>
      </w:r>
      <w:r w:rsidR="002D5B1B">
        <w:rPr>
          <w:rFonts w:cs="Times New Roman"/>
          <w:sz w:val="22"/>
        </w:rPr>
        <w:t>al</w:t>
      </w:r>
      <w:r w:rsidR="00876B4E">
        <w:rPr>
          <w:rFonts w:cs="Times New Roman"/>
          <w:sz w:val="22"/>
        </w:rPr>
        <w:t xml:space="preserve"> actors are rarely able to fully assess all available alternatives during decision-making</w:t>
      </w:r>
      <w:r w:rsidR="00745A41">
        <w:rPr>
          <w:rFonts w:cs="Times New Roman"/>
          <w:sz w:val="22"/>
        </w:rPr>
        <w:t xml:space="preserve"> (i.e., managerial rationality is bounded)</w:t>
      </w:r>
      <w:r w:rsidR="00876B4E">
        <w:rPr>
          <w:rFonts w:cs="Times New Roman"/>
          <w:sz w:val="22"/>
        </w:rPr>
        <w:t xml:space="preserve">. Instead pragmatic solutions that are typically satisfactory in terms </w:t>
      </w:r>
      <w:r w:rsidR="0042425E">
        <w:rPr>
          <w:rFonts w:cs="Times New Roman"/>
          <w:sz w:val="22"/>
        </w:rPr>
        <w:t xml:space="preserve">of </w:t>
      </w:r>
      <w:r w:rsidR="00876B4E">
        <w:rPr>
          <w:rFonts w:cs="Times New Roman"/>
          <w:sz w:val="22"/>
        </w:rPr>
        <w:t xml:space="preserve">resolving immediate/current problems are sought. Such satisficing solutions are often inherent </w:t>
      </w:r>
      <w:r w:rsidR="004F24EA">
        <w:rPr>
          <w:rFonts w:cs="Times New Roman"/>
          <w:sz w:val="22"/>
        </w:rPr>
        <w:t>wihin</w:t>
      </w:r>
      <w:r w:rsidR="00876B4E">
        <w:rPr>
          <w:rFonts w:cs="Times New Roman"/>
          <w:sz w:val="22"/>
        </w:rPr>
        <w:t xml:space="preserve"> organisational routines and heuristics based on </w:t>
      </w:r>
      <w:r w:rsidR="004F24EA">
        <w:rPr>
          <w:rFonts w:cs="Times New Roman"/>
          <w:sz w:val="22"/>
        </w:rPr>
        <w:t xml:space="preserve">known </w:t>
      </w:r>
      <w:r w:rsidR="00876B4E">
        <w:rPr>
          <w:rFonts w:cs="Times New Roman"/>
          <w:sz w:val="22"/>
        </w:rPr>
        <w:t xml:space="preserve">capabilities, beliefs, experiences, feelings/intutions, knowledge and value that </w:t>
      </w:r>
      <w:r w:rsidR="004F24EA">
        <w:rPr>
          <w:rFonts w:cs="Times New Roman"/>
          <w:sz w:val="22"/>
        </w:rPr>
        <w:t xml:space="preserve">are </w:t>
      </w:r>
      <w:r w:rsidR="00876B4E">
        <w:rPr>
          <w:rFonts w:cs="Times New Roman"/>
          <w:sz w:val="22"/>
        </w:rPr>
        <w:t xml:space="preserve">often taken-for-granted. </w:t>
      </w:r>
      <w:r w:rsidR="00745A41">
        <w:rPr>
          <w:rFonts w:cs="Times New Roman"/>
          <w:sz w:val="22"/>
        </w:rPr>
        <w:t>Additonally,</w:t>
      </w:r>
      <w:r w:rsidR="00876B4E">
        <w:rPr>
          <w:rFonts w:cs="Times New Roman"/>
          <w:sz w:val="22"/>
        </w:rPr>
        <w:t xml:space="preserve"> goal formation </w:t>
      </w:r>
      <w:r w:rsidR="00745A41">
        <w:rPr>
          <w:rFonts w:cs="Times New Roman"/>
          <w:sz w:val="22"/>
        </w:rPr>
        <w:t xml:space="preserve">and emerging conflicts </w:t>
      </w:r>
      <w:r w:rsidR="00876B4E">
        <w:rPr>
          <w:rFonts w:cs="Times New Roman"/>
          <w:sz w:val="22"/>
        </w:rPr>
        <w:t xml:space="preserve">are resolved through continuous process of negotiation and political bargaining </w:t>
      </w:r>
      <w:r w:rsidR="003D5774">
        <w:rPr>
          <w:rFonts w:cs="Times New Roman"/>
          <w:sz w:val="22"/>
        </w:rPr>
        <w:t xml:space="preserve">instead of </w:t>
      </w:r>
      <w:r w:rsidR="0016666E">
        <w:rPr>
          <w:rFonts w:cs="Times New Roman"/>
          <w:sz w:val="22"/>
        </w:rPr>
        <w:t>vi</w:t>
      </w:r>
      <w:r w:rsidR="003D5774">
        <w:rPr>
          <w:rFonts w:cs="Times New Roman"/>
          <w:sz w:val="22"/>
        </w:rPr>
        <w:t>a the</w:t>
      </w:r>
      <w:r w:rsidR="00745A41">
        <w:rPr>
          <w:rFonts w:cs="Times New Roman"/>
          <w:sz w:val="22"/>
        </w:rPr>
        <w:t xml:space="preserve"> alignment of </w:t>
      </w:r>
      <w:r w:rsidR="0016666E">
        <w:rPr>
          <w:rFonts w:cs="Times New Roman"/>
          <w:sz w:val="22"/>
        </w:rPr>
        <w:t>rational economic</w:t>
      </w:r>
      <w:r w:rsidR="00E10674">
        <w:rPr>
          <w:rFonts w:cs="Times New Roman"/>
          <w:sz w:val="22"/>
        </w:rPr>
        <w:t xml:space="preserve"> motives of agents</w:t>
      </w:r>
      <w:r w:rsidR="00876B4E">
        <w:rPr>
          <w:rFonts w:cs="Times New Roman"/>
          <w:sz w:val="22"/>
        </w:rPr>
        <w:t>.</w:t>
      </w:r>
      <w:r w:rsidR="00E10674">
        <w:rPr>
          <w:rFonts w:cs="Times New Roman"/>
          <w:sz w:val="22"/>
        </w:rPr>
        <w:t xml:space="preserve"> Therefore, divergence of managerial </w:t>
      </w:r>
      <w:r w:rsidR="00DA1DB3">
        <w:rPr>
          <w:rFonts w:cs="Times New Roman"/>
          <w:sz w:val="22"/>
        </w:rPr>
        <w:t xml:space="preserve">decisions from optimal outcomes (in this case, poor earnings quality or management) may not necessarily be attributed </w:t>
      </w:r>
      <w:r w:rsidR="0042425E">
        <w:rPr>
          <w:rFonts w:cs="Times New Roman"/>
          <w:sz w:val="22"/>
        </w:rPr>
        <w:t xml:space="preserve">mainly </w:t>
      </w:r>
      <w:r w:rsidR="00DA1DB3">
        <w:rPr>
          <w:rFonts w:cs="Times New Roman"/>
          <w:sz w:val="22"/>
        </w:rPr>
        <w:t xml:space="preserve">to opportunistic and self-serving behaviour of managers, but instead to their cognitive weaknesses rooted in bounded rationality, a commitment towards achieving pragmatic and satisficing </w:t>
      </w:r>
      <w:r w:rsidR="00C446FE">
        <w:rPr>
          <w:rFonts w:cs="Times New Roman"/>
          <w:sz w:val="22"/>
        </w:rPr>
        <w:t>rather</w:t>
      </w:r>
      <w:r w:rsidR="0042425E">
        <w:rPr>
          <w:rFonts w:cs="Times New Roman"/>
          <w:sz w:val="22"/>
        </w:rPr>
        <w:t xml:space="preserve"> than</w:t>
      </w:r>
      <w:r w:rsidR="00C446FE">
        <w:rPr>
          <w:rFonts w:cs="Times New Roman"/>
          <w:sz w:val="22"/>
        </w:rPr>
        <w:t xml:space="preserve"> theoretically oriented</w:t>
      </w:r>
      <w:r w:rsidR="00DA1DB3">
        <w:rPr>
          <w:rFonts w:cs="Times New Roman"/>
          <w:sz w:val="22"/>
        </w:rPr>
        <w:t xml:space="preserve"> optimal solutions, often informed by trusted every</w:t>
      </w:r>
      <w:r w:rsidR="0042425E">
        <w:rPr>
          <w:rFonts w:cs="Times New Roman"/>
          <w:sz w:val="22"/>
        </w:rPr>
        <w:t xml:space="preserve"> </w:t>
      </w:r>
      <w:r w:rsidR="00DA1DB3">
        <w:rPr>
          <w:rFonts w:cs="Times New Roman"/>
          <w:sz w:val="22"/>
        </w:rPr>
        <w:t>day routines and heuristics based</w:t>
      </w:r>
      <w:r w:rsidR="004F24EA">
        <w:rPr>
          <w:rFonts w:cs="Times New Roman"/>
          <w:sz w:val="22"/>
        </w:rPr>
        <w:t xml:space="preserve"> on past experiences, which</w:t>
      </w:r>
      <w:r w:rsidR="00C446FE">
        <w:rPr>
          <w:rFonts w:cs="Times New Roman"/>
          <w:sz w:val="22"/>
        </w:rPr>
        <w:t xml:space="preserve"> usually</w:t>
      </w:r>
      <w:r w:rsidR="00DA1DB3">
        <w:rPr>
          <w:rFonts w:cs="Times New Roman"/>
          <w:sz w:val="22"/>
        </w:rPr>
        <w:t xml:space="preserve"> </w:t>
      </w:r>
      <w:r w:rsidR="004F24EA">
        <w:rPr>
          <w:rFonts w:cs="Times New Roman"/>
          <w:sz w:val="22"/>
        </w:rPr>
        <w:t xml:space="preserve">would have </w:t>
      </w:r>
      <w:r w:rsidR="00DA1DB3">
        <w:rPr>
          <w:rFonts w:cs="Times New Roman"/>
          <w:sz w:val="22"/>
        </w:rPr>
        <w:t>emerged over many years of careful negotiations and political bargaining</w:t>
      </w:r>
      <w:r w:rsidR="00EA2ED4">
        <w:rPr>
          <w:rFonts w:cs="Times New Roman"/>
          <w:sz w:val="22"/>
        </w:rPr>
        <w:t xml:space="preserve"> among coalitions of corporate stakeholders.</w:t>
      </w:r>
      <w:r w:rsidR="00D760DB">
        <w:rPr>
          <w:rFonts w:cs="Times New Roman"/>
          <w:sz w:val="22"/>
        </w:rPr>
        <w:t xml:space="preserve"> This notwithstanding, it can be argued that in</w:t>
      </w:r>
      <w:r w:rsidR="00E84E5D">
        <w:rPr>
          <w:rFonts w:cs="Times New Roman"/>
          <w:sz w:val="22"/>
        </w:rPr>
        <w:t xml:space="preserve"> firms with better governance arrangements, </w:t>
      </w:r>
      <w:r w:rsidR="00F83F26">
        <w:rPr>
          <w:rFonts w:cs="Times New Roman"/>
          <w:sz w:val="22"/>
        </w:rPr>
        <w:t>rules underlying routines and heuristics</w:t>
      </w:r>
      <w:r w:rsidR="0042425E">
        <w:rPr>
          <w:rFonts w:cs="Times New Roman"/>
          <w:sz w:val="22"/>
        </w:rPr>
        <w:t>,</w:t>
      </w:r>
      <w:r w:rsidR="00F83F26">
        <w:rPr>
          <w:rFonts w:cs="Times New Roman"/>
          <w:sz w:val="22"/>
        </w:rPr>
        <w:t xml:space="preserve"> are more likely to have been better designed within an environment of hea</w:t>
      </w:r>
      <w:r w:rsidR="004F24EA">
        <w:rPr>
          <w:rFonts w:cs="Times New Roman"/>
          <w:sz w:val="22"/>
        </w:rPr>
        <w:t>l</w:t>
      </w:r>
      <w:r w:rsidR="00F83F26">
        <w:rPr>
          <w:rFonts w:cs="Times New Roman"/>
          <w:sz w:val="22"/>
        </w:rPr>
        <w:t>thy negoti</w:t>
      </w:r>
      <w:r w:rsidR="004F24EA">
        <w:rPr>
          <w:rFonts w:cs="Times New Roman"/>
          <w:sz w:val="22"/>
        </w:rPr>
        <w:t>ati</w:t>
      </w:r>
      <w:r w:rsidR="00F83F26">
        <w:rPr>
          <w:rFonts w:cs="Times New Roman"/>
          <w:sz w:val="22"/>
        </w:rPr>
        <w:t xml:space="preserve">ons and political bargaining and thus, leading </w:t>
      </w:r>
      <w:r w:rsidR="004F24EA">
        <w:rPr>
          <w:rFonts w:cs="Times New Roman"/>
          <w:sz w:val="22"/>
        </w:rPr>
        <w:t xml:space="preserve">to </w:t>
      </w:r>
      <w:r w:rsidR="00F83F26">
        <w:rPr>
          <w:rFonts w:cs="Times New Roman"/>
          <w:sz w:val="22"/>
        </w:rPr>
        <w:t>a selection of satisficing decision</w:t>
      </w:r>
      <w:r w:rsidR="004F24EA">
        <w:rPr>
          <w:rFonts w:cs="Times New Roman"/>
          <w:sz w:val="22"/>
        </w:rPr>
        <w:t>s</w:t>
      </w:r>
      <w:r w:rsidR="00F83F26">
        <w:rPr>
          <w:rFonts w:cs="Times New Roman"/>
          <w:sz w:val="22"/>
        </w:rPr>
        <w:t xml:space="preserve"> </w:t>
      </w:r>
      <w:r w:rsidR="004F24EA">
        <w:rPr>
          <w:rFonts w:cs="Times New Roman"/>
          <w:sz w:val="22"/>
        </w:rPr>
        <w:t>that minimise</w:t>
      </w:r>
      <w:r w:rsidR="00F83F26">
        <w:rPr>
          <w:rFonts w:cs="Times New Roman"/>
          <w:sz w:val="22"/>
        </w:rPr>
        <w:t xml:space="preserve"> th</w:t>
      </w:r>
      <w:r w:rsidR="0042425E">
        <w:rPr>
          <w:rFonts w:cs="Times New Roman"/>
          <w:sz w:val="22"/>
        </w:rPr>
        <w:t xml:space="preserve">e extent of divergence from theoretically </w:t>
      </w:r>
      <w:r w:rsidR="00F83F26">
        <w:rPr>
          <w:rFonts w:cs="Times New Roman"/>
          <w:sz w:val="22"/>
        </w:rPr>
        <w:t>optimal solution</w:t>
      </w:r>
      <w:r w:rsidR="004F24EA">
        <w:rPr>
          <w:rFonts w:cs="Times New Roman"/>
          <w:sz w:val="22"/>
        </w:rPr>
        <w:t>s</w:t>
      </w:r>
      <w:r w:rsidR="00F83F26">
        <w:rPr>
          <w:rFonts w:cs="Times New Roman"/>
          <w:sz w:val="22"/>
        </w:rPr>
        <w:t>. In this case, better-governed firms can be expected to engage in less EM than their poorly-governed counterparts.</w:t>
      </w:r>
    </w:p>
    <w:p w:rsidR="00D01645" w:rsidRPr="00CA07C3" w:rsidRDefault="003431F6" w:rsidP="00AA5B53">
      <w:pPr>
        <w:spacing w:line="360" w:lineRule="auto"/>
        <w:ind w:firstLine="720"/>
        <w:jc w:val="both"/>
        <w:rPr>
          <w:rFonts w:cs="Times New Roman"/>
          <w:sz w:val="22"/>
        </w:rPr>
      </w:pPr>
      <w:r>
        <w:rPr>
          <w:rFonts w:cs="Times New Roman"/>
          <w:sz w:val="22"/>
        </w:rPr>
        <w:t>Empirically, w</w:t>
      </w:r>
      <w:r w:rsidR="00EB3CC2" w:rsidRPr="00DF47C6">
        <w:rPr>
          <w:rFonts w:cs="Times New Roman"/>
          <w:sz w:val="22"/>
        </w:rPr>
        <w:t xml:space="preserve">hereas a number of studies have examined the relationship between a number of individual CG mechanisms and EM </w:t>
      </w:r>
      <w:r w:rsidR="00B46BBB" w:rsidRPr="00DF47C6">
        <w:rPr>
          <w:rFonts w:cs="Times New Roman"/>
          <w:sz w:val="22"/>
        </w:rPr>
        <w:t xml:space="preserve">(e.g., </w:t>
      </w:r>
      <w:r w:rsidR="00AA5B53" w:rsidRPr="00DF47C6">
        <w:rPr>
          <w:rFonts w:cs="Times New Roman"/>
          <w:sz w:val="22"/>
        </w:rPr>
        <w:t xml:space="preserve">Lin </w:t>
      </w:r>
      <w:r w:rsidR="00AA5B53" w:rsidRPr="00BD0005">
        <w:rPr>
          <w:rFonts w:cs="Times New Roman"/>
          <w:iCs/>
          <w:sz w:val="22"/>
        </w:rPr>
        <w:t>et al</w:t>
      </w:r>
      <w:r w:rsidR="00AA5B53" w:rsidRPr="00DF47C6">
        <w:rPr>
          <w:rFonts w:cs="Times New Roman"/>
          <w:i/>
          <w:iCs/>
          <w:sz w:val="22"/>
        </w:rPr>
        <w:t>.</w:t>
      </w:r>
      <w:r w:rsidR="00AA5B53" w:rsidRPr="00DF47C6">
        <w:rPr>
          <w:rFonts w:cs="Times New Roman"/>
          <w:sz w:val="22"/>
        </w:rPr>
        <w:t>, 2006</w:t>
      </w:r>
      <w:r w:rsidR="00AA5B53">
        <w:rPr>
          <w:rFonts w:cs="Times New Roman"/>
          <w:sz w:val="22"/>
        </w:rPr>
        <w:t xml:space="preserve">; </w:t>
      </w:r>
      <w:r w:rsidR="00AA5B53" w:rsidRPr="00DF47C6">
        <w:rPr>
          <w:rFonts w:cs="Times New Roman"/>
          <w:sz w:val="22"/>
        </w:rPr>
        <w:t>Iatridis, 2012</w:t>
      </w:r>
      <w:r w:rsidR="00AA5B53">
        <w:rPr>
          <w:rFonts w:cs="Times New Roman"/>
          <w:sz w:val="22"/>
        </w:rPr>
        <w:t xml:space="preserve">; </w:t>
      </w:r>
      <w:r w:rsidR="00B46BBB" w:rsidRPr="00DF47C6">
        <w:rPr>
          <w:rFonts w:cs="Times New Roman"/>
          <w:sz w:val="22"/>
        </w:rPr>
        <w:t xml:space="preserve">Stockmans </w:t>
      </w:r>
      <w:r w:rsidR="00B46BBB" w:rsidRPr="00BD0005">
        <w:rPr>
          <w:rFonts w:cs="Times New Roman"/>
          <w:iCs/>
          <w:sz w:val="22"/>
        </w:rPr>
        <w:t>et al</w:t>
      </w:r>
      <w:r w:rsidR="00B46BBB" w:rsidRPr="00DF47C6">
        <w:rPr>
          <w:rFonts w:cs="Times New Roman"/>
          <w:i/>
          <w:iCs/>
          <w:sz w:val="22"/>
        </w:rPr>
        <w:t>.</w:t>
      </w:r>
      <w:r w:rsidR="00B46BBB" w:rsidRPr="00DF47C6">
        <w:rPr>
          <w:rFonts w:cs="Times New Roman"/>
          <w:sz w:val="22"/>
        </w:rPr>
        <w:t xml:space="preserve">, 2013; Sun </w:t>
      </w:r>
      <w:r w:rsidR="00665936" w:rsidRPr="00DF47C6">
        <w:rPr>
          <w:rFonts w:cs="Times New Roman"/>
          <w:sz w:val="22"/>
        </w:rPr>
        <w:t>&amp;</w:t>
      </w:r>
      <w:r w:rsidR="00B46BBB" w:rsidRPr="00DF47C6">
        <w:rPr>
          <w:rFonts w:cs="Times New Roman"/>
          <w:sz w:val="22"/>
        </w:rPr>
        <w:t xml:space="preserve"> Liu, 2013)</w:t>
      </w:r>
      <w:r w:rsidR="00EB3CC2" w:rsidRPr="00DF47C6">
        <w:rPr>
          <w:rFonts w:cs="Times New Roman"/>
          <w:sz w:val="22"/>
        </w:rPr>
        <w:t>,</w:t>
      </w:r>
      <w:r w:rsidR="008A7405" w:rsidRPr="00DF47C6">
        <w:rPr>
          <w:rFonts w:cs="Times New Roman"/>
          <w:sz w:val="22"/>
        </w:rPr>
        <w:t xml:space="preserve"> </w:t>
      </w:r>
      <w:r w:rsidR="00EB3CC2" w:rsidRPr="00DF47C6">
        <w:rPr>
          <w:rFonts w:cs="Times New Roman"/>
          <w:sz w:val="22"/>
        </w:rPr>
        <w:t xml:space="preserve">studies investigating the association between a </w:t>
      </w:r>
      <w:r w:rsidR="009478BA" w:rsidRPr="00DF47C6">
        <w:rPr>
          <w:rFonts w:cs="Times New Roman"/>
          <w:sz w:val="22"/>
        </w:rPr>
        <w:t xml:space="preserve">broad </w:t>
      </w:r>
      <w:r w:rsidR="00EB3CC2" w:rsidRPr="00DF47C6">
        <w:rPr>
          <w:rFonts w:cs="Times New Roman"/>
          <w:sz w:val="22"/>
        </w:rPr>
        <w:t>composite CG index and EM are rare</w:t>
      </w:r>
      <w:r w:rsidR="00B46BBB" w:rsidRPr="00DF47C6">
        <w:rPr>
          <w:rFonts w:cs="Times New Roman"/>
          <w:sz w:val="22"/>
        </w:rPr>
        <w:t>.</w:t>
      </w:r>
      <w:r w:rsidR="00EB3CC2" w:rsidRPr="00DF47C6">
        <w:rPr>
          <w:rFonts w:cs="Times New Roman"/>
          <w:sz w:val="22"/>
        </w:rPr>
        <w:t xml:space="preserve"> However, the </w:t>
      </w:r>
      <w:r w:rsidR="008A7405" w:rsidRPr="00DF47C6">
        <w:rPr>
          <w:rFonts w:cs="Times New Roman"/>
          <w:sz w:val="22"/>
        </w:rPr>
        <w:t xml:space="preserve">limited studies that examine the association between firm-level EM and firm-level CG </w:t>
      </w:r>
      <w:r w:rsidR="009D3101" w:rsidRPr="00DF47C6">
        <w:rPr>
          <w:rFonts w:cs="Times New Roman"/>
          <w:sz w:val="22"/>
        </w:rPr>
        <w:t>general</w:t>
      </w:r>
      <w:r w:rsidR="00EB3CC2" w:rsidRPr="00DF47C6">
        <w:rPr>
          <w:rFonts w:cs="Times New Roman"/>
          <w:sz w:val="22"/>
        </w:rPr>
        <w:t>ly report that better</w:t>
      </w:r>
      <w:r w:rsidR="00C37CA1">
        <w:rPr>
          <w:rFonts w:cs="Times New Roman"/>
          <w:sz w:val="22"/>
        </w:rPr>
        <w:t>-</w:t>
      </w:r>
      <w:r w:rsidR="00EB3CC2" w:rsidRPr="00DF47C6">
        <w:rPr>
          <w:rFonts w:cs="Times New Roman"/>
          <w:sz w:val="22"/>
        </w:rPr>
        <w:t xml:space="preserve">governed </w:t>
      </w:r>
      <w:r w:rsidR="00EC01A9" w:rsidRPr="00DF47C6">
        <w:rPr>
          <w:rFonts w:cs="Times New Roman"/>
          <w:sz w:val="22"/>
        </w:rPr>
        <w:t>firms</w:t>
      </w:r>
      <w:r w:rsidR="00EB3CC2" w:rsidRPr="00DF47C6">
        <w:rPr>
          <w:rFonts w:cs="Times New Roman"/>
          <w:sz w:val="22"/>
        </w:rPr>
        <w:t xml:space="preserve"> tend to engage less in EM</w:t>
      </w:r>
      <w:r w:rsidR="009D3101" w:rsidRPr="00DF47C6">
        <w:rPr>
          <w:rFonts w:cs="Times New Roman"/>
          <w:sz w:val="22"/>
        </w:rPr>
        <w:t xml:space="preserve"> </w:t>
      </w:r>
      <w:r w:rsidR="008A7405" w:rsidRPr="00DF47C6">
        <w:rPr>
          <w:rFonts w:cs="Times New Roman"/>
          <w:sz w:val="22"/>
        </w:rPr>
        <w:t xml:space="preserve">(e.g., Bekiris </w:t>
      </w:r>
      <w:r w:rsidR="008A7405" w:rsidRPr="00BD0005">
        <w:rPr>
          <w:rFonts w:cs="Times New Roman"/>
          <w:iCs/>
          <w:sz w:val="22"/>
        </w:rPr>
        <w:t>et al</w:t>
      </w:r>
      <w:r w:rsidR="008A7405" w:rsidRPr="00DF47C6">
        <w:rPr>
          <w:rFonts w:cs="Times New Roman"/>
          <w:iCs/>
          <w:sz w:val="22"/>
        </w:rPr>
        <w:t>.</w:t>
      </w:r>
      <w:r w:rsidR="008A7405" w:rsidRPr="00DF47C6">
        <w:rPr>
          <w:rFonts w:cs="Times New Roman"/>
          <w:sz w:val="22"/>
        </w:rPr>
        <w:t xml:space="preserve">, 2011; Leventis </w:t>
      </w:r>
      <w:r w:rsidR="00F128A2" w:rsidRPr="00DF47C6">
        <w:rPr>
          <w:rFonts w:cs="Times New Roman"/>
          <w:sz w:val="22"/>
        </w:rPr>
        <w:t>&amp;</w:t>
      </w:r>
      <w:r w:rsidR="008A7405" w:rsidRPr="00DF47C6">
        <w:rPr>
          <w:rFonts w:cs="Times New Roman"/>
          <w:sz w:val="22"/>
        </w:rPr>
        <w:t xml:space="preserve"> Dimitropulos, 2012)</w:t>
      </w:r>
      <w:r w:rsidR="005635EF" w:rsidRPr="00DF47C6">
        <w:rPr>
          <w:rFonts w:cs="Times New Roman"/>
          <w:sz w:val="22"/>
        </w:rPr>
        <w:t>.</w:t>
      </w:r>
      <w:r w:rsidR="009E45F5" w:rsidRPr="00DF47C6">
        <w:rPr>
          <w:rFonts w:cs="Times New Roman"/>
          <w:sz w:val="22"/>
        </w:rPr>
        <w:t xml:space="preserve"> </w:t>
      </w:r>
      <w:r w:rsidR="00EB3CC2" w:rsidRPr="00DF47C6">
        <w:rPr>
          <w:rFonts w:cs="Times New Roman"/>
          <w:sz w:val="22"/>
        </w:rPr>
        <w:t xml:space="preserve">Within the Omani corporate setting, </w:t>
      </w:r>
      <w:r w:rsidR="009E45F5" w:rsidRPr="00DF47C6">
        <w:rPr>
          <w:rFonts w:cs="Times New Roman"/>
          <w:sz w:val="22"/>
        </w:rPr>
        <w:t>Capital Market Authority</w:t>
      </w:r>
      <w:r w:rsidR="00D75B37" w:rsidRPr="00DF47C6">
        <w:rPr>
          <w:rFonts w:cs="Times New Roman"/>
          <w:sz w:val="22"/>
        </w:rPr>
        <w:t xml:space="preserve">, </w:t>
      </w:r>
      <w:r w:rsidR="009E45F5" w:rsidRPr="00DF47C6">
        <w:rPr>
          <w:rFonts w:cs="Times New Roman"/>
          <w:sz w:val="22"/>
        </w:rPr>
        <w:t>Muscat Security Market</w:t>
      </w:r>
      <w:r w:rsidR="00D75B37" w:rsidRPr="00DF47C6">
        <w:rPr>
          <w:rFonts w:cs="Times New Roman"/>
          <w:sz w:val="22"/>
        </w:rPr>
        <w:t xml:space="preserve"> and regulatory authorities are keen on </w:t>
      </w:r>
      <w:r w:rsidR="0089500A">
        <w:rPr>
          <w:rFonts w:cs="Times New Roman"/>
          <w:sz w:val="22"/>
        </w:rPr>
        <w:t xml:space="preserve">encouraging </w:t>
      </w:r>
      <w:r w:rsidR="00D75B37" w:rsidRPr="00DF47C6">
        <w:rPr>
          <w:rFonts w:cs="Times New Roman"/>
          <w:sz w:val="22"/>
        </w:rPr>
        <w:t xml:space="preserve">firms </w:t>
      </w:r>
      <w:r w:rsidR="0089500A">
        <w:rPr>
          <w:rFonts w:cs="Times New Roman"/>
          <w:sz w:val="22"/>
        </w:rPr>
        <w:t xml:space="preserve">towards </w:t>
      </w:r>
      <w:r w:rsidR="00D75B37" w:rsidRPr="00DF47C6">
        <w:rPr>
          <w:rFonts w:cs="Times New Roman"/>
          <w:sz w:val="22"/>
        </w:rPr>
        <w:t>adopting good CG practices with the expectation that they will have positive impact o</w:t>
      </w:r>
      <w:r w:rsidR="0074521E">
        <w:rPr>
          <w:rFonts w:cs="Times New Roman"/>
          <w:sz w:val="22"/>
        </w:rPr>
        <w:t>n</w:t>
      </w:r>
      <w:r w:rsidR="00D75B37" w:rsidRPr="00CA07C3">
        <w:rPr>
          <w:rFonts w:cs="Times New Roman"/>
          <w:sz w:val="22"/>
        </w:rPr>
        <w:t xml:space="preserve"> corporate performance and practices, including disclosure, financial transparency and </w:t>
      </w:r>
      <w:r w:rsidR="00CF7B39" w:rsidRPr="00CA07C3">
        <w:rPr>
          <w:rFonts w:cs="Times New Roman"/>
          <w:sz w:val="22"/>
        </w:rPr>
        <w:t>earnings quality</w:t>
      </w:r>
      <w:r w:rsidR="00D75B37" w:rsidRPr="00CA07C3">
        <w:rPr>
          <w:rFonts w:cs="Times New Roman"/>
          <w:sz w:val="22"/>
        </w:rPr>
        <w:t xml:space="preserve">. </w:t>
      </w:r>
      <w:r w:rsidR="008A7405" w:rsidRPr="00CA07C3">
        <w:rPr>
          <w:rFonts w:cs="Times New Roman"/>
          <w:sz w:val="22"/>
        </w:rPr>
        <w:t xml:space="preserve">Given the negative predictions of the theoretical </w:t>
      </w:r>
      <w:r w:rsidR="009D3101" w:rsidRPr="00CA07C3">
        <w:rPr>
          <w:rFonts w:cs="Times New Roman"/>
          <w:sz w:val="22"/>
        </w:rPr>
        <w:t xml:space="preserve">and empirical </w:t>
      </w:r>
      <w:r w:rsidR="008A7405" w:rsidRPr="00CA07C3">
        <w:rPr>
          <w:rFonts w:cs="Times New Roman"/>
          <w:sz w:val="22"/>
        </w:rPr>
        <w:t>literature,</w:t>
      </w:r>
      <w:r w:rsidR="009E45F5">
        <w:rPr>
          <w:rFonts w:cs="Times New Roman"/>
          <w:sz w:val="22"/>
        </w:rPr>
        <w:t xml:space="preserve"> it can be hypothesised that </w:t>
      </w:r>
      <w:r w:rsidR="0089500A">
        <w:rPr>
          <w:rFonts w:cs="Times New Roman"/>
          <w:sz w:val="22"/>
        </w:rPr>
        <w:t xml:space="preserve">the quality of </w:t>
      </w:r>
      <w:r w:rsidR="009E45F5">
        <w:rPr>
          <w:rFonts w:cs="Times New Roman"/>
          <w:sz w:val="22"/>
        </w:rPr>
        <w:t>CG</w:t>
      </w:r>
      <w:r w:rsidR="0089500A">
        <w:rPr>
          <w:rFonts w:cs="Times New Roman"/>
          <w:sz w:val="22"/>
        </w:rPr>
        <w:t>, as</w:t>
      </w:r>
      <w:r w:rsidR="00D75B37" w:rsidRPr="00CA07C3">
        <w:rPr>
          <w:rFonts w:cs="Times New Roman"/>
          <w:sz w:val="22"/>
        </w:rPr>
        <w:t xml:space="preserve"> proxied by a comprehensive CG index </w:t>
      </w:r>
      <w:r w:rsidR="008A7405" w:rsidRPr="00CA07C3">
        <w:rPr>
          <w:rFonts w:cs="Times New Roman"/>
          <w:sz w:val="22"/>
        </w:rPr>
        <w:t xml:space="preserve">is expected to </w:t>
      </w:r>
      <w:r w:rsidR="0089500A">
        <w:rPr>
          <w:rFonts w:cs="Times New Roman"/>
          <w:sz w:val="22"/>
        </w:rPr>
        <w:t>be negatively realted to</w:t>
      </w:r>
      <w:r w:rsidR="00EC01A9">
        <w:rPr>
          <w:rFonts w:cs="Times New Roman"/>
          <w:sz w:val="22"/>
        </w:rPr>
        <w:t xml:space="preserve"> EM</w:t>
      </w:r>
      <w:r w:rsidR="009E45F5">
        <w:rPr>
          <w:rFonts w:cs="Times New Roman"/>
          <w:sz w:val="22"/>
        </w:rPr>
        <w:t>. Hence, the first</w:t>
      </w:r>
      <w:r w:rsidR="008A7405" w:rsidRPr="00CA07C3">
        <w:rPr>
          <w:rFonts w:cs="Times New Roman"/>
          <w:sz w:val="22"/>
        </w:rPr>
        <w:t xml:space="preserve"> hypothesis of this paper is</w:t>
      </w:r>
      <w:r w:rsidR="0089500A">
        <w:rPr>
          <w:rFonts w:cs="Times New Roman"/>
          <w:sz w:val="22"/>
        </w:rPr>
        <w:t xml:space="preserve"> that</w:t>
      </w:r>
      <w:r w:rsidR="008A7405" w:rsidRPr="00CA07C3">
        <w:rPr>
          <w:rFonts w:cs="Times New Roman"/>
          <w:sz w:val="22"/>
        </w:rPr>
        <w:t xml:space="preserve">:  </w:t>
      </w:r>
    </w:p>
    <w:p w:rsidR="008A7405" w:rsidRDefault="00BF0CB1" w:rsidP="00475873">
      <w:pPr>
        <w:ind w:left="862"/>
        <w:jc w:val="both"/>
        <w:rPr>
          <w:rFonts w:cs="Times New Roman"/>
          <w:sz w:val="22"/>
        </w:rPr>
      </w:pPr>
      <w:r w:rsidRPr="00A602F6">
        <w:rPr>
          <w:rFonts w:cs="Times New Roman"/>
          <w:b/>
          <w:i/>
          <w:sz w:val="22"/>
        </w:rPr>
        <w:t>H</w:t>
      </w:r>
      <w:r w:rsidR="003672DB" w:rsidRPr="00A602F6">
        <w:rPr>
          <w:rFonts w:cs="Times New Roman"/>
          <w:b/>
          <w:i/>
          <w:sz w:val="22"/>
        </w:rPr>
        <w:t>1</w:t>
      </w:r>
      <w:r w:rsidR="00A602F6" w:rsidRPr="00A602F6">
        <w:rPr>
          <w:rFonts w:cs="Times New Roman"/>
          <w:b/>
          <w:sz w:val="22"/>
        </w:rPr>
        <w:t>.</w:t>
      </w:r>
      <w:r w:rsidRPr="00CA07C3">
        <w:rPr>
          <w:rFonts w:cs="Times New Roman"/>
          <w:sz w:val="22"/>
        </w:rPr>
        <w:t xml:space="preserve"> </w:t>
      </w:r>
      <w:r w:rsidRPr="00CA07C3">
        <w:rPr>
          <w:rFonts w:cs="Times New Roman"/>
          <w:i/>
          <w:sz w:val="22"/>
        </w:rPr>
        <w:t xml:space="preserve">There is </w:t>
      </w:r>
      <w:r w:rsidR="00475873">
        <w:rPr>
          <w:rFonts w:cs="Times New Roman"/>
          <w:i/>
          <w:sz w:val="22"/>
        </w:rPr>
        <w:t xml:space="preserve">a </w:t>
      </w:r>
      <w:r w:rsidRPr="00CA07C3">
        <w:rPr>
          <w:rFonts w:cs="Times New Roman"/>
          <w:i/>
          <w:sz w:val="22"/>
        </w:rPr>
        <w:t>negative association between the composite CG disclosure index</w:t>
      </w:r>
      <w:r w:rsidRPr="00CA07C3">
        <w:rPr>
          <w:rFonts w:cs="Times New Roman"/>
          <w:sz w:val="22"/>
        </w:rPr>
        <w:t xml:space="preserve"> </w:t>
      </w:r>
      <w:r w:rsidRPr="00CA07C3">
        <w:rPr>
          <w:rFonts w:cs="Times New Roman"/>
          <w:i/>
          <w:sz w:val="22"/>
        </w:rPr>
        <w:t>and firm EM pra</w:t>
      </w:r>
      <w:r w:rsidR="00475873">
        <w:rPr>
          <w:rFonts w:cs="Times New Roman"/>
          <w:i/>
          <w:sz w:val="22"/>
        </w:rPr>
        <w:t>c</w:t>
      </w:r>
      <w:r w:rsidRPr="00CA07C3">
        <w:rPr>
          <w:rFonts w:cs="Times New Roman"/>
          <w:i/>
          <w:sz w:val="22"/>
        </w:rPr>
        <w:t>tices</w:t>
      </w:r>
      <w:r w:rsidRPr="00CA07C3">
        <w:rPr>
          <w:rFonts w:cs="Times New Roman"/>
          <w:sz w:val="22"/>
        </w:rPr>
        <w:t>.</w:t>
      </w:r>
      <w:r w:rsidR="009E45F5">
        <w:rPr>
          <w:rFonts w:cs="Times New Roman"/>
          <w:sz w:val="22"/>
        </w:rPr>
        <w:t xml:space="preserve"> </w:t>
      </w:r>
    </w:p>
    <w:p w:rsidR="00E865C4" w:rsidRDefault="00E865C4" w:rsidP="00B0214F">
      <w:pPr>
        <w:spacing w:line="360" w:lineRule="auto"/>
        <w:ind w:left="862"/>
        <w:jc w:val="both"/>
        <w:rPr>
          <w:rFonts w:cs="Times New Roman"/>
          <w:sz w:val="22"/>
        </w:rPr>
      </w:pPr>
    </w:p>
    <w:p w:rsidR="00E865C4" w:rsidRPr="00330DD3" w:rsidRDefault="00952D49" w:rsidP="00330DD3">
      <w:pPr>
        <w:rPr>
          <w:i/>
          <w:sz w:val="22"/>
        </w:rPr>
      </w:pPr>
      <w:r>
        <w:rPr>
          <w:i/>
          <w:sz w:val="22"/>
        </w:rPr>
        <w:t>4.1</w:t>
      </w:r>
      <w:r w:rsidR="00330DD3" w:rsidRPr="00330DD3">
        <w:rPr>
          <w:i/>
          <w:sz w:val="22"/>
        </w:rPr>
        <w:t xml:space="preserve"> </w:t>
      </w:r>
      <w:r w:rsidR="00E865C4" w:rsidRPr="00330DD3">
        <w:rPr>
          <w:i/>
          <w:sz w:val="22"/>
        </w:rPr>
        <w:t xml:space="preserve">Islamic </w:t>
      </w:r>
      <w:r w:rsidR="00FB008D" w:rsidRPr="00330DD3">
        <w:rPr>
          <w:i/>
          <w:sz w:val="22"/>
        </w:rPr>
        <w:t>governance</w:t>
      </w:r>
      <w:r w:rsidR="00E865C4" w:rsidRPr="00330DD3">
        <w:rPr>
          <w:i/>
          <w:sz w:val="22"/>
        </w:rPr>
        <w:t xml:space="preserve"> </w:t>
      </w:r>
      <w:r w:rsidR="00541AD6" w:rsidRPr="00330DD3">
        <w:rPr>
          <w:i/>
          <w:sz w:val="22"/>
        </w:rPr>
        <w:t xml:space="preserve"> </w:t>
      </w:r>
      <w:r w:rsidR="00A602F6" w:rsidRPr="00330DD3">
        <w:rPr>
          <w:i/>
          <w:sz w:val="22"/>
        </w:rPr>
        <w:t xml:space="preserve">committee </w:t>
      </w:r>
      <w:r w:rsidR="00B84497" w:rsidRPr="00330DD3">
        <w:rPr>
          <w:i/>
          <w:sz w:val="22"/>
        </w:rPr>
        <w:t>(I</w:t>
      </w:r>
      <w:r w:rsidR="00541AD6" w:rsidRPr="00330DD3">
        <w:rPr>
          <w:i/>
          <w:sz w:val="22"/>
        </w:rPr>
        <w:t>GC)</w:t>
      </w:r>
      <w:r w:rsidR="00FB22B8" w:rsidRPr="00330DD3">
        <w:rPr>
          <w:i/>
          <w:sz w:val="22"/>
        </w:rPr>
        <w:t xml:space="preserve"> </w:t>
      </w:r>
      <w:r w:rsidR="000B152D" w:rsidRPr="00330DD3">
        <w:rPr>
          <w:i/>
          <w:sz w:val="22"/>
        </w:rPr>
        <w:t xml:space="preserve"> </w:t>
      </w:r>
      <w:r w:rsidR="00A602F6" w:rsidRPr="00330DD3">
        <w:rPr>
          <w:i/>
          <w:sz w:val="22"/>
        </w:rPr>
        <w:t>and earnings management</w:t>
      </w:r>
    </w:p>
    <w:p w:rsidR="00E865C4" w:rsidRPr="00823F8F" w:rsidRDefault="00E865C4" w:rsidP="006B2434">
      <w:pPr>
        <w:jc w:val="both"/>
        <w:rPr>
          <w:rFonts w:cs="Times New Roman"/>
          <w:sz w:val="22"/>
        </w:rPr>
      </w:pPr>
    </w:p>
    <w:p w:rsidR="00E84E5D" w:rsidRPr="00E73770" w:rsidRDefault="00E37F44" w:rsidP="00AA5B53">
      <w:pPr>
        <w:spacing w:line="360" w:lineRule="auto"/>
        <w:ind w:firstLine="720"/>
        <w:jc w:val="both"/>
        <w:rPr>
          <w:rFonts w:cs="Times New Roman"/>
          <w:sz w:val="22"/>
        </w:rPr>
      </w:pPr>
      <w:r w:rsidRPr="00B31ACF">
        <w:rPr>
          <w:rFonts w:cs="Times New Roman"/>
          <w:sz w:val="22"/>
        </w:rPr>
        <w:t>From b</w:t>
      </w:r>
      <w:r w:rsidRPr="00154BB8">
        <w:rPr>
          <w:rFonts w:cs="Times New Roman"/>
          <w:sz w:val="22"/>
        </w:rPr>
        <w:t>ehavioural theoretical perspective</w:t>
      </w:r>
      <w:r w:rsidRPr="00F54566">
        <w:rPr>
          <w:rFonts w:cs="Times New Roman"/>
          <w:sz w:val="22"/>
        </w:rPr>
        <w:t xml:space="preserve"> (</w:t>
      </w:r>
      <w:r w:rsidRPr="00E73770">
        <w:rPr>
          <w:rFonts w:cs="Times New Roman"/>
          <w:sz w:val="22"/>
        </w:rPr>
        <w:t xml:space="preserve">Gabrielsson &amp; Huse, 2004; van Ees et al., 2009; Huse et al., 2011), </w:t>
      </w:r>
      <w:r w:rsidR="00E7062D">
        <w:rPr>
          <w:rFonts w:cs="Times New Roman"/>
          <w:sz w:val="22"/>
        </w:rPr>
        <w:t xml:space="preserve">the </w:t>
      </w:r>
      <w:r w:rsidR="00F01506" w:rsidRPr="00E73770">
        <w:rPr>
          <w:rFonts w:cs="Times New Roman"/>
          <w:sz w:val="22"/>
        </w:rPr>
        <w:t xml:space="preserve">ability of corporate agents to reach optimal decisions is limited by cognitive </w:t>
      </w:r>
      <w:r w:rsidR="0074521E">
        <w:rPr>
          <w:rFonts w:cs="Times New Roman"/>
          <w:sz w:val="22"/>
        </w:rPr>
        <w:t xml:space="preserve">biases </w:t>
      </w:r>
      <w:r w:rsidR="00F01506" w:rsidRPr="00E73770">
        <w:rPr>
          <w:rFonts w:cs="Times New Roman"/>
          <w:sz w:val="22"/>
        </w:rPr>
        <w:t>and complex information processing weaknesses</w:t>
      </w:r>
      <w:r w:rsidR="0073444F" w:rsidRPr="00E73770">
        <w:rPr>
          <w:rFonts w:cs="Times New Roman"/>
          <w:sz w:val="22"/>
        </w:rPr>
        <w:t>. Managerial decision-making process will, therefore, be dominated by pragmatic attempt</w:t>
      </w:r>
      <w:r w:rsidR="00B365F3" w:rsidRPr="00E73770">
        <w:rPr>
          <w:rFonts w:cs="Times New Roman"/>
          <w:sz w:val="22"/>
        </w:rPr>
        <w:t>s</w:t>
      </w:r>
      <w:r w:rsidR="0040764C" w:rsidRPr="00E73770">
        <w:rPr>
          <w:rFonts w:cs="Times New Roman"/>
          <w:sz w:val="22"/>
        </w:rPr>
        <w:t xml:space="preserve"> at reaching satisficing rather than optimising outcomes through continuous negotiations and political bargaining among coalitions of stakeholders within routines and heuristics arising from well-established standard operating rules and procedures</w:t>
      </w:r>
      <w:r w:rsidRPr="00E73770">
        <w:rPr>
          <w:rFonts w:cs="Times New Roman"/>
          <w:sz w:val="22"/>
        </w:rPr>
        <w:t>.</w:t>
      </w:r>
      <w:r w:rsidR="00B365F3" w:rsidRPr="00E73770">
        <w:rPr>
          <w:rFonts w:cs="Times New Roman"/>
          <w:sz w:val="22"/>
        </w:rPr>
        <w:t xml:space="preserve"> Decision-making in this context will be influenced by prior managerial beliefs, emotions, experiences, intuitions/feelings and values rather than rational thought</w:t>
      </w:r>
      <w:r w:rsidR="0074521E">
        <w:rPr>
          <w:rFonts w:cs="Times New Roman"/>
          <w:sz w:val="22"/>
        </w:rPr>
        <w:t xml:space="preserve"> only</w:t>
      </w:r>
      <w:r w:rsidR="00B365F3" w:rsidRPr="00E73770">
        <w:rPr>
          <w:rFonts w:cs="Times New Roman"/>
          <w:sz w:val="22"/>
        </w:rPr>
        <w:t>.</w:t>
      </w:r>
      <w:r w:rsidRPr="00E73770">
        <w:rPr>
          <w:rFonts w:cs="Times New Roman"/>
          <w:sz w:val="22"/>
        </w:rPr>
        <w:t xml:space="preserve"> </w:t>
      </w:r>
      <w:r w:rsidR="00B55AA2" w:rsidRPr="00E73770">
        <w:rPr>
          <w:rFonts w:cs="Times New Roman"/>
          <w:sz w:val="22"/>
        </w:rPr>
        <w:t>Arguably, this will be particularly important in the case of Oman, whereby the corporate context</w:t>
      </w:r>
      <w:r w:rsidR="008D67DF" w:rsidRPr="00E73770">
        <w:rPr>
          <w:rFonts w:cs="Times New Roman"/>
          <w:sz w:val="22"/>
        </w:rPr>
        <w:t xml:space="preserve"> </w:t>
      </w:r>
      <w:r w:rsidR="00B55AA2" w:rsidRPr="00E73770">
        <w:rPr>
          <w:rFonts w:cs="Times New Roman"/>
          <w:sz w:val="22"/>
        </w:rPr>
        <w:t xml:space="preserve">is characterised by corporate commitment to incorporate Islamic religious beliefs and </w:t>
      </w:r>
      <w:r w:rsidR="00B55AA2" w:rsidRPr="00823F8F">
        <w:rPr>
          <w:rFonts w:cs="Times New Roman"/>
          <w:sz w:val="22"/>
        </w:rPr>
        <w:t xml:space="preserve">values into corporate operations (Archer et al., 1998; Rahman, 1998; </w:t>
      </w:r>
      <w:r w:rsidR="00AA5B53" w:rsidRPr="00823F8F">
        <w:rPr>
          <w:rFonts w:cs="Times New Roman"/>
          <w:sz w:val="22"/>
        </w:rPr>
        <w:t>Lewis, 2005</w:t>
      </w:r>
      <w:r w:rsidR="00AA5B53">
        <w:rPr>
          <w:rFonts w:cs="Times New Roman"/>
          <w:sz w:val="22"/>
        </w:rPr>
        <w:t xml:space="preserve">; </w:t>
      </w:r>
      <w:r w:rsidR="00B55AA2" w:rsidRPr="00823F8F">
        <w:rPr>
          <w:rFonts w:cs="Times New Roman"/>
          <w:sz w:val="22"/>
        </w:rPr>
        <w:t xml:space="preserve">Choudhury &amp; </w:t>
      </w:r>
      <w:r w:rsidR="00B55AA2" w:rsidRPr="00E73770">
        <w:rPr>
          <w:rFonts w:cs="Times New Roman"/>
          <w:sz w:val="22"/>
        </w:rPr>
        <w:t>Hoque, 2006; Kamla et al., 2006; Abu-Tapanjeh, 2009; Williams &amp; Zinkin, 2010)</w:t>
      </w:r>
      <w:r w:rsidR="00B55AA2" w:rsidRPr="00823F8F">
        <w:rPr>
          <w:rFonts w:cs="Times New Roman"/>
          <w:sz w:val="22"/>
        </w:rPr>
        <w:t xml:space="preserve">. </w:t>
      </w:r>
      <w:r w:rsidR="008967B8" w:rsidRPr="00823F8F">
        <w:rPr>
          <w:rFonts w:cs="Times New Roman"/>
          <w:sz w:val="22"/>
        </w:rPr>
        <w:t xml:space="preserve">A prominent way by which </w:t>
      </w:r>
      <w:r w:rsidR="008967B8" w:rsidRPr="00B31ACF">
        <w:rPr>
          <w:rFonts w:cs="Times New Roman"/>
          <w:sz w:val="22"/>
        </w:rPr>
        <w:t xml:space="preserve">Omani corporate decision-making process can be guided by Islamic religious beliefs and values is through the establishment of the </w:t>
      </w:r>
      <w:r w:rsidR="007029D1" w:rsidRPr="00F54566">
        <w:rPr>
          <w:rFonts w:cs="Times New Roman"/>
          <w:sz w:val="22"/>
        </w:rPr>
        <w:t xml:space="preserve">IGC in the form of the </w:t>
      </w:r>
      <w:r w:rsidR="00734026" w:rsidRPr="00F54566">
        <w:rPr>
          <w:rFonts w:cs="Times New Roman"/>
          <w:sz w:val="22"/>
        </w:rPr>
        <w:t>SSB</w:t>
      </w:r>
      <w:r w:rsidR="008967B8" w:rsidRPr="00F54566">
        <w:rPr>
          <w:rFonts w:cs="Times New Roman"/>
          <w:sz w:val="22"/>
        </w:rPr>
        <w:t xml:space="preserve">. </w:t>
      </w:r>
      <w:r w:rsidR="0003415A" w:rsidRPr="00F54566">
        <w:rPr>
          <w:rFonts w:cs="Times New Roman"/>
          <w:sz w:val="22"/>
        </w:rPr>
        <w:t xml:space="preserve">As previously noted, the main role of </w:t>
      </w:r>
      <w:r w:rsidR="00096D18">
        <w:rPr>
          <w:rFonts w:cs="Times New Roman"/>
          <w:sz w:val="22"/>
        </w:rPr>
        <w:t xml:space="preserve">the </w:t>
      </w:r>
      <w:r w:rsidR="0003415A" w:rsidRPr="00F54566">
        <w:rPr>
          <w:rFonts w:cs="Times New Roman"/>
          <w:sz w:val="22"/>
        </w:rPr>
        <w:t>SSB is to offer guidance</w:t>
      </w:r>
      <w:r w:rsidR="0003415A" w:rsidRPr="00E30B51">
        <w:rPr>
          <w:rFonts w:cs="Times New Roman"/>
          <w:sz w:val="22"/>
        </w:rPr>
        <w:t xml:space="preserve"> as to whether corporate investments, operations and activities are in lines with rules, beliefs</w:t>
      </w:r>
      <w:r w:rsidR="002F7B11" w:rsidRPr="00E30B51">
        <w:rPr>
          <w:rFonts w:cs="Times New Roman"/>
          <w:sz w:val="22"/>
        </w:rPr>
        <w:t>, tenets</w:t>
      </w:r>
      <w:r w:rsidR="0003415A" w:rsidRPr="00095C52">
        <w:rPr>
          <w:rFonts w:cs="Times New Roman"/>
          <w:sz w:val="22"/>
        </w:rPr>
        <w:t xml:space="preserve"> and values of </w:t>
      </w:r>
      <w:r w:rsidR="0003415A" w:rsidRPr="00B768C9">
        <w:rPr>
          <w:rFonts w:cs="Times New Roman"/>
          <w:sz w:val="22"/>
        </w:rPr>
        <w:t>Islamic Shariah law.</w:t>
      </w:r>
      <w:r w:rsidR="0003415A" w:rsidRPr="00EC28EC">
        <w:rPr>
          <w:rFonts w:cs="Times New Roman"/>
          <w:sz w:val="22"/>
        </w:rPr>
        <w:t xml:space="preserve"> </w:t>
      </w:r>
      <w:r w:rsidR="00F33070" w:rsidRPr="00EC28EC">
        <w:rPr>
          <w:rFonts w:cs="Times New Roman"/>
          <w:sz w:val="22"/>
        </w:rPr>
        <w:t>Noticeably and un</w:t>
      </w:r>
      <w:r w:rsidR="008B4821" w:rsidRPr="00EC28EC">
        <w:rPr>
          <w:rFonts w:cs="Times New Roman"/>
          <w:sz w:val="22"/>
        </w:rPr>
        <w:t xml:space="preserve">like directors </w:t>
      </w:r>
      <w:r w:rsidR="00310E48" w:rsidRPr="00B47300">
        <w:rPr>
          <w:rFonts w:cs="Times New Roman"/>
          <w:sz w:val="22"/>
        </w:rPr>
        <w:t>that serve on</w:t>
      </w:r>
      <w:r w:rsidR="008B4821" w:rsidRPr="00B47300">
        <w:rPr>
          <w:rFonts w:cs="Times New Roman"/>
          <w:sz w:val="22"/>
        </w:rPr>
        <w:t xml:space="preserve"> </w:t>
      </w:r>
      <w:r w:rsidR="000167A7" w:rsidRPr="006753E4">
        <w:rPr>
          <w:rFonts w:cs="Times New Roman"/>
          <w:sz w:val="22"/>
        </w:rPr>
        <w:t xml:space="preserve">other board </w:t>
      </w:r>
      <w:r w:rsidR="00310E48" w:rsidRPr="006753E4">
        <w:rPr>
          <w:rFonts w:cs="Times New Roman"/>
          <w:sz w:val="22"/>
        </w:rPr>
        <w:t>sub</w:t>
      </w:r>
      <w:r w:rsidR="008B4821" w:rsidRPr="006753E4">
        <w:rPr>
          <w:rFonts w:cs="Times New Roman"/>
          <w:sz w:val="22"/>
        </w:rPr>
        <w:t>committees (e.g., remuneration, nomination, risk  and audit)</w:t>
      </w:r>
      <w:r w:rsidR="000167A7" w:rsidRPr="007130C1">
        <w:rPr>
          <w:rFonts w:cs="Times New Roman"/>
          <w:sz w:val="22"/>
        </w:rPr>
        <w:t xml:space="preserve">, </w:t>
      </w:r>
      <w:r w:rsidR="00096D18">
        <w:rPr>
          <w:rFonts w:cs="Times New Roman"/>
          <w:sz w:val="22"/>
        </w:rPr>
        <w:t xml:space="preserve">the </w:t>
      </w:r>
      <w:r w:rsidR="00DE2D44" w:rsidRPr="00033362">
        <w:rPr>
          <w:rFonts w:cs="Times New Roman"/>
          <w:sz w:val="22"/>
        </w:rPr>
        <w:t>IG</w:t>
      </w:r>
      <w:r w:rsidR="007029D1" w:rsidRPr="00033362">
        <w:rPr>
          <w:rFonts w:cs="Times New Roman"/>
          <w:sz w:val="22"/>
        </w:rPr>
        <w:t>C</w:t>
      </w:r>
      <w:r w:rsidR="008B4821" w:rsidRPr="00033362">
        <w:rPr>
          <w:rFonts w:cs="Times New Roman"/>
          <w:sz w:val="22"/>
        </w:rPr>
        <w:t xml:space="preserve"> members</w:t>
      </w:r>
      <w:r w:rsidR="00241FAF" w:rsidRPr="00E73770">
        <w:rPr>
          <w:rStyle w:val="FootnoteReference"/>
          <w:rFonts w:ascii="Times New Roman" w:hAnsi="Times New Roman"/>
          <w:sz w:val="22"/>
        </w:rPr>
        <w:footnoteReference w:id="2"/>
      </w:r>
      <w:r w:rsidR="008B4821" w:rsidRPr="00E73770">
        <w:rPr>
          <w:rFonts w:cs="Times New Roman"/>
          <w:sz w:val="22"/>
        </w:rPr>
        <w:t xml:space="preserve"> </w:t>
      </w:r>
      <w:r w:rsidR="002720C9" w:rsidRPr="00E73770">
        <w:rPr>
          <w:rFonts w:cs="Times New Roman"/>
          <w:sz w:val="22"/>
        </w:rPr>
        <w:t xml:space="preserve">ought to </w:t>
      </w:r>
      <w:r w:rsidR="008B4821" w:rsidRPr="00E73770">
        <w:rPr>
          <w:rFonts w:cs="Times New Roman"/>
          <w:sz w:val="22"/>
        </w:rPr>
        <w:t xml:space="preserve">have superior knowledge </w:t>
      </w:r>
      <w:r w:rsidR="002720C9" w:rsidRPr="00E73770">
        <w:rPr>
          <w:rFonts w:cs="Times New Roman"/>
          <w:sz w:val="22"/>
        </w:rPr>
        <w:t>of</w:t>
      </w:r>
      <w:r w:rsidR="00933332" w:rsidRPr="00E73770">
        <w:rPr>
          <w:rFonts w:cs="Times New Roman"/>
          <w:sz w:val="22"/>
        </w:rPr>
        <w:t xml:space="preserve"> S</w:t>
      </w:r>
      <w:r w:rsidR="008B4821" w:rsidRPr="00E73770">
        <w:rPr>
          <w:rFonts w:cs="Times New Roman"/>
          <w:sz w:val="22"/>
        </w:rPr>
        <w:t>haria</w:t>
      </w:r>
      <w:r w:rsidR="000167A7" w:rsidRPr="00E73770">
        <w:rPr>
          <w:rFonts w:cs="Times New Roman"/>
          <w:sz w:val="22"/>
        </w:rPr>
        <w:t>h</w:t>
      </w:r>
      <w:r w:rsidR="008B4821" w:rsidRPr="00E73770">
        <w:rPr>
          <w:rFonts w:cs="Times New Roman"/>
          <w:sz w:val="22"/>
        </w:rPr>
        <w:t xml:space="preserve"> law</w:t>
      </w:r>
      <w:r w:rsidR="00726E75" w:rsidRPr="00E73770">
        <w:rPr>
          <w:rFonts w:cs="Times New Roman"/>
          <w:sz w:val="22"/>
        </w:rPr>
        <w:t xml:space="preserve">, as well as financial training and </w:t>
      </w:r>
      <w:r w:rsidR="00135C30" w:rsidRPr="00E73770">
        <w:rPr>
          <w:rFonts w:cs="Times New Roman"/>
          <w:sz w:val="22"/>
        </w:rPr>
        <w:t>experience</w:t>
      </w:r>
      <w:r w:rsidR="008B4821" w:rsidRPr="00E73770">
        <w:rPr>
          <w:rFonts w:cs="Times New Roman"/>
          <w:sz w:val="22"/>
        </w:rPr>
        <w:t xml:space="preserve"> </w:t>
      </w:r>
      <w:r w:rsidR="00726E75" w:rsidRPr="00E73770">
        <w:rPr>
          <w:rFonts w:cs="Times New Roman"/>
          <w:sz w:val="22"/>
        </w:rPr>
        <w:t>in order to facilitate appropriate</w:t>
      </w:r>
      <w:r w:rsidR="008B4821" w:rsidRPr="00E73770">
        <w:rPr>
          <w:rFonts w:cs="Times New Roman"/>
          <w:sz w:val="22"/>
        </w:rPr>
        <w:t xml:space="preserve"> evaluati</w:t>
      </w:r>
      <w:r w:rsidR="00726E75" w:rsidRPr="00823F8F">
        <w:rPr>
          <w:rFonts w:cs="Times New Roman"/>
          <w:sz w:val="22"/>
        </w:rPr>
        <w:t>on and interpration of</w:t>
      </w:r>
      <w:r w:rsidR="008B4821" w:rsidRPr="00823F8F">
        <w:rPr>
          <w:rFonts w:cs="Times New Roman"/>
          <w:sz w:val="22"/>
        </w:rPr>
        <w:t xml:space="preserve"> </w:t>
      </w:r>
      <w:r w:rsidR="00726E75" w:rsidRPr="00823F8F">
        <w:rPr>
          <w:rFonts w:cs="Times New Roman"/>
          <w:sz w:val="22"/>
        </w:rPr>
        <w:t>corporate</w:t>
      </w:r>
      <w:r w:rsidR="00AA5B53">
        <w:rPr>
          <w:rFonts w:cs="Times New Roman"/>
          <w:sz w:val="22"/>
        </w:rPr>
        <w:t xml:space="preserve"> decisions and</w:t>
      </w:r>
      <w:r w:rsidR="008B4821" w:rsidRPr="00823F8F">
        <w:rPr>
          <w:rFonts w:cs="Times New Roman"/>
          <w:sz w:val="22"/>
        </w:rPr>
        <w:t xml:space="preserve"> </w:t>
      </w:r>
      <w:r w:rsidR="00726E75" w:rsidRPr="00823F8F">
        <w:rPr>
          <w:rFonts w:cs="Times New Roman"/>
          <w:sz w:val="22"/>
        </w:rPr>
        <w:t>disclosures</w:t>
      </w:r>
      <w:r w:rsidR="008B4821" w:rsidRPr="00823F8F">
        <w:rPr>
          <w:rFonts w:cs="Times New Roman"/>
          <w:sz w:val="22"/>
        </w:rPr>
        <w:t xml:space="preserve">. </w:t>
      </w:r>
      <w:r w:rsidR="0098082C" w:rsidRPr="00823F8F">
        <w:rPr>
          <w:rFonts w:cs="Times New Roman"/>
          <w:sz w:val="22"/>
        </w:rPr>
        <w:t>In the context of EM,</w:t>
      </w:r>
      <w:r w:rsidR="0098082C" w:rsidRPr="00E73770">
        <w:rPr>
          <w:rFonts w:cs="Times New Roman"/>
          <w:sz w:val="22"/>
        </w:rPr>
        <w:t xml:space="preserve"> </w:t>
      </w:r>
      <w:r w:rsidR="00CC5C1E" w:rsidRPr="00E73770">
        <w:rPr>
          <w:rFonts w:cs="Times New Roman"/>
          <w:sz w:val="22"/>
        </w:rPr>
        <w:t xml:space="preserve">the presence of the SSB </w:t>
      </w:r>
      <w:r w:rsidR="0098082C" w:rsidRPr="00E73770">
        <w:rPr>
          <w:rFonts w:cs="Times New Roman"/>
          <w:sz w:val="22"/>
        </w:rPr>
        <w:t>may offer additional assurance to s</w:t>
      </w:r>
      <w:r w:rsidR="00CC5C1E" w:rsidRPr="00E73770">
        <w:rPr>
          <w:rFonts w:cs="Times New Roman"/>
          <w:sz w:val="22"/>
        </w:rPr>
        <w:t xml:space="preserve">hareholders </w:t>
      </w:r>
      <w:r w:rsidR="0098082C" w:rsidRPr="00E73770">
        <w:rPr>
          <w:rFonts w:cs="Times New Roman"/>
          <w:sz w:val="22"/>
        </w:rPr>
        <w:t xml:space="preserve">and </w:t>
      </w:r>
      <w:r w:rsidR="00CC5C1E" w:rsidRPr="00E73770">
        <w:rPr>
          <w:rFonts w:cs="Times New Roman"/>
          <w:sz w:val="22"/>
        </w:rPr>
        <w:t xml:space="preserve">other </w:t>
      </w:r>
      <w:r w:rsidR="0098082C" w:rsidRPr="00E73770">
        <w:rPr>
          <w:rFonts w:cs="Times New Roman"/>
          <w:sz w:val="22"/>
        </w:rPr>
        <w:t>s</w:t>
      </w:r>
      <w:r w:rsidR="00CC5C1E" w:rsidRPr="00E73770">
        <w:rPr>
          <w:rFonts w:cs="Times New Roman"/>
          <w:sz w:val="22"/>
        </w:rPr>
        <w:t>take</w:t>
      </w:r>
      <w:r w:rsidR="0098082C" w:rsidRPr="00E73770">
        <w:rPr>
          <w:rFonts w:cs="Times New Roman"/>
          <w:sz w:val="22"/>
        </w:rPr>
        <w:t xml:space="preserve">holders that managers </w:t>
      </w:r>
      <w:r w:rsidR="00EC5B35">
        <w:rPr>
          <w:rFonts w:cs="Times New Roman"/>
          <w:sz w:val="22"/>
        </w:rPr>
        <w:t xml:space="preserve">of firms’ with such a committee </w:t>
      </w:r>
      <w:r w:rsidR="0098082C" w:rsidRPr="00E73770">
        <w:rPr>
          <w:rFonts w:cs="Times New Roman"/>
          <w:sz w:val="22"/>
        </w:rPr>
        <w:t xml:space="preserve">are less likely to engage in EM compared with those </w:t>
      </w:r>
      <w:r w:rsidR="00EC5B35">
        <w:rPr>
          <w:rFonts w:cs="Times New Roman"/>
          <w:sz w:val="22"/>
        </w:rPr>
        <w:t>without it</w:t>
      </w:r>
      <w:r w:rsidR="0098082C" w:rsidRPr="00E73770">
        <w:rPr>
          <w:rFonts w:cs="Times New Roman"/>
          <w:sz w:val="22"/>
        </w:rPr>
        <w:t xml:space="preserve">. </w:t>
      </w:r>
      <w:r w:rsidR="000B152D" w:rsidRPr="00E73770">
        <w:rPr>
          <w:rFonts w:cs="Times New Roman"/>
          <w:sz w:val="22"/>
        </w:rPr>
        <w:t xml:space="preserve">For instance, </w:t>
      </w:r>
      <w:r w:rsidR="00933332" w:rsidRPr="00E73770">
        <w:rPr>
          <w:rFonts w:cs="Times New Roman"/>
          <w:sz w:val="22"/>
        </w:rPr>
        <w:t>S</w:t>
      </w:r>
      <w:r w:rsidR="000B152D" w:rsidRPr="00E73770">
        <w:rPr>
          <w:rFonts w:cs="Times New Roman"/>
          <w:sz w:val="22"/>
        </w:rPr>
        <w:t>haria</w:t>
      </w:r>
      <w:r w:rsidR="000167A7" w:rsidRPr="00E73770">
        <w:rPr>
          <w:rFonts w:cs="Times New Roman"/>
          <w:sz w:val="22"/>
        </w:rPr>
        <w:t>h</w:t>
      </w:r>
      <w:r w:rsidR="000B152D" w:rsidRPr="00E73770">
        <w:rPr>
          <w:rFonts w:cs="Times New Roman"/>
          <w:sz w:val="22"/>
        </w:rPr>
        <w:t xml:space="preserve"> </w:t>
      </w:r>
      <w:r w:rsidR="004F79FD" w:rsidRPr="00E73770">
        <w:rPr>
          <w:rFonts w:cs="Times New Roman"/>
          <w:sz w:val="22"/>
        </w:rPr>
        <w:t>principles</w:t>
      </w:r>
      <w:r w:rsidR="00E73770">
        <w:rPr>
          <w:rFonts w:cs="Times New Roman"/>
          <w:sz w:val="22"/>
        </w:rPr>
        <w:t xml:space="preserve"> relating to accountability,</w:t>
      </w:r>
      <w:r w:rsidR="004F79FD" w:rsidRPr="00E73770">
        <w:rPr>
          <w:rFonts w:cs="Times New Roman"/>
          <w:sz w:val="22"/>
        </w:rPr>
        <w:t xml:space="preserve"> </w:t>
      </w:r>
      <w:r w:rsidR="00E73770">
        <w:rPr>
          <w:rFonts w:cs="Times New Roman"/>
          <w:sz w:val="22"/>
        </w:rPr>
        <w:t xml:space="preserve">honesty, integrity, responsibility, </w:t>
      </w:r>
      <w:r w:rsidR="004F79FD" w:rsidRPr="00E73770">
        <w:rPr>
          <w:rFonts w:cs="Times New Roman"/>
          <w:sz w:val="22"/>
        </w:rPr>
        <w:t>transparency</w:t>
      </w:r>
      <w:r w:rsidR="00E73770">
        <w:rPr>
          <w:rFonts w:cs="Times New Roman"/>
          <w:sz w:val="22"/>
        </w:rPr>
        <w:t xml:space="preserve"> and truthfulnes</w:t>
      </w:r>
      <w:r w:rsidR="00D17CE4" w:rsidRPr="00E73770">
        <w:rPr>
          <w:rFonts w:cs="Times New Roman"/>
          <w:sz w:val="22"/>
        </w:rPr>
        <w:t xml:space="preserve"> directly</w:t>
      </w:r>
      <w:r w:rsidR="000B152D" w:rsidRPr="00E73770">
        <w:rPr>
          <w:rFonts w:cs="Times New Roman"/>
          <w:sz w:val="22"/>
        </w:rPr>
        <w:t xml:space="preserve"> </w:t>
      </w:r>
      <w:r w:rsidR="00E235E3" w:rsidRPr="00E73770">
        <w:rPr>
          <w:rFonts w:cs="Times New Roman"/>
          <w:sz w:val="22"/>
        </w:rPr>
        <w:t>prohibit</w:t>
      </w:r>
      <w:r w:rsidR="000B152D" w:rsidRPr="00E73770">
        <w:rPr>
          <w:rFonts w:cs="Times New Roman"/>
          <w:sz w:val="22"/>
        </w:rPr>
        <w:t xml:space="preserve"> managers from engaging in</w:t>
      </w:r>
      <w:r w:rsidR="00E73770">
        <w:rPr>
          <w:rFonts w:cs="Times New Roman"/>
          <w:sz w:val="22"/>
        </w:rPr>
        <w:t xml:space="preserve"> fraudulent activities, such as</w:t>
      </w:r>
      <w:r w:rsidR="000B152D" w:rsidRPr="00E73770">
        <w:rPr>
          <w:rFonts w:cs="Times New Roman"/>
          <w:sz w:val="22"/>
        </w:rPr>
        <w:t xml:space="preserve"> EM. </w:t>
      </w:r>
    </w:p>
    <w:p w:rsidR="00BE4B8A" w:rsidRPr="00852ABF" w:rsidRDefault="00EC5B35" w:rsidP="00CC5C1E">
      <w:pPr>
        <w:spacing w:line="360" w:lineRule="auto"/>
        <w:ind w:firstLine="431"/>
        <w:jc w:val="both"/>
        <w:rPr>
          <w:rFonts w:cs="Times New Roman"/>
          <w:sz w:val="22"/>
        </w:rPr>
      </w:pPr>
      <w:r>
        <w:rPr>
          <w:rFonts w:cs="Times New Roman"/>
          <w:sz w:val="22"/>
        </w:rPr>
        <w:t xml:space="preserve">Empirically, </w:t>
      </w:r>
      <w:r w:rsidR="008E726F">
        <w:rPr>
          <w:rFonts w:cs="Times New Roman"/>
          <w:sz w:val="22"/>
        </w:rPr>
        <w:t xml:space="preserve">the findings of a limited number of </w:t>
      </w:r>
      <w:r>
        <w:rPr>
          <w:rFonts w:cs="Times New Roman"/>
          <w:sz w:val="22"/>
        </w:rPr>
        <w:t xml:space="preserve">studies suggest that Judo-Christian religious </w:t>
      </w:r>
      <w:r w:rsidR="00852ABF">
        <w:rPr>
          <w:rFonts w:cs="Times New Roman"/>
          <w:sz w:val="22"/>
        </w:rPr>
        <w:t>beliefs and values have</w:t>
      </w:r>
      <w:r>
        <w:rPr>
          <w:rFonts w:cs="Times New Roman"/>
          <w:sz w:val="22"/>
        </w:rPr>
        <w:t xml:space="preserve"> a positive impact on:</w:t>
      </w:r>
      <w:r w:rsidR="00C43FB3" w:rsidRPr="00E73770">
        <w:rPr>
          <w:rFonts w:cs="Times New Roman"/>
          <w:sz w:val="22"/>
        </w:rPr>
        <w:t xml:space="preserve"> (i) EM/earnings quality (Callen et al., 2011; Du et al., 2</w:t>
      </w:r>
      <w:r w:rsidR="00C43FB3" w:rsidRPr="00EC5B35">
        <w:rPr>
          <w:rFonts w:cs="Times New Roman"/>
          <w:sz w:val="22"/>
        </w:rPr>
        <w:t>015; Kanagaretnam et al., 2015) and financial reporting irregularities (Dyreng et al., 2012; McGuire et al., 2012); (ii) CSR (Brammer et al., 2007) and</w:t>
      </w:r>
      <w:r w:rsidR="00096D18">
        <w:rPr>
          <w:rFonts w:cs="Times New Roman"/>
          <w:sz w:val="22"/>
        </w:rPr>
        <w:t xml:space="preserve"> corporate</w:t>
      </w:r>
      <w:r w:rsidR="00C43FB3" w:rsidRPr="00EC5B35">
        <w:rPr>
          <w:rFonts w:cs="Times New Roman"/>
          <w:sz w:val="22"/>
        </w:rPr>
        <w:t xml:space="preserve"> philanthropy (Du et al., 2014); (iii) agency problems (Du, 2013) and tunnelling (Du, 2014); (iv) equity-pricing (El Ghoul et al., </w:t>
      </w:r>
      <w:r w:rsidR="00B44F78">
        <w:rPr>
          <w:rFonts w:cs="Times New Roman"/>
          <w:sz w:val="22"/>
        </w:rPr>
        <w:t>201</w:t>
      </w:r>
      <w:r w:rsidR="00C43FB3" w:rsidRPr="00B44F78">
        <w:rPr>
          <w:rFonts w:cs="Times New Roman"/>
          <w:sz w:val="22"/>
        </w:rPr>
        <w:t>2</w:t>
      </w:r>
      <w:r w:rsidR="00C43FB3" w:rsidRPr="00EC5B35">
        <w:rPr>
          <w:rFonts w:cs="Times New Roman"/>
          <w:sz w:val="22"/>
        </w:rPr>
        <w:t xml:space="preserve">), corporate decision-making (Hilary &amp; Hui, 2009) and risk-taking (Bartke &amp; Schwarze, 2008); and (v) tax evasion/tax fraud (Stack 2006; Richardson 2008) and corruption (Mensah 2014). </w:t>
      </w:r>
      <w:r w:rsidR="00B31ACF">
        <w:rPr>
          <w:rFonts w:cs="Times New Roman"/>
          <w:sz w:val="22"/>
        </w:rPr>
        <w:t>Similarly and w</w:t>
      </w:r>
      <w:r w:rsidR="00823F8F">
        <w:rPr>
          <w:rFonts w:cs="Times New Roman"/>
          <w:sz w:val="22"/>
        </w:rPr>
        <w:t>ith</w:t>
      </w:r>
      <w:r w:rsidR="00B31ACF">
        <w:rPr>
          <w:rFonts w:cs="Times New Roman"/>
          <w:sz w:val="22"/>
        </w:rPr>
        <w:t xml:space="preserve">in Islamic research context, </w:t>
      </w:r>
      <w:r w:rsidR="00096D18">
        <w:rPr>
          <w:rFonts w:cs="Times New Roman"/>
          <w:sz w:val="22"/>
        </w:rPr>
        <w:t xml:space="preserve">the findings of </w:t>
      </w:r>
      <w:r w:rsidR="00B31ACF">
        <w:rPr>
          <w:rFonts w:cs="Times New Roman"/>
          <w:sz w:val="22"/>
        </w:rPr>
        <w:t>a limit</w:t>
      </w:r>
      <w:r w:rsidR="00154BB8">
        <w:rPr>
          <w:rFonts w:cs="Times New Roman"/>
          <w:sz w:val="22"/>
        </w:rPr>
        <w:t xml:space="preserve">ed number of </w:t>
      </w:r>
      <w:r w:rsidR="00096D18">
        <w:rPr>
          <w:rFonts w:cs="Times New Roman"/>
          <w:sz w:val="22"/>
        </w:rPr>
        <w:t>studies suggest</w:t>
      </w:r>
      <w:r w:rsidR="00B31ACF">
        <w:rPr>
          <w:rFonts w:cs="Times New Roman"/>
          <w:sz w:val="22"/>
        </w:rPr>
        <w:t xml:space="preserve"> that IG mechanisms have a positive effect on: </w:t>
      </w:r>
      <w:r w:rsidR="001A37E1">
        <w:rPr>
          <w:rFonts w:cs="Times New Roman"/>
          <w:sz w:val="22"/>
        </w:rPr>
        <w:t xml:space="preserve">(i) </w:t>
      </w:r>
      <w:r w:rsidR="00B31ACF">
        <w:rPr>
          <w:rFonts w:cs="Times New Roman"/>
          <w:sz w:val="22"/>
        </w:rPr>
        <w:t>CG practices (</w:t>
      </w:r>
      <w:r w:rsidR="00823F8F">
        <w:rPr>
          <w:rFonts w:cs="Times New Roman"/>
          <w:sz w:val="22"/>
        </w:rPr>
        <w:t>Sa</w:t>
      </w:r>
      <w:r w:rsidR="00B31ACF">
        <w:rPr>
          <w:rFonts w:cs="Times New Roman"/>
          <w:sz w:val="22"/>
        </w:rPr>
        <w:t>fieddine, 2009)</w:t>
      </w:r>
      <w:r w:rsidR="001A37E1">
        <w:rPr>
          <w:rFonts w:cs="Times New Roman"/>
          <w:sz w:val="22"/>
        </w:rPr>
        <w:t>; (ii)</w:t>
      </w:r>
      <w:r w:rsidR="00B31ACF">
        <w:rPr>
          <w:rFonts w:cs="Times New Roman"/>
          <w:sz w:val="22"/>
        </w:rPr>
        <w:t xml:space="preserve"> </w:t>
      </w:r>
      <w:r w:rsidR="001A37E1">
        <w:rPr>
          <w:rFonts w:cs="Times New Roman"/>
          <w:sz w:val="22"/>
        </w:rPr>
        <w:t xml:space="preserve">risk management practices (Ginena, 2014); </w:t>
      </w:r>
      <w:r w:rsidR="00FB2DD6">
        <w:rPr>
          <w:rFonts w:cs="Times New Roman"/>
          <w:sz w:val="22"/>
        </w:rPr>
        <w:t xml:space="preserve">(iii) </w:t>
      </w:r>
      <w:r w:rsidR="001A37E1">
        <w:rPr>
          <w:rFonts w:cs="Times New Roman"/>
          <w:sz w:val="22"/>
        </w:rPr>
        <w:t>CSR practices (</w:t>
      </w:r>
      <w:r w:rsidR="00E04272" w:rsidRPr="00F948AC">
        <w:rPr>
          <w:rFonts w:cs="Times New Roman"/>
        </w:rPr>
        <w:t>Farook et al., 2011; Rahman &amp; Bukair, 2013</w:t>
      </w:r>
      <w:r w:rsidR="001A37E1">
        <w:rPr>
          <w:rFonts w:cs="Times New Roman"/>
          <w:sz w:val="22"/>
        </w:rPr>
        <w:t>)</w:t>
      </w:r>
      <w:r w:rsidR="00FB2DD6">
        <w:rPr>
          <w:rFonts w:cs="Times New Roman"/>
          <w:sz w:val="22"/>
        </w:rPr>
        <w:t>;</w:t>
      </w:r>
      <w:r w:rsidR="007D28B0">
        <w:rPr>
          <w:rFonts w:cs="Times New Roman"/>
          <w:sz w:val="22"/>
        </w:rPr>
        <w:t xml:space="preserve"> and </w:t>
      </w:r>
      <w:r w:rsidR="00FB2DD6">
        <w:rPr>
          <w:rFonts w:cs="Times New Roman"/>
          <w:sz w:val="22"/>
        </w:rPr>
        <w:t xml:space="preserve">(iv) </w:t>
      </w:r>
      <w:r w:rsidR="007D28B0">
        <w:rPr>
          <w:rFonts w:cs="Times New Roman"/>
          <w:sz w:val="22"/>
        </w:rPr>
        <w:t>financial performance (Mollah &amp; Zaman, 2015)</w:t>
      </w:r>
      <w:r w:rsidR="001A37E1">
        <w:rPr>
          <w:rFonts w:cs="Times New Roman"/>
          <w:sz w:val="22"/>
        </w:rPr>
        <w:t>. O</w:t>
      </w:r>
      <w:r w:rsidR="00C4516B" w:rsidRPr="00EC5B35">
        <w:rPr>
          <w:rFonts w:cs="Times New Roman"/>
          <w:sz w:val="22"/>
        </w:rPr>
        <w:t>f direct relevance to our study and u</w:t>
      </w:r>
      <w:r w:rsidR="00911D74" w:rsidRPr="00EC5B35">
        <w:rPr>
          <w:rFonts w:cs="Times New Roman"/>
          <w:sz w:val="22"/>
        </w:rPr>
        <w:t xml:space="preserve">sing a sample of 2,624 firm-year observations over 1993-2008, Quttainah </w:t>
      </w:r>
      <w:r w:rsidR="00911D74" w:rsidRPr="00EC5B35">
        <w:rPr>
          <w:rFonts w:cs="Times New Roman"/>
          <w:i/>
          <w:iCs/>
          <w:sz w:val="22"/>
        </w:rPr>
        <w:t>et al</w:t>
      </w:r>
      <w:r w:rsidR="00911D74" w:rsidRPr="00EC5B35">
        <w:rPr>
          <w:rFonts w:cs="Times New Roman"/>
          <w:sz w:val="22"/>
        </w:rPr>
        <w:t xml:space="preserve">. (2013) provide evidence that there is no significant difference in </w:t>
      </w:r>
      <w:r w:rsidR="00C4516B" w:rsidRPr="00EC5B35">
        <w:rPr>
          <w:rFonts w:cs="Times New Roman"/>
          <w:sz w:val="22"/>
        </w:rPr>
        <w:t xml:space="preserve">the extent of </w:t>
      </w:r>
      <w:r w:rsidR="00911D74" w:rsidRPr="00EC5B35">
        <w:rPr>
          <w:rFonts w:cs="Times New Roman"/>
          <w:sz w:val="22"/>
        </w:rPr>
        <w:t xml:space="preserve">EM between banks with </w:t>
      </w:r>
      <w:r w:rsidR="00C4516B" w:rsidRPr="00EC5B35">
        <w:rPr>
          <w:rFonts w:cs="Times New Roman"/>
          <w:sz w:val="22"/>
        </w:rPr>
        <w:t xml:space="preserve">IGC in comparison with </w:t>
      </w:r>
      <w:r w:rsidR="00911D74" w:rsidRPr="00EC5B35">
        <w:rPr>
          <w:rFonts w:cs="Times New Roman"/>
          <w:sz w:val="22"/>
        </w:rPr>
        <w:t>those without</w:t>
      </w:r>
      <w:r w:rsidR="00C4516B" w:rsidRPr="00EC5B35">
        <w:rPr>
          <w:rFonts w:cs="Times New Roman"/>
          <w:sz w:val="22"/>
        </w:rPr>
        <w:t xml:space="preserve"> IGC</w:t>
      </w:r>
      <w:r w:rsidR="00911D74" w:rsidRPr="00EC5B35">
        <w:rPr>
          <w:rFonts w:cs="Times New Roman"/>
          <w:sz w:val="22"/>
        </w:rPr>
        <w:t xml:space="preserve">. In contrast, </w:t>
      </w:r>
      <w:r w:rsidR="00E20B82" w:rsidRPr="00EC5B35">
        <w:rPr>
          <w:rFonts w:cs="Times New Roman"/>
          <w:sz w:val="22"/>
        </w:rPr>
        <w:t xml:space="preserve">using a sample of 90 Islamic banks </w:t>
      </w:r>
      <w:r w:rsidR="00E83B76">
        <w:rPr>
          <w:rFonts w:cs="Times New Roman"/>
          <w:sz w:val="22"/>
        </w:rPr>
        <w:t>from</w:t>
      </w:r>
      <w:r w:rsidR="00E20B82" w:rsidRPr="00EC5B35">
        <w:rPr>
          <w:rFonts w:cs="Times New Roman"/>
          <w:sz w:val="22"/>
        </w:rPr>
        <w:t xml:space="preserve"> 2000 to 2009, Hamdi and Zarai (2014) document evidence that</w:t>
      </w:r>
      <w:r w:rsidR="00C4516B" w:rsidRPr="00EC5B35">
        <w:rPr>
          <w:rFonts w:cs="Times New Roman"/>
          <w:sz w:val="22"/>
        </w:rPr>
        <w:t xml:space="preserve"> suggests that</w:t>
      </w:r>
      <w:r w:rsidR="00E20B82" w:rsidRPr="00EC5B35">
        <w:rPr>
          <w:rFonts w:cs="Times New Roman"/>
          <w:sz w:val="22"/>
        </w:rPr>
        <w:t xml:space="preserve"> banks with </w:t>
      </w:r>
      <w:r w:rsidR="00C4516B" w:rsidRPr="00EC5B35">
        <w:rPr>
          <w:rFonts w:cs="Times New Roman"/>
          <w:sz w:val="22"/>
        </w:rPr>
        <w:t>IGC</w:t>
      </w:r>
      <w:r w:rsidR="00E20B82" w:rsidRPr="00EC5B35">
        <w:rPr>
          <w:rFonts w:cs="Times New Roman"/>
          <w:sz w:val="22"/>
        </w:rPr>
        <w:t xml:space="preserve"> are less likely to conduct EM</w:t>
      </w:r>
      <w:r w:rsidR="007829E9" w:rsidRPr="00EC5B35">
        <w:rPr>
          <w:rFonts w:cs="Times New Roman"/>
          <w:sz w:val="22"/>
        </w:rPr>
        <w:t xml:space="preserve"> </w:t>
      </w:r>
      <w:r w:rsidR="00C4516B" w:rsidRPr="00EC5B35">
        <w:rPr>
          <w:rFonts w:cs="Times New Roman"/>
          <w:sz w:val="22"/>
        </w:rPr>
        <w:t>compared with those without IGC</w:t>
      </w:r>
      <w:r w:rsidR="00E20B82" w:rsidRPr="00EC5B35">
        <w:rPr>
          <w:rFonts w:cs="Times New Roman"/>
          <w:sz w:val="22"/>
        </w:rPr>
        <w:t xml:space="preserve">. </w:t>
      </w:r>
      <w:r w:rsidR="00903E8F" w:rsidRPr="00EC5B35">
        <w:rPr>
          <w:rFonts w:cs="Times New Roman"/>
          <w:sz w:val="22"/>
        </w:rPr>
        <w:t xml:space="preserve">Despite </w:t>
      </w:r>
      <w:r w:rsidR="00BE4B8A" w:rsidRPr="00EC5B35">
        <w:rPr>
          <w:rFonts w:cs="Times New Roman"/>
          <w:sz w:val="22"/>
        </w:rPr>
        <w:t xml:space="preserve">inconclusive empirical evidence and following theoretical </w:t>
      </w:r>
      <w:r w:rsidR="00E83B76">
        <w:rPr>
          <w:rFonts w:cs="Times New Roman"/>
          <w:sz w:val="22"/>
        </w:rPr>
        <w:t>predictions</w:t>
      </w:r>
      <w:r w:rsidR="00BE4B8A" w:rsidRPr="00EC5B35">
        <w:rPr>
          <w:rFonts w:cs="Times New Roman"/>
          <w:sz w:val="22"/>
        </w:rPr>
        <w:t>, the second</w:t>
      </w:r>
      <w:r w:rsidR="00BE4B8A" w:rsidRPr="00852ABF">
        <w:rPr>
          <w:rFonts w:cs="Times New Roman"/>
          <w:sz w:val="22"/>
        </w:rPr>
        <w:t xml:space="preserve"> hypothesis of this paper is</w:t>
      </w:r>
      <w:r w:rsidR="0089500A" w:rsidRPr="00852ABF">
        <w:rPr>
          <w:rFonts w:cs="Times New Roman"/>
          <w:sz w:val="22"/>
        </w:rPr>
        <w:t xml:space="preserve"> that</w:t>
      </w:r>
      <w:r w:rsidR="00BE4B8A" w:rsidRPr="00852ABF">
        <w:rPr>
          <w:rFonts w:cs="Times New Roman"/>
          <w:sz w:val="22"/>
        </w:rPr>
        <w:t xml:space="preserve">:  </w:t>
      </w:r>
    </w:p>
    <w:p w:rsidR="00475873" w:rsidRDefault="00A10607" w:rsidP="00475873">
      <w:pPr>
        <w:ind w:firstLine="720"/>
        <w:jc w:val="both"/>
        <w:rPr>
          <w:rFonts w:cs="Times New Roman"/>
          <w:i/>
          <w:sz w:val="22"/>
        </w:rPr>
      </w:pPr>
      <w:r>
        <w:rPr>
          <w:rFonts w:cs="Times New Roman"/>
          <w:i/>
          <w:sz w:val="22"/>
        </w:rPr>
        <w:t xml:space="preserve">    </w:t>
      </w:r>
      <w:r w:rsidR="00BE4B8A" w:rsidRPr="00A602F6">
        <w:rPr>
          <w:rFonts w:cs="Times New Roman"/>
          <w:b/>
          <w:i/>
          <w:sz w:val="22"/>
        </w:rPr>
        <w:t>H2</w:t>
      </w:r>
      <w:r w:rsidR="00A602F6" w:rsidRPr="00A602F6">
        <w:rPr>
          <w:rFonts w:cs="Times New Roman"/>
          <w:b/>
          <w:sz w:val="22"/>
        </w:rPr>
        <w:t>.</w:t>
      </w:r>
      <w:r w:rsidR="00BE4B8A" w:rsidRPr="00CA07C3">
        <w:rPr>
          <w:rFonts w:cs="Times New Roman"/>
          <w:sz w:val="22"/>
        </w:rPr>
        <w:t xml:space="preserve"> </w:t>
      </w:r>
      <w:r w:rsidR="00BE4B8A" w:rsidRPr="00CA07C3">
        <w:rPr>
          <w:rFonts w:cs="Times New Roman"/>
          <w:i/>
          <w:sz w:val="22"/>
        </w:rPr>
        <w:t xml:space="preserve">There is </w:t>
      </w:r>
      <w:r w:rsidR="00475873">
        <w:rPr>
          <w:rFonts w:cs="Times New Roman"/>
          <w:i/>
          <w:sz w:val="22"/>
        </w:rPr>
        <w:t>a</w:t>
      </w:r>
      <w:r w:rsidR="00BE4B8A" w:rsidRPr="00CA07C3">
        <w:rPr>
          <w:rFonts w:cs="Times New Roman"/>
          <w:i/>
          <w:sz w:val="22"/>
        </w:rPr>
        <w:t xml:space="preserve"> negative association between </w:t>
      </w:r>
      <w:r w:rsidR="00907A46">
        <w:rPr>
          <w:rFonts w:cs="Times New Roman"/>
          <w:i/>
          <w:sz w:val="22"/>
        </w:rPr>
        <w:t>Islamic</w:t>
      </w:r>
      <w:r w:rsidR="00BE4B8A">
        <w:rPr>
          <w:rFonts w:cs="Times New Roman"/>
          <w:i/>
          <w:sz w:val="22"/>
        </w:rPr>
        <w:t xml:space="preserve"> governance committee</w:t>
      </w:r>
      <w:r w:rsidR="00BE4B8A" w:rsidRPr="00CA07C3">
        <w:rPr>
          <w:rFonts w:cs="Times New Roman"/>
          <w:sz w:val="22"/>
        </w:rPr>
        <w:t xml:space="preserve"> </w:t>
      </w:r>
      <w:r w:rsidR="00BE4B8A" w:rsidRPr="00CA07C3">
        <w:rPr>
          <w:rFonts w:cs="Times New Roman"/>
          <w:i/>
          <w:sz w:val="22"/>
        </w:rPr>
        <w:t>and firm EM</w:t>
      </w:r>
    </w:p>
    <w:p w:rsidR="008B4821" w:rsidRDefault="00475873" w:rsidP="00475873">
      <w:pPr>
        <w:ind w:firstLine="720"/>
        <w:jc w:val="both"/>
        <w:rPr>
          <w:rFonts w:cs="Times New Roman"/>
          <w:sz w:val="22"/>
        </w:rPr>
      </w:pPr>
      <w:r>
        <w:rPr>
          <w:rFonts w:cs="Times New Roman"/>
          <w:i/>
          <w:sz w:val="22"/>
        </w:rPr>
        <w:t xml:space="preserve">           </w:t>
      </w:r>
      <w:r w:rsidR="00BE4B8A" w:rsidRPr="00CA07C3">
        <w:rPr>
          <w:rFonts w:cs="Times New Roman"/>
          <w:i/>
          <w:sz w:val="22"/>
        </w:rPr>
        <w:t>pra</w:t>
      </w:r>
      <w:r>
        <w:rPr>
          <w:rFonts w:cs="Times New Roman"/>
          <w:i/>
          <w:sz w:val="22"/>
        </w:rPr>
        <w:t>c</w:t>
      </w:r>
      <w:r w:rsidR="00BE4B8A" w:rsidRPr="00CA07C3">
        <w:rPr>
          <w:rFonts w:cs="Times New Roman"/>
          <w:i/>
          <w:sz w:val="22"/>
        </w:rPr>
        <w:t>tices</w:t>
      </w:r>
      <w:r w:rsidR="00BE4B8A" w:rsidRPr="00CA07C3">
        <w:rPr>
          <w:rFonts w:cs="Times New Roman"/>
          <w:sz w:val="22"/>
        </w:rPr>
        <w:t>.</w:t>
      </w:r>
      <w:r w:rsidR="00BE4B8A">
        <w:rPr>
          <w:rFonts w:cs="Times New Roman"/>
          <w:sz w:val="22"/>
        </w:rPr>
        <w:t xml:space="preserve"> </w:t>
      </w:r>
    </w:p>
    <w:p w:rsidR="00A10607" w:rsidRPr="00BE4B8A" w:rsidRDefault="00A10607" w:rsidP="00BE4B8A">
      <w:pPr>
        <w:spacing w:line="360" w:lineRule="auto"/>
        <w:ind w:left="862"/>
        <w:jc w:val="both"/>
        <w:rPr>
          <w:rFonts w:cs="Times New Roman"/>
          <w:sz w:val="22"/>
        </w:rPr>
      </w:pPr>
    </w:p>
    <w:p w:rsidR="00EF43E7" w:rsidRPr="00330DD3" w:rsidRDefault="00952D49" w:rsidP="00330DD3">
      <w:pPr>
        <w:rPr>
          <w:i/>
          <w:sz w:val="22"/>
        </w:rPr>
      </w:pPr>
      <w:bookmarkStart w:id="8" w:name="_Toc383249595"/>
      <w:r>
        <w:rPr>
          <w:i/>
          <w:sz w:val="22"/>
        </w:rPr>
        <w:t>4.2</w:t>
      </w:r>
      <w:r w:rsidR="00330DD3" w:rsidRPr="00330DD3">
        <w:rPr>
          <w:i/>
          <w:sz w:val="22"/>
        </w:rPr>
        <w:t xml:space="preserve"> </w:t>
      </w:r>
      <w:r w:rsidR="00C13F2F" w:rsidRPr="00330DD3">
        <w:rPr>
          <w:i/>
          <w:sz w:val="22"/>
        </w:rPr>
        <w:t>Board size (BSIZE)</w:t>
      </w:r>
      <w:bookmarkEnd w:id="8"/>
      <w:r w:rsidR="00C13F2F" w:rsidRPr="00330DD3">
        <w:rPr>
          <w:i/>
          <w:sz w:val="22"/>
        </w:rPr>
        <w:t xml:space="preserve"> </w:t>
      </w:r>
      <w:r w:rsidR="00CF7B39" w:rsidRPr="00330DD3">
        <w:rPr>
          <w:i/>
          <w:sz w:val="22"/>
        </w:rPr>
        <w:t xml:space="preserve"> </w:t>
      </w:r>
      <w:r w:rsidR="00A602F6" w:rsidRPr="00330DD3">
        <w:rPr>
          <w:i/>
          <w:sz w:val="22"/>
        </w:rPr>
        <w:t>and earnings management</w:t>
      </w:r>
    </w:p>
    <w:p w:rsidR="00A10607" w:rsidRDefault="00A10607" w:rsidP="006B2434">
      <w:pPr>
        <w:ind w:firstLine="720"/>
        <w:jc w:val="both"/>
        <w:rPr>
          <w:rFonts w:cs="Times New Roman"/>
          <w:sz w:val="22"/>
        </w:rPr>
      </w:pPr>
    </w:p>
    <w:p w:rsidR="00FB2DD6" w:rsidRDefault="00F54566" w:rsidP="00C74863">
      <w:pPr>
        <w:spacing w:line="360" w:lineRule="auto"/>
        <w:ind w:firstLine="720"/>
        <w:jc w:val="both"/>
        <w:rPr>
          <w:rFonts w:cs="Times New Roman"/>
          <w:sz w:val="22"/>
        </w:rPr>
      </w:pPr>
      <w:r>
        <w:rPr>
          <w:rFonts w:cs="Times New Roman"/>
          <w:sz w:val="22"/>
        </w:rPr>
        <w:t>Conventional agency theory suggests that f</w:t>
      </w:r>
      <w:r w:rsidR="008A7405" w:rsidRPr="00CA07C3">
        <w:rPr>
          <w:rFonts w:cs="Times New Roman"/>
          <w:sz w:val="22"/>
        </w:rPr>
        <w:t>irms with larger boards</w:t>
      </w:r>
      <w:r w:rsidR="003F6666">
        <w:rPr>
          <w:rFonts w:cs="Times New Roman"/>
          <w:sz w:val="22"/>
        </w:rPr>
        <w:t xml:space="preserve"> are likely</w:t>
      </w:r>
      <w:r>
        <w:rPr>
          <w:rFonts w:cs="Times New Roman"/>
          <w:sz w:val="22"/>
        </w:rPr>
        <w:t xml:space="preserve"> </w:t>
      </w:r>
      <w:r w:rsidR="0082476D" w:rsidRPr="00CA07C3">
        <w:rPr>
          <w:rFonts w:cs="Times New Roman"/>
          <w:sz w:val="22"/>
        </w:rPr>
        <w:t xml:space="preserve">to </w:t>
      </w:r>
      <w:r w:rsidR="008A7405" w:rsidRPr="00CA07C3">
        <w:rPr>
          <w:rFonts w:cs="Times New Roman"/>
          <w:sz w:val="22"/>
        </w:rPr>
        <w:t xml:space="preserve">be less effective in monitoring managers because such boards may suffer from </w:t>
      </w:r>
      <w:r w:rsidR="00596A5B">
        <w:rPr>
          <w:rFonts w:cs="Times New Roman"/>
          <w:sz w:val="22"/>
        </w:rPr>
        <w:t xml:space="preserve">poor </w:t>
      </w:r>
      <w:r w:rsidR="008A7405" w:rsidRPr="00CA07C3">
        <w:rPr>
          <w:rFonts w:cs="Times New Roman"/>
          <w:sz w:val="22"/>
        </w:rPr>
        <w:t>coordination and communication problems (Jensen, 1993)</w:t>
      </w:r>
      <w:r w:rsidR="00E30B51">
        <w:rPr>
          <w:rFonts w:cs="Times New Roman"/>
          <w:sz w:val="22"/>
        </w:rPr>
        <w:t>,</w:t>
      </w:r>
      <w:r w:rsidR="00F71ADC">
        <w:rPr>
          <w:rFonts w:cs="Times New Roman"/>
          <w:sz w:val="22"/>
        </w:rPr>
        <w:t xml:space="preserve"> and thus </w:t>
      </w:r>
      <w:r w:rsidR="00E30B51">
        <w:rPr>
          <w:rFonts w:cs="Times New Roman"/>
          <w:sz w:val="22"/>
        </w:rPr>
        <w:t>allow</w:t>
      </w:r>
      <w:r w:rsidR="00F71ADC">
        <w:rPr>
          <w:rFonts w:cs="Times New Roman"/>
          <w:sz w:val="22"/>
        </w:rPr>
        <w:t>ing</w:t>
      </w:r>
      <w:r w:rsidR="00E30B51">
        <w:rPr>
          <w:rFonts w:cs="Times New Roman"/>
          <w:sz w:val="22"/>
        </w:rPr>
        <w:t xml:space="preserve"> opportunistic</w:t>
      </w:r>
      <w:r w:rsidR="008A7405" w:rsidRPr="00CA07C3">
        <w:rPr>
          <w:rFonts w:cs="Times New Roman"/>
          <w:sz w:val="22"/>
        </w:rPr>
        <w:t xml:space="preserve"> managers </w:t>
      </w:r>
      <w:r w:rsidR="00D24598">
        <w:rPr>
          <w:rFonts w:cs="Times New Roman"/>
          <w:sz w:val="22"/>
        </w:rPr>
        <w:t>to engage</w:t>
      </w:r>
      <w:r w:rsidR="00F71ADC">
        <w:rPr>
          <w:rFonts w:cs="Times New Roman"/>
          <w:sz w:val="22"/>
        </w:rPr>
        <w:t xml:space="preserve"> in self-serving behaviour by, </w:t>
      </w:r>
      <w:r w:rsidR="00D24598">
        <w:rPr>
          <w:rFonts w:cs="Times New Roman"/>
          <w:sz w:val="22"/>
        </w:rPr>
        <w:t xml:space="preserve">for example, </w:t>
      </w:r>
      <w:r w:rsidR="00F71ADC">
        <w:rPr>
          <w:rFonts w:cs="Times New Roman"/>
          <w:sz w:val="22"/>
        </w:rPr>
        <w:t xml:space="preserve">managing </w:t>
      </w:r>
      <w:r w:rsidR="00596A5B">
        <w:rPr>
          <w:rFonts w:cs="Times New Roman"/>
          <w:sz w:val="22"/>
        </w:rPr>
        <w:t xml:space="preserve">earnings </w:t>
      </w:r>
      <w:r w:rsidR="00F71ADC">
        <w:rPr>
          <w:rFonts w:cs="Times New Roman"/>
          <w:sz w:val="22"/>
        </w:rPr>
        <w:t>upward</w:t>
      </w:r>
      <w:r w:rsidR="00596A5B">
        <w:rPr>
          <w:rFonts w:cs="Times New Roman"/>
          <w:sz w:val="22"/>
        </w:rPr>
        <w:t>s</w:t>
      </w:r>
      <w:r w:rsidR="00F71ADC">
        <w:rPr>
          <w:rFonts w:cs="Times New Roman"/>
          <w:sz w:val="22"/>
        </w:rPr>
        <w:t xml:space="preserve"> in order to </w:t>
      </w:r>
      <w:r w:rsidR="00D24598">
        <w:rPr>
          <w:rFonts w:cs="Times New Roman"/>
          <w:sz w:val="22"/>
        </w:rPr>
        <w:t>boost their compensation packages</w:t>
      </w:r>
      <w:r w:rsidR="008A7405" w:rsidRPr="00CA07C3">
        <w:rPr>
          <w:rFonts w:cs="Times New Roman"/>
          <w:sz w:val="22"/>
        </w:rPr>
        <w:t xml:space="preserve"> (</w:t>
      </w:r>
      <w:r w:rsidR="00E30B51">
        <w:rPr>
          <w:rFonts w:cs="Times New Roman"/>
          <w:sz w:val="22"/>
        </w:rPr>
        <w:t>Jensen &amp; Meckling, 1976</w:t>
      </w:r>
      <w:r w:rsidR="008A7405" w:rsidRPr="00CA07C3">
        <w:rPr>
          <w:rFonts w:cs="Times New Roman"/>
          <w:sz w:val="22"/>
        </w:rPr>
        <w:t xml:space="preserve">). </w:t>
      </w:r>
      <w:r w:rsidR="0087539D">
        <w:rPr>
          <w:rFonts w:cs="Times New Roman"/>
          <w:sz w:val="22"/>
        </w:rPr>
        <w:t>In this case</w:t>
      </w:r>
      <w:r w:rsidR="008A7405" w:rsidRPr="00CA07C3">
        <w:rPr>
          <w:rFonts w:cs="Times New Roman"/>
          <w:sz w:val="22"/>
        </w:rPr>
        <w:t>, smaller boards are expected to provide more effective mon</w:t>
      </w:r>
      <w:r w:rsidR="00C74863">
        <w:rPr>
          <w:rFonts w:cs="Times New Roman"/>
          <w:sz w:val="22"/>
        </w:rPr>
        <w:t>itoring in reducing EM</w:t>
      </w:r>
      <w:r w:rsidR="008A7405" w:rsidRPr="00CA07C3">
        <w:rPr>
          <w:rFonts w:cs="Times New Roman"/>
          <w:sz w:val="22"/>
        </w:rPr>
        <w:t>. An alternative perspective is that firms with larger boards have greater diversity in</w:t>
      </w:r>
      <w:r w:rsidR="0087539D">
        <w:rPr>
          <w:rFonts w:cs="Times New Roman"/>
          <w:sz w:val="22"/>
        </w:rPr>
        <w:t xml:space="preserve"> </w:t>
      </w:r>
      <w:r w:rsidR="008A7405" w:rsidRPr="00CA07C3">
        <w:rPr>
          <w:rFonts w:cs="Times New Roman"/>
          <w:sz w:val="22"/>
        </w:rPr>
        <w:t>experience</w:t>
      </w:r>
      <w:r w:rsidR="0087539D">
        <w:rPr>
          <w:rFonts w:cs="Times New Roman"/>
          <w:sz w:val="22"/>
        </w:rPr>
        <w:t>, technical expertise</w:t>
      </w:r>
      <w:r w:rsidR="008A7405" w:rsidRPr="00CA07C3">
        <w:rPr>
          <w:rFonts w:cs="Times New Roman"/>
          <w:sz w:val="22"/>
        </w:rPr>
        <w:t xml:space="preserve"> and skills</w:t>
      </w:r>
      <w:r w:rsidR="0087539D">
        <w:rPr>
          <w:rFonts w:cs="Times New Roman"/>
          <w:sz w:val="22"/>
        </w:rPr>
        <w:t>, including accounting and financial knowledge</w:t>
      </w:r>
      <w:r w:rsidR="008A7405" w:rsidRPr="00CA07C3">
        <w:rPr>
          <w:rFonts w:cs="Times New Roman"/>
          <w:sz w:val="22"/>
        </w:rPr>
        <w:t xml:space="preserve"> than smaller boards</w:t>
      </w:r>
      <w:r w:rsidR="0087539D">
        <w:rPr>
          <w:rFonts w:cs="Times New Roman"/>
          <w:sz w:val="22"/>
        </w:rPr>
        <w:t xml:space="preserve">. This implies that companies with larger boards are better placed to monitor managers, including the ability to </w:t>
      </w:r>
      <w:r w:rsidR="008A7405" w:rsidRPr="00CA07C3">
        <w:rPr>
          <w:rFonts w:cs="Times New Roman"/>
          <w:sz w:val="22"/>
        </w:rPr>
        <w:t>detect financial reporting irregularities</w:t>
      </w:r>
      <w:r w:rsidR="0087539D">
        <w:rPr>
          <w:rFonts w:cs="Times New Roman"/>
          <w:sz w:val="22"/>
        </w:rPr>
        <w:t>, such as EM</w:t>
      </w:r>
      <w:r w:rsidR="008A7405" w:rsidRPr="00CA07C3">
        <w:rPr>
          <w:rFonts w:cs="Times New Roman"/>
          <w:sz w:val="22"/>
        </w:rPr>
        <w:t xml:space="preserve"> (Pfeffer, 1972; Klein, 2002). </w:t>
      </w:r>
      <w:r w:rsidR="0087539D">
        <w:rPr>
          <w:rFonts w:cs="Times New Roman"/>
          <w:sz w:val="22"/>
        </w:rPr>
        <w:t>Thus, from this perspective</w:t>
      </w:r>
      <w:r w:rsidR="008A7405" w:rsidRPr="00CA07C3">
        <w:rPr>
          <w:rFonts w:cs="Times New Roman"/>
          <w:sz w:val="22"/>
        </w:rPr>
        <w:t xml:space="preserve">, effective monitoring is more likely to be found in larger boards, which </w:t>
      </w:r>
      <w:r w:rsidR="00A35A82">
        <w:rPr>
          <w:rFonts w:cs="Times New Roman"/>
          <w:sz w:val="22"/>
        </w:rPr>
        <w:t>may help</w:t>
      </w:r>
      <w:r w:rsidR="008A7405" w:rsidRPr="00CA07C3">
        <w:rPr>
          <w:rFonts w:cs="Times New Roman"/>
          <w:sz w:val="22"/>
        </w:rPr>
        <w:t xml:space="preserve"> in reducing managers’ inc</w:t>
      </w:r>
      <w:r w:rsidR="00C74863">
        <w:rPr>
          <w:rFonts w:cs="Times New Roman"/>
          <w:sz w:val="22"/>
        </w:rPr>
        <w:t>entive to engage in EM</w:t>
      </w:r>
      <w:r w:rsidR="000F6CB0" w:rsidRPr="00095C52">
        <w:rPr>
          <w:rFonts w:cs="Times New Roman"/>
          <w:sz w:val="22"/>
        </w:rPr>
        <w:t xml:space="preserve">. </w:t>
      </w:r>
    </w:p>
    <w:p w:rsidR="00F54566" w:rsidRDefault="00BE78B4" w:rsidP="00C74863">
      <w:pPr>
        <w:spacing w:line="360" w:lineRule="auto"/>
        <w:ind w:firstLine="720"/>
        <w:jc w:val="both"/>
        <w:rPr>
          <w:rFonts w:cs="Times New Roman"/>
          <w:sz w:val="22"/>
        </w:rPr>
      </w:pPr>
      <w:r w:rsidRPr="00095C52">
        <w:rPr>
          <w:rFonts w:cs="Times New Roman"/>
          <w:sz w:val="22"/>
        </w:rPr>
        <w:t xml:space="preserve">However, </w:t>
      </w:r>
      <w:r w:rsidR="00A35A82" w:rsidRPr="00095C52">
        <w:rPr>
          <w:rFonts w:cs="Times New Roman"/>
          <w:sz w:val="22"/>
        </w:rPr>
        <w:t xml:space="preserve">behavioural </w:t>
      </w:r>
      <w:r w:rsidR="00095C52">
        <w:rPr>
          <w:rFonts w:cs="Times New Roman"/>
          <w:sz w:val="22"/>
        </w:rPr>
        <w:t xml:space="preserve">theory challenges the dominant rational economics led </w:t>
      </w:r>
      <w:r w:rsidR="00095C52" w:rsidRPr="00B44F78">
        <w:rPr>
          <w:rFonts w:cs="Times New Roman"/>
          <w:sz w:val="22"/>
        </w:rPr>
        <w:t>idea</w:t>
      </w:r>
      <w:r w:rsidR="00095C52">
        <w:rPr>
          <w:rFonts w:cs="Times New Roman"/>
          <w:sz w:val="22"/>
        </w:rPr>
        <w:t xml:space="preserve"> that</w:t>
      </w:r>
      <w:r w:rsidRPr="00095C52">
        <w:rPr>
          <w:rFonts w:cs="Times New Roman"/>
          <w:sz w:val="22"/>
        </w:rPr>
        <w:t xml:space="preserve"> always attribute</w:t>
      </w:r>
      <w:r w:rsidR="00095C52">
        <w:rPr>
          <w:rFonts w:cs="Times New Roman"/>
          <w:sz w:val="22"/>
        </w:rPr>
        <w:t>s</w:t>
      </w:r>
      <w:r w:rsidRPr="00095C52">
        <w:rPr>
          <w:rFonts w:cs="Times New Roman"/>
          <w:sz w:val="22"/>
        </w:rPr>
        <w:t xml:space="preserve"> questionable corporate behaviour</w:t>
      </w:r>
      <w:r w:rsidR="00095C52" w:rsidRPr="00095C52">
        <w:rPr>
          <w:rFonts w:cs="Times New Roman"/>
          <w:sz w:val="22"/>
        </w:rPr>
        <w:t xml:space="preserve"> </w:t>
      </w:r>
      <w:r w:rsidR="00095C52">
        <w:rPr>
          <w:rFonts w:cs="Times New Roman"/>
          <w:sz w:val="22"/>
        </w:rPr>
        <w:t xml:space="preserve">and poor performance </w:t>
      </w:r>
      <w:r w:rsidR="00095C52" w:rsidRPr="00095C52">
        <w:rPr>
          <w:rFonts w:cs="Times New Roman"/>
          <w:sz w:val="22"/>
        </w:rPr>
        <w:t>(Gabrielsson &amp; Huse, 2004; van Ees et al., 2009; Huse et al., 2011)</w:t>
      </w:r>
      <w:r w:rsidRPr="00095C52">
        <w:rPr>
          <w:rFonts w:cs="Times New Roman"/>
          <w:sz w:val="22"/>
        </w:rPr>
        <w:t xml:space="preserve">, such </w:t>
      </w:r>
      <w:r w:rsidR="00095C52">
        <w:rPr>
          <w:rFonts w:cs="Times New Roman"/>
          <w:sz w:val="22"/>
        </w:rPr>
        <w:t>as financial reporting mistakes</w:t>
      </w:r>
      <w:r w:rsidRPr="00095C52">
        <w:rPr>
          <w:rFonts w:cs="Times New Roman"/>
          <w:sz w:val="22"/>
        </w:rPr>
        <w:t xml:space="preserve"> to managerial</w:t>
      </w:r>
      <w:r>
        <w:rPr>
          <w:rFonts w:cs="Times New Roman"/>
          <w:sz w:val="22"/>
        </w:rPr>
        <w:t xml:space="preserve"> motive to exploit corporate resources for their own benefits</w:t>
      </w:r>
      <w:r w:rsidR="00A56B05">
        <w:rPr>
          <w:rFonts w:cs="Times New Roman"/>
          <w:sz w:val="22"/>
        </w:rPr>
        <w:t>. In particular, behavioural theory suggests that there is a limit t</w:t>
      </w:r>
      <w:r w:rsidR="003F6666">
        <w:rPr>
          <w:rFonts w:cs="Times New Roman"/>
          <w:sz w:val="22"/>
        </w:rPr>
        <w:t>o the extent to which directors</w:t>
      </w:r>
      <w:r w:rsidR="00A56B05">
        <w:rPr>
          <w:rFonts w:cs="Times New Roman"/>
          <w:sz w:val="22"/>
        </w:rPr>
        <w:t xml:space="preserve"> are able to think </w:t>
      </w:r>
      <w:r w:rsidR="00095C52">
        <w:rPr>
          <w:rFonts w:cs="Times New Roman"/>
          <w:sz w:val="22"/>
        </w:rPr>
        <w:t>(cognitive</w:t>
      </w:r>
      <w:r w:rsidR="00596A5B">
        <w:rPr>
          <w:rFonts w:cs="Times New Roman"/>
          <w:sz w:val="22"/>
        </w:rPr>
        <w:t xml:space="preserve"> biases</w:t>
      </w:r>
      <w:r w:rsidR="00095C52">
        <w:rPr>
          <w:rFonts w:cs="Times New Roman"/>
          <w:sz w:val="22"/>
        </w:rPr>
        <w:t xml:space="preserve">), process complex information </w:t>
      </w:r>
      <w:r w:rsidR="00A56B05">
        <w:rPr>
          <w:rFonts w:cs="Times New Roman"/>
          <w:sz w:val="22"/>
        </w:rPr>
        <w:t>and make rational decisions (bounded rationality)</w:t>
      </w:r>
      <w:r w:rsidR="00095C52">
        <w:rPr>
          <w:rFonts w:cs="Times New Roman"/>
          <w:sz w:val="22"/>
        </w:rPr>
        <w:t xml:space="preserve">, and hence tend to engage in searching for satisficing rather than optimising solutions. </w:t>
      </w:r>
      <w:r w:rsidR="00E03B6A">
        <w:rPr>
          <w:rFonts w:cs="Times New Roman"/>
          <w:sz w:val="22"/>
        </w:rPr>
        <w:t>Therefore, s</w:t>
      </w:r>
      <w:r w:rsidR="00095C52">
        <w:rPr>
          <w:rFonts w:cs="Times New Roman"/>
          <w:sz w:val="22"/>
        </w:rPr>
        <w:t xml:space="preserve">uch </w:t>
      </w:r>
      <w:r w:rsidR="00E03B6A">
        <w:rPr>
          <w:rFonts w:cs="Times New Roman"/>
          <w:sz w:val="22"/>
        </w:rPr>
        <w:t xml:space="preserve">managerial/corporate </w:t>
      </w:r>
      <w:r w:rsidR="00095C52">
        <w:rPr>
          <w:rFonts w:cs="Times New Roman"/>
          <w:sz w:val="22"/>
        </w:rPr>
        <w:t>decisions</w:t>
      </w:r>
      <w:r w:rsidR="00E03B6A">
        <w:rPr>
          <w:rFonts w:cs="Times New Roman"/>
          <w:sz w:val="22"/>
        </w:rPr>
        <w:t xml:space="preserve"> may be based on formal and informal (e.g., personal beliefs, values and experiences) routines established over a period </w:t>
      </w:r>
      <w:r w:rsidR="00596A5B">
        <w:rPr>
          <w:rFonts w:cs="Times New Roman"/>
          <w:sz w:val="22"/>
        </w:rPr>
        <w:t xml:space="preserve">of time </w:t>
      </w:r>
      <w:r w:rsidR="00E03B6A">
        <w:rPr>
          <w:rFonts w:cs="Times New Roman"/>
          <w:sz w:val="22"/>
        </w:rPr>
        <w:t>through careful political bargaining and negotiations among different coalition</w:t>
      </w:r>
      <w:r w:rsidR="003C3CA8">
        <w:rPr>
          <w:rFonts w:cs="Times New Roman"/>
          <w:sz w:val="22"/>
        </w:rPr>
        <w:t>s</w:t>
      </w:r>
      <w:r w:rsidR="00E03B6A">
        <w:rPr>
          <w:rFonts w:cs="Times New Roman"/>
          <w:sz w:val="22"/>
        </w:rPr>
        <w:t xml:space="preserve"> of corporate stakeholders</w:t>
      </w:r>
      <w:r w:rsidR="009939F8">
        <w:rPr>
          <w:rFonts w:cs="Times New Roman"/>
          <w:sz w:val="22"/>
        </w:rPr>
        <w:t xml:space="preserve">. </w:t>
      </w:r>
      <w:r w:rsidR="00B44F78">
        <w:rPr>
          <w:rFonts w:cs="Times New Roman"/>
          <w:sz w:val="22"/>
        </w:rPr>
        <w:t>H</w:t>
      </w:r>
      <w:r w:rsidR="00B44F78" w:rsidRPr="00B44F78">
        <w:rPr>
          <w:rFonts w:cs="Times New Roman"/>
          <w:sz w:val="22"/>
        </w:rPr>
        <w:t>ence</w:t>
      </w:r>
      <w:r w:rsidR="009939F8">
        <w:rPr>
          <w:rFonts w:cs="Times New Roman"/>
          <w:sz w:val="22"/>
        </w:rPr>
        <w:t>, the extent to which corporate boards may be able to ensure that companies are governed effectivel</w:t>
      </w:r>
      <w:r w:rsidR="00D13546">
        <w:rPr>
          <w:rFonts w:cs="Times New Roman"/>
          <w:sz w:val="22"/>
        </w:rPr>
        <w:t>y may not only be limited to corporate</w:t>
      </w:r>
      <w:r w:rsidR="009939F8">
        <w:rPr>
          <w:rFonts w:cs="Times New Roman"/>
          <w:sz w:val="22"/>
        </w:rPr>
        <w:t xml:space="preserve"> boards</w:t>
      </w:r>
      <w:r w:rsidR="00D13546">
        <w:rPr>
          <w:rFonts w:cs="Times New Roman"/>
          <w:sz w:val="22"/>
        </w:rPr>
        <w:t>’</w:t>
      </w:r>
      <w:r w:rsidR="009939F8">
        <w:rPr>
          <w:rFonts w:cs="Times New Roman"/>
          <w:sz w:val="22"/>
        </w:rPr>
        <w:t xml:space="preserve"> ability to monitor the so-called opportunistic managers, but also how they are able to </w:t>
      </w:r>
      <w:r w:rsidR="00115423">
        <w:rPr>
          <w:rFonts w:cs="Times New Roman"/>
          <w:sz w:val="22"/>
        </w:rPr>
        <w:t xml:space="preserve">formally and informally </w:t>
      </w:r>
      <w:r w:rsidR="009939F8">
        <w:rPr>
          <w:rFonts w:cs="Times New Roman"/>
          <w:sz w:val="22"/>
        </w:rPr>
        <w:t xml:space="preserve">interact, </w:t>
      </w:r>
      <w:r w:rsidR="00115423">
        <w:rPr>
          <w:rFonts w:cs="Times New Roman"/>
          <w:sz w:val="22"/>
        </w:rPr>
        <w:t>relate, discuss and share ideas</w:t>
      </w:r>
      <w:r w:rsidR="002925B7">
        <w:rPr>
          <w:rFonts w:cs="Times New Roman"/>
          <w:sz w:val="22"/>
        </w:rPr>
        <w:t xml:space="preserve"> among themselves as a team. In this case and within the Omani corporate</w:t>
      </w:r>
      <w:r w:rsidR="003C3CA8">
        <w:rPr>
          <w:rFonts w:cs="Times New Roman"/>
          <w:sz w:val="22"/>
        </w:rPr>
        <w:t xml:space="preserve"> conext</w:t>
      </w:r>
      <w:r w:rsidR="002925B7">
        <w:rPr>
          <w:rFonts w:cs="Times New Roman"/>
          <w:sz w:val="22"/>
        </w:rPr>
        <w:t>, symbiotic relationship</w:t>
      </w:r>
      <w:r w:rsidR="00EC5612">
        <w:rPr>
          <w:rFonts w:cs="Times New Roman"/>
          <w:sz w:val="22"/>
        </w:rPr>
        <w:t>s</w:t>
      </w:r>
      <w:r w:rsidR="002925B7">
        <w:rPr>
          <w:rFonts w:cs="Times New Roman"/>
          <w:sz w:val="22"/>
        </w:rPr>
        <w:t xml:space="preserve"> in terms of thought, experiences,</w:t>
      </w:r>
      <w:r w:rsidR="00D13546">
        <w:rPr>
          <w:rFonts w:cs="Times New Roman"/>
          <w:sz w:val="22"/>
        </w:rPr>
        <w:t xml:space="preserve"> values </w:t>
      </w:r>
      <w:r w:rsidR="002925B7">
        <w:rPr>
          <w:rFonts w:cs="Times New Roman"/>
          <w:sz w:val="22"/>
        </w:rPr>
        <w:t>and beliefs, especially religious (Islamic) beliefs may play important role in creating cohesive and fruitful discussions among directors and consequently, improving the corporate decision-making process, including those relating to enhancing accountability, transparency and financial reporting</w:t>
      </w:r>
      <w:r w:rsidR="00D13546">
        <w:rPr>
          <w:rFonts w:cs="Times New Roman"/>
          <w:sz w:val="22"/>
        </w:rPr>
        <w:t xml:space="preserve"> quality.</w:t>
      </w:r>
      <w:r w:rsidR="002925B7">
        <w:rPr>
          <w:rFonts w:cs="Times New Roman"/>
          <w:sz w:val="22"/>
        </w:rPr>
        <w:t xml:space="preserve"> </w:t>
      </w:r>
      <w:r w:rsidR="0091471D">
        <w:rPr>
          <w:rFonts w:cs="Times New Roman"/>
          <w:sz w:val="22"/>
        </w:rPr>
        <w:t xml:space="preserve">We, therefore, suggest that one </w:t>
      </w:r>
      <w:r w:rsidR="00EC5612">
        <w:rPr>
          <w:rFonts w:cs="Times New Roman"/>
          <w:sz w:val="22"/>
        </w:rPr>
        <w:t xml:space="preserve">way </w:t>
      </w:r>
      <w:r w:rsidR="0091471D">
        <w:rPr>
          <w:rFonts w:cs="Times New Roman"/>
          <w:sz w:val="22"/>
        </w:rPr>
        <w:t xml:space="preserve">of explaining corporate decisions and practices, such as EM is to look into individual and corporate behaviours, including formal and informal interactions, processes, routines, beliefs, experiences and values. </w:t>
      </w:r>
    </w:p>
    <w:p w:rsidR="008A7405" w:rsidRPr="00CA07C3" w:rsidRDefault="00AF6496" w:rsidP="00C74863">
      <w:pPr>
        <w:spacing w:line="360" w:lineRule="auto"/>
        <w:ind w:firstLine="720"/>
        <w:jc w:val="both"/>
        <w:rPr>
          <w:rFonts w:cs="Times New Roman"/>
          <w:sz w:val="22"/>
        </w:rPr>
      </w:pPr>
      <w:r w:rsidRPr="00CA07C3">
        <w:rPr>
          <w:rFonts w:cs="Times New Roman"/>
          <w:sz w:val="22"/>
        </w:rPr>
        <w:t xml:space="preserve">Empirically, </w:t>
      </w:r>
      <w:r w:rsidR="0091471D">
        <w:rPr>
          <w:rFonts w:cs="Times New Roman"/>
          <w:sz w:val="22"/>
        </w:rPr>
        <w:t>a number of</w:t>
      </w:r>
      <w:r w:rsidRPr="00CA07C3">
        <w:rPr>
          <w:rFonts w:cs="Times New Roman"/>
          <w:sz w:val="22"/>
        </w:rPr>
        <w:t xml:space="preserve"> prior studies have provided some insights into the role of board</w:t>
      </w:r>
      <w:r w:rsidR="00C74863">
        <w:rPr>
          <w:rFonts w:cs="Times New Roman"/>
          <w:sz w:val="22"/>
        </w:rPr>
        <w:t xml:space="preserve"> size in mitigating EM</w:t>
      </w:r>
      <w:r w:rsidRPr="00CA07C3">
        <w:rPr>
          <w:rFonts w:cs="Times New Roman"/>
          <w:sz w:val="22"/>
        </w:rPr>
        <w:t xml:space="preserve">, </w:t>
      </w:r>
      <w:r w:rsidR="0091471D">
        <w:rPr>
          <w:rFonts w:cs="Times New Roman"/>
          <w:sz w:val="22"/>
        </w:rPr>
        <w:t xml:space="preserve">but </w:t>
      </w:r>
      <w:r w:rsidRPr="00CA07C3">
        <w:rPr>
          <w:rFonts w:cs="Times New Roman"/>
          <w:sz w:val="22"/>
        </w:rPr>
        <w:t xml:space="preserve">their results </w:t>
      </w:r>
      <w:r w:rsidR="00B2174D">
        <w:rPr>
          <w:rFonts w:cs="Times New Roman"/>
          <w:sz w:val="22"/>
        </w:rPr>
        <w:t>are not only highly</w:t>
      </w:r>
      <w:r w:rsidRPr="00CA07C3">
        <w:rPr>
          <w:rFonts w:cs="Times New Roman"/>
          <w:sz w:val="22"/>
        </w:rPr>
        <w:t xml:space="preserve"> mixed</w:t>
      </w:r>
      <w:r w:rsidR="0091471D">
        <w:rPr>
          <w:rFonts w:cs="Times New Roman"/>
          <w:sz w:val="22"/>
        </w:rPr>
        <w:t>, but also none (to the best of our knowledge) of them have examined it from a behavioural perspective</w:t>
      </w:r>
      <w:r w:rsidR="006753E4">
        <w:rPr>
          <w:rFonts w:cs="Times New Roman"/>
          <w:sz w:val="22"/>
        </w:rPr>
        <w:t xml:space="preserve"> and therefore, this offers genuine opportunities to contribute to the literature.</w:t>
      </w:r>
      <w:r w:rsidRPr="00CA07C3">
        <w:rPr>
          <w:rFonts w:cs="Times New Roman"/>
          <w:sz w:val="22"/>
        </w:rPr>
        <w:t xml:space="preserve"> </w:t>
      </w:r>
      <w:r w:rsidR="0091471D">
        <w:rPr>
          <w:rFonts w:cs="Times New Roman"/>
          <w:sz w:val="22"/>
        </w:rPr>
        <w:t>For example, a</w:t>
      </w:r>
      <w:r w:rsidRPr="00CA07C3">
        <w:rPr>
          <w:rFonts w:cs="Times New Roman"/>
          <w:sz w:val="22"/>
        </w:rPr>
        <w:t xml:space="preserve"> negative relationship </w:t>
      </w:r>
      <w:r w:rsidR="00D75B37" w:rsidRPr="00CA07C3">
        <w:rPr>
          <w:rFonts w:cs="Times New Roman"/>
          <w:sz w:val="22"/>
        </w:rPr>
        <w:t xml:space="preserve">between board size and EM </w:t>
      </w:r>
      <w:r w:rsidR="008A7405" w:rsidRPr="00CA07C3">
        <w:rPr>
          <w:rFonts w:cs="Times New Roman"/>
          <w:sz w:val="22"/>
        </w:rPr>
        <w:t xml:space="preserve">has been reported by Xie </w:t>
      </w:r>
      <w:r w:rsidR="008A7405" w:rsidRPr="00BD0005">
        <w:rPr>
          <w:rFonts w:cs="Times New Roman"/>
          <w:iCs/>
          <w:sz w:val="22"/>
        </w:rPr>
        <w:t>et al</w:t>
      </w:r>
      <w:r w:rsidR="008A7405" w:rsidRPr="00CA07C3">
        <w:rPr>
          <w:rFonts w:cs="Times New Roman"/>
          <w:iCs/>
          <w:sz w:val="22"/>
        </w:rPr>
        <w:t>.</w:t>
      </w:r>
      <w:r w:rsidR="008A7405" w:rsidRPr="00CA07C3">
        <w:rPr>
          <w:rFonts w:cs="Times New Roman"/>
          <w:sz w:val="22"/>
        </w:rPr>
        <w:t xml:space="preserve"> </w:t>
      </w:r>
      <w:r w:rsidR="00EC28EC">
        <w:rPr>
          <w:rFonts w:cs="Times New Roman"/>
          <w:sz w:val="22"/>
        </w:rPr>
        <w:t>(</w:t>
      </w:r>
      <w:r w:rsidR="008A7405" w:rsidRPr="00CA07C3">
        <w:rPr>
          <w:rFonts w:cs="Times New Roman"/>
          <w:sz w:val="22"/>
        </w:rPr>
        <w:t>2003</w:t>
      </w:r>
      <w:r w:rsidR="00EC28EC">
        <w:rPr>
          <w:rFonts w:cs="Times New Roman"/>
          <w:sz w:val="22"/>
        </w:rPr>
        <w:t>)</w:t>
      </w:r>
      <w:r w:rsidR="003B5202">
        <w:rPr>
          <w:rFonts w:cs="Times New Roman"/>
          <w:sz w:val="22"/>
        </w:rPr>
        <w:t xml:space="preserve"> and </w:t>
      </w:r>
      <w:r w:rsidR="008A7405" w:rsidRPr="00CA07C3">
        <w:rPr>
          <w:rFonts w:cs="Times New Roman"/>
          <w:sz w:val="22"/>
        </w:rPr>
        <w:t xml:space="preserve">Ghosh </w:t>
      </w:r>
      <w:r w:rsidR="008A7405" w:rsidRPr="00BD0005">
        <w:rPr>
          <w:rFonts w:cs="Times New Roman"/>
          <w:iCs/>
          <w:sz w:val="22"/>
        </w:rPr>
        <w:t>et al</w:t>
      </w:r>
      <w:r w:rsidR="008A7405" w:rsidRPr="00CA07C3">
        <w:rPr>
          <w:rFonts w:cs="Times New Roman"/>
          <w:iCs/>
          <w:sz w:val="22"/>
        </w:rPr>
        <w:t>.</w:t>
      </w:r>
      <w:r w:rsidR="003B5202">
        <w:rPr>
          <w:rFonts w:cs="Times New Roman"/>
          <w:sz w:val="22"/>
        </w:rPr>
        <w:t xml:space="preserve"> (</w:t>
      </w:r>
      <w:r w:rsidR="008A7405" w:rsidRPr="00CA07C3">
        <w:rPr>
          <w:rFonts w:cs="Times New Roman"/>
          <w:sz w:val="22"/>
        </w:rPr>
        <w:t>2010). In contrast</w:t>
      </w:r>
      <w:r w:rsidR="00EC28EC">
        <w:rPr>
          <w:rFonts w:cs="Times New Roman"/>
          <w:sz w:val="22"/>
        </w:rPr>
        <w:t xml:space="preserve">, </w:t>
      </w:r>
      <w:r w:rsidR="008A7405" w:rsidRPr="00CA07C3">
        <w:rPr>
          <w:rFonts w:cs="Times New Roman"/>
          <w:sz w:val="22"/>
        </w:rPr>
        <w:t>Rahama</w:t>
      </w:r>
      <w:r w:rsidR="00D72F09">
        <w:rPr>
          <w:rFonts w:cs="Times New Roman"/>
          <w:sz w:val="22"/>
        </w:rPr>
        <w:t>n</w:t>
      </w:r>
      <w:r w:rsidR="008A7405" w:rsidRPr="00CA07C3">
        <w:rPr>
          <w:rFonts w:cs="Times New Roman"/>
          <w:sz w:val="22"/>
        </w:rPr>
        <w:t xml:space="preserve"> and Ali </w:t>
      </w:r>
      <w:r w:rsidR="00EC28EC">
        <w:rPr>
          <w:rFonts w:cs="Times New Roman"/>
          <w:sz w:val="22"/>
        </w:rPr>
        <w:t>(</w:t>
      </w:r>
      <w:r w:rsidR="00D72F09">
        <w:rPr>
          <w:rFonts w:cs="Times New Roman"/>
          <w:sz w:val="22"/>
        </w:rPr>
        <w:t>2006</w:t>
      </w:r>
      <w:r w:rsidR="00EC28EC">
        <w:rPr>
          <w:rFonts w:cs="Times New Roman"/>
          <w:sz w:val="22"/>
        </w:rPr>
        <w:t>),</w:t>
      </w:r>
      <w:r w:rsidR="00D72F09">
        <w:rPr>
          <w:rFonts w:cs="Times New Roman"/>
          <w:sz w:val="22"/>
        </w:rPr>
        <w:t xml:space="preserve"> Epps </w:t>
      </w:r>
      <w:r w:rsidR="0044418A">
        <w:rPr>
          <w:rFonts w:cs="Times New Roman"/>
          <w:sz w:val="22"/>
        </w:rPr>
        <w:t>and</w:t>
      </w:r>
      <w:r w:rsidR="00D72F09">
        <w:rPr>
          <w:rFonts w:cs="Times New Roman"/>
          <w:sz w:val="22"/>
        </w:rPr>
        <w:t xml:space="preserve"> Ismail </w:t>
      </w:r>
      <w:r w:rsidR="00EC28EC">
        <w:rPr>
          <w:rFonts w:cs="Times New Roman"/>
          <w:sz w:val="22"/>
        </w:rPr>
        <w:t>(</w:t>
      </w:r>
      <w:r w:rsidR="00D72F09">
        <w:rPr>
          <w:rFonts w:cs="Times New Roman"/>
          <w:sz w:val="22"/>
        </w:rPr>
        <w:t>2009</w:t>
      </w:r>
      <w:r w:rsidR="00EC28EC">
        <w:rPr>
          <w:rFonts w:cs="Times New Roman"/>
          <w:sz w:val="22"/>
        </w:rPr>
        <w:t>) and</w:t>
      </w:r>
      <w:r w:rsidR="00D72F09">
        <w:rPr>
          <w:rFonts w:cs="Times New Roman"/>
          <w:sz w:val="22"/>
        </w:rPr>
        <w:t xml:space="preserve"> Al</w:t>
      </w:r>
      <w:r w:rsidR="00B259B7" w:rsidRPr="00CA07C3">
        <w:rPr>
          <w:rFonts w:cs="Times New Roman"/>
          <w:sz w:val="22"/>
        </w:rPr>
        <w:t>v</w:t>
      </w:r>
      <w:r w:rsidR="00D72F09">
        <w:rPr>
          <w:rFonts w:cs="Times New Roman"/>
          <w:sz w:val="22"/>
        </w:rPr>
        <w:t>e</w:t>
      </w:r>
      <w:r w:rsidR="008A7405" w:rsidRPr="00CA07C3">
        <w:rPr>
          <w:rFonts w:cs="Times New Roman"/>
          <w:sz w:val="22"/>
        </w:rPr>
        <w:t xml:space="preserve">s </w:t>
      </w:r>
      <w:r w:rsidR="00EC28EC">
        <w:rPr>
          <w:rFonts w:cs="Times New Roman"/>
          <w:sz w:val="22"/>
        </w:rPr>
        <w:t>(</w:t>
      </w:r>
      <w:r w:rsidR="008A7405" w:rsidRPr="00CA07C3">
        <w:rPr>
          <w:rFonts w:cs="Times New Roman"/>
          <w:sz w:val="22"/>
        </w:rPr>
        <w:t xml:space="preserve">2012) offer empirical evidence </w:t>
      </w:r>
      <w:r w:rsidR="00EC28EC">
        <w:rPr>
          <w:rFonts w:cs="Times New Roman"/>
          <w:sz w:val="22"/>
        </w:rPr>
        <w:t xml:space="preserve">that suggests </w:t>
      </w:r>
      <w:r w:rsidR="008A7405" w:rsidRPr="00CA07C3">
        <w:rPr>
          <w:rFonts w:cs="Times New Roman"/>
          <w:sz w:val="22"/>
        </w:rPr>
        <w:t>that board size has a positiv</w:t>
      </w:r>
      <w:r w:rsidR="00C74863">
        <w:rPr>
          <w:rFonts w:cs="Times New Roman"/>
          <w:sz w:val="22"/>
        </w:rPr>
        <w:t>e relationship with EM</w:t>
      </w:r>
      <w:r w:rsidR="008A7405" w:rsidRPr="00CA07C3">
        <w:rPr>
          <w:rFonts w:cs="Times New Roman"/>
          <w:sz w:val="22"/>
        </w:rPr>
        <w:t xml:space="preserve">. Following the </w:t>
      </w:r>
      <w:r w:rsidR="00A40E83" w:rsidRPr="00CA07C3">
        <w:rPr>
          <w:rFonts w:cs="Times New Roman"/>
          <w:sz w:val="22"/>
        </w:rPr>
        <w:t>mixed empirical and theoretical</w:t>
      </w:r>
      <w:r w:rsidR="008A7405" w:rsidRPr="00CA07C3">
        <w:rPr>
          <w:rFonts w:cs="Times New Roman"/>
          <w:sz w:val="22"/>
        </w:rPr>
        <w:t xml:space="preserve"> </w:t>
      </w:r>
      <w:r w:rsidR="00A40E83" w:rsidRPr="00CA07C3">
        <w:rPr>
          <w:rFonts w:cs="Times New Roman"/>
          <w:sz w:val="22"/>
        </w:rPr>
        <w:t>suggestions, we predict a significant relationship between board size and EM without specifying the direction of the coefficient.</w:t>
      </w:r>
      <w:r w:rsidR="008A7405" w:rsidRPr="00CA07C3">
        <w:rPr>
          <w:rFonts w:cs="Times New Roman"/>
          <w:sz w:val="22"/>
        </w:rPr>
        <w:t xml:space="preserve"> </w:t>
      </w:r>
      <w:r w:rsidR="00A40E83" w:rsidRPr="00CA07C3">
        <w:rPr>
          <w:rFonts w:cs="Times New Roman"/>
          <w:sz w:val="22"/>
        </w:rPr>
        <w:t>T</w:t>
      </w:r>
      <w:r w:rsidR="008A7405" w:rsidRPr="00CA07C3">
        <w:rPr>
          <w:rFonts w:cs="Times New Roman"/>
          <w:sz w:val="22"/>
        </w:rPr>
        <w:t>he</w:t>
      </w:r>
      <w:r w:rsidR="00A40E83" w:rsidRPr="00CA07C3">
        <w:rPr>
          <w:rFonts w:cs="Times New Roman"/>
          <w:sz w:val="22"/>
        </w:rPr>
        <w:t>refore, the</w:t>
      </w:r>
      <w:r w:rsidR="00C74863">
        <w:rPr>
          <w:rFonts w:cs="Times New Roman"/>
          <w:sz w:val="22"/>
        </w:rPr>
        <w:t xml:space="preserve"> </w:t>
      </w:r>
      <w:r w:rsidR="00EC28EC">
        <w:rPr>
          <w:rFonts w:cs="Times New Roman"/>
          <w:sz w:val="22"/>
        </w:rPr>
        <w:t>third</w:t>
      </w:r>
      <w:r w:rsidR="008A7405" w:rsidRPr="00CA07C3">
        <w:rPr>
          <w:rFonts w:cs="Times New Roman"/>
          <w:sz w:val="22"/>
        </w:rPr>
        <w:t xml:space="preserve"> hypothesis proposed in this paper is</w:t>
      </w:r>
      <w:r w:rsidR="0089500A">
        <w:rPr>
          <w:rFonts w:cs="Times New Roman"/>
          <w:sz w:val="22"/>
        </w:rPr>
        <w:t xml:space="preserve"> that</w:t>
      </w:r>
      <w:r w:rsidR="008A7405" w:rsidRPr="00CA07C3">
        <w:rPr>
          <w:rFonts w:cs="Times New Roman"/>
          <w:sz w:val="22"/>
        </w:rPr>
        <w:t>:</w:t>
      </w:r>
    </w:p>
    <w:p w:rsidR="00135C30" w:rsidRDefault="00BF0CB1" w:rsidP="00135C30">
      <w:pPr>
        <w:spacing w:line="360" w:lineRule="auto"/>
        <w:ind w:left="862"/>
        <w:jc w:val="both"/>
        <w:rPr>
          <w:rFonts w:cs="Times New Roman"/>
          <w:sz w:val="22"/>
        </w:rPr>
      </w:pPr>
      <w:r w:rsidRPr="00A602F6">
        <w:rPr>
          <w:rFonts w:cs="Times New Roman"/>
          <w:b/>
          <w:i/>
          <w:sz w:val="22"/>
        </w:rPr>
        <w:t>H</w:t>
      </w:r>
      <w:r w:rsidR="00BE4B8A" w:rsidRPr="00A602F6">
        <w:rPr>
          <w:rFonts w:cs="Times New Roman"/>
          <w:b/>
          <w:i/>
          <w:sz w:val="22"/>
        </w:rPr>
        <w:t>3</w:t>
      </w:r>
      <w:r w:rsidR="00A602F6" w:rsidRPr="00A602F6">
        <w:rPr>
          <w:rFonts w:cs="Times New Roman"/>
          <w:b/>
          <w:sz w:val="22"/>
        </w:rPr>
        <w:t>.</w:t>
      </w:r>
      <w:r w:rsidRPr="00CA07C3">
        <w:rPr>
          <w:rFonts w:cs="Times New Roman"/>
          <w:sz w:val="22"/>
        </w:rPr>
        <w:t xml:space="preserve"> </w:t>
      </w:r>
      <w:r w:rsidRPr="00CA07C3">
        <w:rPr>
          <w:rFonts w:cs="Times New Roman"/>
          <w:i/>
          <w:sz w:val="22"/>
        </w:rPr>
        <w:t xml:space="preserve">There is </w:t>
      </w:r>
      <w:r w:rsidR="00475873">
        <w:rPr>
          <w:rFonts w:cs="Times New Roman"/>
          <w:i/>
          <w:sz w:val="22"/>
        </w:rPr>
        <w:t>a</w:t>
      </w:r>
      <w:r w:rsidRPr="00CA07C3">
        <w:rPr>
          <w:rFonts w:cs="Times New Roman"/>
          <w:i/>
          <w:sz w:val="22"/>
        </w:rPr>
        <w:t xml:space="preserve"> association between board size and firm EM pra</w:t>
      </w:r>
      <w:r w:rsidR="00475873">
        <w:rPr>
          <w:rFonts w:cs="Times New Roman"/>
          <w:i/>
          <w:sz w:val="22"/>
        </w:rPr>
        <w:t>c</w:t>
      </w:r>
      <w:r w:rsidRPr="00CA07C3">
        <w:rPr>
          <w:rFonts w:cs="Times New Roman"/>
          <w:i/>
          <w:sz w:val="22"/>
        </w:rPr>
        <w:t>tices</w:t>
      </w:r>
      <w:r w:rsidRPr="00CA07C3">
        <w:rPr>
          <w:rFonts w:cs="Times New Roman"/>
          <w:sz w:val="22"/>
        </w:rPr>
        <w:t>.</w:t>
      </w:r>
    </w:p>
    <w:p w:rsidR="00A10607" w:rsidRPr="00135C30" w:rsidRDefault="00A10607" w:rsidP="00135C30">
      <w:pPr>
        <w:spacing w:line="360" w:lineRule="auto"/>
        <w:ind w:left="862"/>
        <w:jc w:val="both"/>
        <w:rPr>
          <w:rFonts w:cs="Times New Roman"/>
          <w:sz w:val="22"/>
        </w:rPr>
      </w:pPr>
    </w:p>
    <w:p w:rsidR="00135C30" w:rsidRPr="00330DD3" w:rsidRDefault="00952D49" w:rsidP="00330DD3">
      <w:pPr>
        <w:rPr>
          <w:i/>
          <w:sz w:val="22"/>
        </w:rPr>
      </w:pPr>
      <w:bookmarkStart w:id="9" w:name="_Toc383249597"/>
      <w:r>
        <w:rPr>
          <w:i/>
          <w:sz w:val="22"/>
        </w:rPr>
        <w:t>4.3</w:t>
      </w:r>
      <w:r w:rsidR="00330DD3" w:rsidRPr="00330DD3">
        <w:rPr>
          <w:i/>
          <w:sz w:val="22"/>
        </w:rPr>
        <w:t xml:space="preserve"> </w:t>
      </w:r>
      <w:r w:rsidR="00135C30" w:rsidRPr="00330DD3">
        <w:rPr>
          <w:i/>
          <w:sz w:val="22"/>
        </w:rPr>
        <w:t>Audit firm size (BIG4)</w:t>
      </w:r>
      <w:bookmarkEnd w:id="9"/>
      <w:r w:rsidR="00135C30" w:rsidRPr="00330DD3">
        <w:rPr>
          <w:i/>
          <w:sz w:val="22"/>
        </w:rPr>
        <w:t xml:space="preserve"> </w:t>
      </w:r>
      <w:r w:rsidR="00A602F6" w:rsidRPr="00330DD3">
        <w:rPr>
          <w:i/>
          <w:sz w:val="22"/>
        </w:rPr>
        <w:t>and earnings management</w:t>
      </w:r>
    </w:p>
    <w:p w:rsidR="00A10607" w:rsidRDefault="00A10607" w:rsidP="006B2434">
      <w:pPr>
        <w:ind w:firstLine="720"/>
        <w:jc w:val="both"/>
        <w:rPr>
          <w:rFonts w:cs="Times New Roman"/>
          <w:sz w:val="22"/>
        </w:rPr>
      </w:pPr>
    </w:p>
    <w:p w:rsidR="00CC4FED" w:rsidRDefault="00135C30" w:rsidP="00135C30">
      <w:pPr>
        <w:spacing w:line="360" w:lineRule="auto"/>
        <w:ind w:firstLine="720"/>
        <w:jc w:val="both"/>
        <w:rPr>
          <w:rFonts w:cs="Times New Roman"/>
          <w:sz w:val="22"/>
        </w:rPr>
      </w:pPr>
      <w:r w:rsidRPr="00CA07C3">
        <w:rPr>
          <w:rFonts w:cs="Times New Roman"/>
          <w:sz w:val="22"/>
        </w:rPr>
        <w:t>Accounting scandals, such as Enron</w:t>
      </w:r>
      <w:r w:rsidR="00EC28EC">
        <w:rPr>
          <w:rFonts w:cs="Times New Roman"/>
          <w:sz w:val="22"/>
        </w:rPr>
        <w:t xml:space="preserve"> and WorldCom</w:t>
      </w:r>
      <w:r w:rsidRPr="00CA07C3">
        <w:rPr>
          <w:rFonts w:cs="Times New Roman"/>
          <w:sz w:val="22"/>
        </w:rPr>
        <w:t>, emphasise the crucial role of audit quality, where an external auditor’s ability to professionally monitor managers by verifying financial statements is influenced by his/her</w:t>
      </w:r>
      <w:r w:rsidR="002401F2">
        <w:rPr>
          <w:rFonts w:cs="Times New Roman"/>
          <w:sz w:val="22"/>
        </w:rPr>
        <w:t xml:space="preserve"> qualities</w:t>
      </w:r>
      <w:r w:rsidRPr="00CA07C3">
        <w:rPr>
          <w:rFonts w:cs="Times New Roman"/>
          <w:sz w:val="22"/>
        </w:rPr>
        <w:t xml:space="preserve">. </w:t>
      </w:r>
      <w:r w:rsidR="00B47300">
        <w:rPr>
          <w:rFonts w:cs="Times New Roman"/>
          <w:sz w:val="22"/>
        </w:rPr>
        <w:t xml:space="preserve">One argument </w:t>
      </w:r>
      <w:r w:rsidR="00084AF7">
        <w:rPr>
          <w:rFonts w:cs="Times New Roman"/>
          <w:sz w:val="22"/>
        </w:rPr>
        <w:t xml:space="preserve">rooted in rational economics </w:t>
      </w:r>
      <w:r w:rsidR="00B47300">
        <w:rPr>
          <w:rFonts w:cs="Times New Roman"/>
          <w:sz w:val="22"/>
        </w:rPr>
        <w:t>is</w:t>
      </w:r>
      <w:r w:rsidRPr="00CA07C3">
        <w:rPr>
          <w:rFonts w:cs="Times New Roman"/>
          <w:sz w:val="22"/>
        </w:rPr>
        <w:t xml:space="preserve"> that large audit firms have </w:t>
      </w:r>
      <w:r w:rsidR="00216008">
        <w:rPr>
          <w:rFonts w:cs="Times New Roman"/>
          <w:sz w:val="22"/>
        </w:rPr>
        <w:t>diverse set of</w:t>
      </w:r>
      <w:r w:rsidRPr="00CA07C3">
        <w:rPr>
          <w:rFonts w:cs="Times New Roman"/>
          <w:sz w:val="22"/>
        </w:rPr>
        <w:t xml:space="preserve"> </w:t>
      </w:r>
      <w:r w:rsidR="002401F2">
        <w:rPr>
          <w:rFonts w:cs="Times New Roman"/>
          <w:sz w:val="22"/>
        </w:rPr>
        <w:t>skills, experiences, expertise, knowledge</w:t>
      </w:r>
      <w:r w:rsidR="002401F2" w:rsidRPr="00CA07C3">
        <w:rPr>
          <w:rFonts w:cs="Times New Roman"/>
          <w:sz w:val="22"/>
        </w:rPr>
        <w:t xml:space="preserve"> </w:t>
      </w:r>
      <w:r w:rsidRPr="00CA07C3">
        <w:rPr>
          <w:rFonts w:cs="Times New Roman"/>
          <w:sz w:val="22"/>
        </w:rPr>
        <w:t xml:space="preserve">and </w:t>
      </w:r>
      <w:r w:rsidR="002401F2">
        <w:rPr>
          <w:rFonts w:cs="Times New Roman"/>
          <w:sz w:val="22"/>
        </w:rPr>
        <w:t xml:space="preserve">financial </w:t>
      </w:r>
      <w:r w:rsidRPr="00CA07C3">
        <w:rPr>
          <w:rFonts w:cs="Times New Roman"/>
          <w:sz w:val="22"/>
        </w:rPr>
        <w:t>resources</w:t>
      </w:r>
      <w:r w:rsidR="002401F2">
        <w:rPr>
          <w:rFonts w:cs="Times New Roman"/>
          <w:sz w:val="22"/>
        </w:rPr>
        <w:t xml:space="preserve">, including information processing </w:t>
      </w:r>
      <w:r w:rsidR="002401F2" w:rsidRPr="00CA07C3">
        <w:rPr>
          <w:rFonts w:cs="Times New Roman"/>
          <w:sz w:val="22"/>
        </w:rPr>
        <w:t>capabilit</w:t>
      </w:r>
      <w:r w:rsidR="002401F2">
        <w:rPr>
          <w:rFonts w:cs="Times New Roman"/>
          <w:sz w:val="22"/>
        </w:rPr>
        <w:t>ies</w:t>
      </w:r>
      <w:r w:rsidRPr="00CA07C3">
        <w:rPr>
          <w:rFonts w:cs="Times New Roman"/>
          <w:sz w:val="22"/>
        </w:rPr>
        <w:t xml:space="preserve"> to provide high-quality audits</w:t>
      </w:r>
      <w:r w:rsidR="007D61C0">
        <w:rPr>
          <w:rFonts w:cs="Times New Roman"/>
          <w:sz w:val="22"/>
        </w:rPr>
        <w:t xml:space="preserve"> </w:t>
      </w:r>
      <w:r w:rsidR="002401F2">
        <w:rPr>
          <w:rFonts w:cs="Times New Roman"/>
          <w:sz w:val="22"/>
        </w:rPr>
        <w:t>than their smaller counterparts</w:t>
      </w:r>
      <w:r w:rsidR="00B47300">
        <w:rPr>
          <w:rFonts w:cs="Times New Roman"/>
          <w:sz w:val="22"/>
        </w:rPr>
        <w:t xml:space="preserve"> </w:t>
      </w:r>
      <w:r w:rsidR="00B47300" w:rsidRPr="00CA07C3">
        <w:rPr>
          <w:rFonts w:cs="Times New Roman"/>
          <w:sz w:val="22"/>
        </w:rPr>
        <w:t xml:space="preserve">(e.g., DeAngelo, 1981; Owusu-Ansah, 1998; Uang </w:t>
      </w:r>
      <w:r w:rsidR="00B47300" w:rsidRPr="007D61C0">
        <w:rPr>
          <w:rFonts w:cs="Times New Roman"/>
          <w:iCs/>
          <w:sz w:val="22"/>
        </w:rPr>
        <w:t>et al</w:t>
      </w:r>
      <w:r w:rsidR="00B47300" w:rsidRPr="00CA07C3">
        <w:rPr>
          <w:rFonts w:cs="Times New Roman"/>
          <w:i/>
          <w:iCs/>
          <w:sz w:val="22"/>
        </w:rPr>
        <w:t>.</w:t>
      </w:r>
      <w:r w:rsidR="00B47300" w:rsidRPr="00CA07C3">
        <w:rPr>
          <w:rFonts w:cs="Times New Roman"/>
          <w:sz w:val="22"/>
        </w:rPr>
        <w:t>, 2006)</w:t>
      </w:r>
      <w:r w:rsidRPr="00CA07C3">
        <w:rPr>
          <w:rFonts w:cs="Times New Roman"/>
          <w:sz w:val="22"/>
        </w:rPr>
        <w:t xml:space="preserve">. </w:t>
      </w:r>
      <w:r w:rsidR="002401F2">
        <w:rPr>
          <w:rFonts w:cs="Times New Roman"/>
          <w:sz w:val="22"/>
        </w:rPr>
        <w:t xml:space="preserve"> Additionally, larger audit firms have higher reputation to protect compared with smaller audit firms, and thus have a lot to loose in case of post-audit detection of financial reporting irregularities, such as incidences of EM. </w:t>
      </w:r>
      <w:r w:rsidR="00F6696C">
        <w:rPr>
          <w:rFonts w:cs="Times New Roman"/>
          <w:sz w:val="22"/>
        </w:rPr>
        <w:t xml:space="preserve">Larger audit firms are, therefore, able to </w:t>
      </w:r>
      <w:r w:rsidR="00A039A2">
        <w:rPr>
          <w:rFonts w:cs="Times New Roman"/>
          <w:sz w:val="22"/>
        </w:rPr>
        <w:t>engage in effective audit negotiations, as well as c</w:t>
      </w:r>
      <w:r w:rsidR="00F6696C">
        <w:rPr>
          <w:rFonts w:cs="Times New Roman"/>
          <w:sz w:val="22"/>
        </w:rPr>
        <w:t>hallenge</w:t>
      </w:r>
      <w:r w:rsidR="00A039A2">
        <w:rPr>
          <w:rFonts w:cs="Times New Roman"/>
          <w:sz w:val="22"/>
        </w:rPr>
        <w:t xml:space="preserve"> managerial decisions relating to a wide range of accounting transactions and treatments, and thereby able to expose financial reporting irregularities. </w:t>
      </w:r>
      <w:r w:rsidR="00F6696C">
        <w:rPr>
          <w:rFonts w:cs="Times New Roman"/>
          <w:sz w:val="22"/>
        </w:rPr>
        <w:t xml:space="preserve"> Together, </w:t>
      </w:r>
      <w:r w:rsidR="00A039A2">
        <w:rPr>
          <w:rFonts w:cs="Times New Roman"/>
          <w:sz w:val="22"/>
        </w:rPr>
        <w:t xml:space="preserve">these suggest that </w:t>
      </w:r>
      <w:r w:rsidR="00F6696C">
        <w:rPr>
          <w:rFonts w:cs="Times New Roman"/>
          <w:sz w:val="22"/>
        </w:rPr>
        <w:t>managers</w:t>
      </w:r>
      <w:r w:rsidR="00A039A2">
        <w:rPr>
          <w:rFonts w:cs="Times New Roman"/>
          <w:sz w:val="22"/>
        </w:rPr>
        <w:t xml:space="preserve"> electing to be audited by larger audit firms are lesss likely to engage in EM compared to those audited by smaller audit firms, and therefore a</w:t>
      </w:r>
      <w:r w:rsidRPr="00CA07C3">
        <w:rPr>
          <w:rFonts w:cs="Times New Roman"/>
          <w:sz w:val="22"/>
        </w:rPr>
        <w:t xml:space="preserve"> negative relationship between audi</w:t>
      </w:r>
      <w:r>
        <w:rPr>
          <w:rFonts w:cs="Times New Roman"/>
          <w:sz w:val="22"/>
        </w:rPr>
        <w:t>t firm size and EM</w:t>
      </w:r>
      <w:r w:rsidR="007D61C0">
        <w:rPr>
          <w:rFonts w:cs="Times New Roman"/>
          <w:sz w:val="22"/>
        </w:rPr>
        <w:t xml:space="preserve"> can be expected</w:t>
      </w:r>
      <w:r>
        <w:rPr>
          <w:rFonts w:cs="Times New Roman"/>
          <w:sz w:val="22"/>
        </w:rPr>
        <w:t xml:space="preserve">. </w:t>
      </w:r>
    </w:p>
    <w:p w:rsidR="00EC28EC" w:rsidRDefault="00A039A2" w:rsidP="00135C30">
      <w:pPr>
        <w:spacing w:line="360" w:lineRule="auto"/>
        <w:ind w:firstLine="720"/>
        <w:jc w:val="both"/>
        <w:rPr>
          <w:rFonts w:cs="Times New Roman"/>
          <w:sz w:val="22"/>
        </w:rPr>
      </w:pPr>
      <w:r>
        <w:rPr>
          <w:rFonts w:cs="Times New Roman"/>
          <w:sz w:val="22"/>
        </w:rPr>
        <w:t>However</w:t>
      </w:r>
      <w:r w:rsidR="006753E4">
        <w:rPr>
          <w:rFonts w:cs="Times New Roman"/>
          <w:sz w:val="22"/>
        </w:rPr>
        <w:t xml:space="preserve">, these agency theoretic </w:t>
      </w:r>
      <w:r w:rsidR="007130C1">
        <w:rPr>
          <w:rFonts w:cs="Times New Roman"/>
          <w:sz w:val="22"/>
        </w:rPr>
        <w:t>assumptions do not take into consideration the fact that auditors ability to make such</w:t>
      </w:r>
      <w:r w:rsidR="00DA2C75">
        <w:rPr>
          <w:rFonts w:cs="Times New Roman"/>
          <w:sz w:val="22"/>
        </w:rPr>
        <w:t xml:space="preserve"> rational decisions are limited (cognitively) and that auditors may not always be able to secure optimal solutions. T</w:t>
      </w:r>
      <w:r w:rsidR="00611EA5">
        <w:rPr>
          <w:rFonts w:cs="Times New Roman"/>
          <w:sz w:val="22"/>
        </w:rPr>
        <w:t>his is particularly important for auditing because due to information processing limitations, auditors often select a sample of accounting transactions and treatments</w:t>
      </w:r>
      <w:r w:rsidR="0040265E">
        <w:rPr>
          <w:rFonts w:cs="Times New Roman"/>
          <w:sz w:val="22"/>
        </w:rPr>
        <w:t xml:space="preserve"> </w:t>
      </w:r>
      <w:r w:rsidR="00611EA5">
        <w:rPr>
          <w:rFonts w:cs="Times New Roman"/>
          <w:sz w:val="22"/>
        </w:rPr>
        <w:t xml:space="preserve"> in order</w:t>
      </w:r>
      <w:r w:rsidR="007D61C0">
        <w:rPr>
          <w:rFonts w:cs="Times New Roman"/>
          <w:sz w:val="22"/>
        </w:rPr>
        <w:t xml:space="preserve"> to test the accuracy of an</w:t>
      </w:r>
      <w:r w:rsidR="00611EA5">
        <w:rPr>
          <w:rFonts w:cs="Times New Roman"/>
          <w:sz w:val="22"/>
        </w:rPr>
        <w:t xml:space="preserve"> </w:t>
      </w:r>
      <w:r w:rsidR="007D61C0">
        <w:rPr>
          <w:rFonts w:cs="Times New Roman"/>
          <w:sz w:val="22"/>
        </w:rPr>
        <w:t xml:space="preserve">entire </w:t>
      </w:r>
      <w:r w:rsidR="00611EA5">
        <w:rPr>
          <w:rFonts w:cs="Times New Roman"/>
          <w:sz w:val="22"/>
        </w:rPr>
        <w:t>accounting system</w:t>
      </w:r>
      <w:r w:rsidR="007D61C0">
        <w:rPr>
          <w:rFonts w:cs="Times New Roman"/>
          <w:sz w:val="22"/>
        </w:rPr>
        <w:t xml:space="preserve"> of a corporation</w:t>
      </w:r>
      <w:r w:rsidR="00611EA5">
        <w:rPr>
          <w:rFonts w:cs="Times New Roman"/>
          <w:sz w:val="22"/>
        </w:rPr>
        <w:t xml:space="preserve">, as well as in forming a satisfactory audit opinion regarding the true and fair view of the underlying accounting treatments and transactions. </w:t>
      </w:r>
      <w:r w:rsidR="0040265E">
        <w:rPr>
          <w:rFonts w:cs="Times New Roman"/>
          <w:sz w:val="22"/>
        </w:rPr>
        <w:t>Such satisficing audit decisions and opinions are often made by auditors based on their formal and informal experiences, beliefs, knowledge and value</w:t>
      </w:r>
      <w:r w:rsidR="0029229E">
        <w:rPr>
          <w:rFonts w:cs="Times New Roman"/>
          <w:sz w:val="22"/>
        </w:rPr>
        <w:t>s</w:t>
      </w:r>
      <w:r w:rsidR="0040265E">
        <w:rPr>
          <w:rFonts w:cs="Times New Roman"/>
          <w:sz w:val="22"/>
        </w:rPr>
        <w:t>, which are usually rooted in a well established personal and corporate rules, processes, procedures and routines.</w:t>
      </w:r>
      <w:r w:rsidR="00F41C2F">
        <w:rPr>
          <w:rFonts w:cs="Times New Roman"/>
          <w:sz w:val="22"/>
        </w:rPr>
        <w:t xml:space="preserve"> We, therefore, suggest that behavioural theory offers a promising way of explaining why corporate decisions may sometimes deviate from optimal, such as failing to identify financial reporting irregularities</w:t>
      </w:r>
      <w:r w:rsidR="005F307E">
        <w:rPr>
          <w:rFonts w:cs="Times New Roman"/>
          <w:sz w:val="22"/>
        </w:rPr>
        <w:t>/EM</w:t>
      </w:r>
      <w:r w:rsidR="00F41C2F">
        <w:rPr>
          <w:rFonts w:cs="Times New Roman"/>
          <w:sz w:val="22"/>
        </w:rPr>
        <w:t xml:space="preserve"> without necessarily assuming rational opportunistic behaviour of corporate actors and stakeholders.</w:t>
      </w:r>
      <w:r w:rsidR="0040265E">
        <w:rPr>
          <w:rFonts w:cs="Times New Roman"/>
          <w:sz w:val="22"/>
        </w:rPr>
        <w:t xml:space="preserve"> </w:t>
      </w:r>
      <w:r w:rsidR="00611EA5">
        <w:rPr>
          <w:rFonts w:cs="Times New Roman"/>
          <w:sz w:val="22"/>
        </w:rPr>
        <w:t xml:space="preserve"> </w:t>
      </w:r>
    </w:p>
    <w:p w:rsidR="00135C30" w:rsidRPr="00CA07C3" w:rsidRDefault="00135C30" w:rsidP="00135C30">
      <w:pPr>
        <w:spacing w:line="360" w:lineRule="auto"/>
        <w:ind w:firstLine="720"/>
        <w:jc w:val="both"/>
        <w:rPr>
          <w:rFonts w:cs="Times New Roman"/>
          <w:sz w:val="22"/>
        </w:rPr>
      </w:pPr>
      <w:r w:rsidRPr="00CA07C3">
        <w:rPr>
          <w:rFonts w:cs="Times New Roman"/>
          <w:sz w:val="22"/>
        </w:rPr>
        <w:t xml:space="preserve">Empirically, </w:t>
      </w:r>
      <w:r w:rsidR="00F41C2F">
        <w:rPr>
          <w:rFonts w:cs="Times New Roman"/>
          <w:sz w:val="22"/>
        </w:rPr>
        <w:t xml:space="preserve">studies examining the association between audit firm size and EM practices are rare, although </w:t>
      </w:r>
      <w:r w:rsidRPr="00CA07C3">
        <w:rPr>
          <w:rFonts w:cs="Times New Roman"/>
          <w:sz w:val="22"/>
        </w:rPr>
        <w:t xml:space="preserve">a negative relationship has been reported by a </w:t>
      </w:r>
      <w:r w:rsidR="00F41C2F">
        <w:rPr>
          <w:rFonts w:cs="Times New Roman"/>
          <w:sz w:val="22"/>
        </w:rPr>
        <w:t>few previous</w:t>
      </w:r>
      <w:r w:rsidRPr="00CA07C3">
        <w:rPr>
          <w:rFonts w:cs="Times New Roman"/>
          <w:sz w:val="22"/>
        </w:rPr>
        <w:t xml:space="preserve"> studies (e.g., Chia </w:t>
      </w:r>
      <w:r w:rsidRPr="00BD0005">
        <w:rPr>
          <w:rFonts w:cs="Times New Roman"/>
          <w:iCs/>
          <w:sz w:val="22"/>
        </w:rPr>
        <w:t>et al</w:t>
      </w:r>
      <w:r w:rsidRPr="00CA07C3">
        <w:rPr>
          <w:rFonts w:cs="Times New Roman"/>
          <w:iCs/>
          <w:sz w:val="22"/>
        </w:rPr>
        <w:t>.</w:t>
      </w:r>
      <w:r w:rsidRPr="00CA07C3">
        <w:rPr>
          <w:rFonts w:cs="Times New Roman"/>
          <w:sz w:val="22"/>
        </w:rPr>
        <w:t xml:space="preserve">, 2007; Francis </w:t>
      </w:r>
      <w:r w:rsidR="00FD3E09">
        <w:rPr>
          <w:rFonts w:cs="Times New Roman"/>
          <w:sz w:val="22"/>
        </w:rPr>
        <w:t>&amp;</w:t>
      </w:r>
      <w:r w:rsidRPr="00CA07C3">
        <w:rPr>
          <w:rFonts w:cs="Times New Roman"/>
          <w:sz w:val="22"/>
        </w:rPr>
        <w:t xml:space="preserve"> Wang, 2008; Kent </w:t>
      </w:r>
      <w:r w:rsidRPr="00BD0005">
        <w:rPr>
          <w:rFonts w:cs="Times New Roman"/>
          <w:iCs/>
          <w:sz w:val="22"/>
        </w:rPr>
        <w:t>et al.</w:t>
      </w:r>
      <w:r w:rsidRPr="00BD0005">
        <w:rPr>
          <w:rFonts w:cs="Times New Roman"/>
          <w:sz w:val="22"/>
        </w:rPr>
        <w:t>,</w:t>
      </w:r>
      <w:r w:rsidRPr="00CA07C3">
        <w:rPr>
          <w:rFonts w:cs="Times New Roman"/>
          <w:sz w:val="22"/>
        </w:rPr>
        <w:t xml:space="preserve"> 2010; Iatr</w:t>
      </w:r>
      <w:r>
        <w:rPr>
          <w:rFonts w:cs="Times New Roman"/>
          <w:sz w:val="22"/>
        </w:rPr>
        <w:t>i</w:t>
      </w:r>
      <w:r w:rsidRPr="00CA07C3">
        <w:rPr>
          <w:rFonts w:cs="Times New Roman"/>
          <w:sz w:val="22"/>
        </w:rPr>
        <w:t>dis, 2012</w:t>
      </w:r>
      <w:r>
        <w:rPr>
          <w:rFonts w:cs="Times New Roman"/>
          <w:sz w:val="22"/>
        </w:rPr>
        <w:t>)</w:t>
      </w:r>
      <w:r w:rsidRPr="00CA07C3">
        <w:rPr>
          <w:rFonts w:cs="Times New Roman"/>
          <w:sz w:val="22"/>
        </w:rPr>
        <w:t xml:space="preserve">. In contrast, no significant </w:t>
      </w:r>
      <w:r>
        <w:rPr>
          <w:rFonts w:cs="Times New Roman"/>
          <w:sz w:val="22"/>
        </w:rPr>
        <w:t>association</w:t>
      </w:r>
      <w:r w:rsidRPr="00CA07C3">
        <w:rPr>
          <w:rFonts w:cs="Times New Roman"/>
          <w:sz w:val="22"/>
        </w:rPr>
        <w:t xml:space="preserve"> has been reported by some studies (e.g., Davidson </w:t>
      </w:r>
      <w:r w:rsidRPr="00BD0005">
        <w:rPr>
          <w:rFonts w:cs="Times New Roman"/>
          <w:iCs/>
          <w:sz w:val="22"/>
        </w:rPr>
        <w:t>et al</w:t>
      </w:r>
      <w:r w:rsidRPr="00CA07C3">
        <w:rPr>
          <w:rFonts w:cs="Times New Roman"/>
          <w:sz w:val="22"/>
        </w:rPr>
        <w:t xml:space="preserve">., 2005; Firth </w:t>
      </w:r>
      <w:r w:rsidRPr="00BD0005">
        <w:rPr>
          <w:rFonts w:cs="Times New Roman"/>
          <w:iCs/>
          <w:sz w:val="22"/>
        </w:rPr>
        <w:t>et al</w:t>
      </w:r>
      <w:r w:rsidRPr="00CA07C3">
        <w:rPr>
          <w:rFonts w:cs="Times New Roman"/>
          <w:sz w:val="22"/>
        </w:rPr>
        <w:t xml:space="preserve">., 2007). </w:t>
      </w:r>
      <w:r w:rsidR="00F41C2F">
        <w:rPr>
          <w:rFonts w:cs="Times New Roman"/>
          <w:sz w:val="22"/>
        </w:rPr>
        <w:t>One discernible limitation of these studies is that they are all informed by the ubiquitous rational economics inspired agency theory</w:t>
      </w:r>
      <w:r w:rsidR="0006049C">
        <w:rPr>
          <w:rFonts w:cs="Times New Roman"/>
          <w:sz w:val="22"/>
        </w:rPr>
        <w:t xml:space="preserve"> and thus, providing insights from a behavioural theoretical perspective has the potential to contribute </w:t>
      </w:r>
      <w:r w:rsidR="0029229E">
        <w:rPr>
          <w:rFonts w:cs="Times New Roman"/>
          <w:sz w:val="22"/>
        </w:rPr>
        <w:t xml:space="preserve">to the literature by offering </w:t>
      </w:r>
      <w:r w:rsidR="0006049C">
        <w:rPr>
          <w:rFonts w:cs="Times New Roman"/>
          <w:sz w:val="22"/>
        </w:rPr>
        <w:t>new theoretical insights</w:t>
      </w:r>
      <w:r w:rsidR="00F41C2F">
        <w:rPr>
          <w:rFonts w:cs="Times New Roman"/>
          <w:sz w:val="22"/>
        </w:rPr>
        <w:t>.</w:t>
      </w:r>
      <w:r w:rsidR="00F41C2F" w:rsidRPr="00CA07C3">
        <w:rPr>
          <w:rFonts w:cs="Times New Roman"/>
          <w:sz w:val="22"/>
        </w:rPr>
        <w:t xml:space="preserve"> </w:t>
      </w:r>
      <w:r w:rsidR="0006049C">
        <w:rPr>
          <w:rFonts w:cs="Times New Roman"/>
          <w:sz w:val="22"/>
        </w:rPr>
        <w:t>I</w:t>
      </w:r>
      <w:r w:rsidRPr="00CA07C3">
        <w:rPr>
          <w:rFonts w:cs="Times New Roman"/>
          <w:sz w:val="22"/>
        </w:rPr>
        <w:t xml:space="preserve">n line with the mixed empirical and theoretical suggestions, </w:t>
      </w:r>
      <w:r w:rsidR="0006049C">
        <w:rPr>
          <w:rFonts w:cs="Times New Roman"/>
          <w:sz w:val="22"/>
        </w:rPr>
        <w:t xml:space="preserve">however, </w:t>
      </w:r>
      <w:r w:rsidRPr="00CA07C3">
        <w:rPr>
          <w:rFonts w:cs="Times New Roman"/>
          <w:sz w:val="22"/>
        </w:rPr>
        <w:t xml:space="preserve">we predict a significant relationship between audit firm size and EM without specifying the direction of the coefficient. Therefore, </w:t>
      </w:r>
      <w:r>
        <w:rPr>
          <w:rFonts w:cs="Times New Roman"/>
          <w:sz w:val="22"/>
        </w:rPr>
        <w:t>the fourth</w:t>
      </w:r>
      <w:r w:rsidRPr="00CA07C3">
        <w:rPr>
          <w:rFonts w:cs="Times New Roman"/>
          <w:sz w:val="22"/>
        </w:rPr>
        <w:t xml:space="preserve"> hypothesis proposed in this paper is</w:t>
      </w:r>
      <w:r w:rsidR="0089500A">
        <w:rPr>
          <w:rFonts w:cs="Times New Roman"/>
          <w:sz w:val="22"/>
        </w:rPr>
        <w:t xml:space="preserve"> that</w:t>
      </w:r>
      <w:r w:rsidRPr="00CA07C3">
        <w:rPr>
          <w:rFonts w:cs="Times New Roman"/>
          <w:sz w:val="22"/>
        </w:rPr>
        <w:t>:</w:t>
      </w:r>
    </w:p>
    <w:p w:rsidR="00135C30" w:rsidRPr="00A10607" w:rsidRDefault="00135C30" w:rsidP="00475873">
      <w:pPr>
        <w:ind w:left="862" w:firstLine="578"/>
        <w:jc w:val="both"/>
        <w:rPr>
          <w:rFonts w:cs="Times New Roman"/>
          <w:i/>
          <w:sz w:val="22"/>
        </w:rPr>
      </w:pPr>
      <w:r w:rsidRPr="00A602F6">
        <w:rPr>
          <w:rFonts w:cs="Times New Roman"/>
          <w:b/>
          <w:i/>
          <w:sz w:val="22"/>
        </w:rPr>
        <w:t>H</w:t>
      </w:r>
      <w:r w:rsidR="00A602F6" w:rsidRPr="00A602F6">
        <w:rPr>
          <w:rFonts w:cs="Times New Roman"/>
          <w:b/>
          <w:i/>
          <w:sz w:val="22"/>
        </w:rPr>
        <w:t>4.</w:t>
      </w:r>
      <w:r w:rsidRPr="00CA07C3">
        <w:rPr>
          <w:rFonts w:cs="Times New Roman"/>
          <w:sz w:val="22"/>
        </w:rPr>
        <w:t xml:space="preserve"> </w:t>
      </w:r>
      <w:r w:rsidRPr="00CA07C3">
        <w:rPr>
          <w:rFonts w:cs="Times New Roman"/>
          <w:i/>
          <w:sz w:val="22"/>
        </w:rPr>
        <w:t xml:space="preserve">There is </w:t>
      </w:r>
      <w:r w:rsidR="00475873">
        <w:rPr>
          <w:rFonts w:cs="Times New Roman"/>
          <w:i/>
          <w:sz w:val="22"/>
        </w:rPr>
        <w:t>a</w:t>
      </w:r>
      <w:r w:rsidRPr="00CA07C3">
        <w:rPr>
          <w:rFonts w:cs="Times New Roman"/>
          <w:i/>
          <w:sz w:val="22"/>
        </w:rPr>
        <w:t xml:space="preserve">association between </w:t>
      </w:r>
      <w:r w:rsidRPr="00A10607">
        <w:rPr>
          <w:rFonts w:cs="Times New Roman"/>
          <w:i/>
          <w:sz w:val="22"/>
        </w:rPr>
        <w:t>audit firm size and firm EM</w:t>
      </w:r>
      <w:r w:rsidR="00475873">
        <w:rPr>
          <w:rFonts w:cs="Times New Roman"/>
          <w:i/>
          <w:sz w:val="22"/>
        </w:rPr>
        <w:t xml:space="preserve"> </w:t>
      </w:r>
      <w:r w:rsidRPr="00A10607">
        <w:rPr>
          <w:rFonts w:cs="Times New Roman"/>
          <w:i/>
          <w:sz w:val="22"/>
        </w:rPr>
        <w:t>practices.</w:t>
      </w:r>
    </w:p>
    <w:p w:rsidR="00A10607" w:rsidRPr="00952D49" w:rsidRDefault="00A10607" w:rsidP="00A71F92">
      <w:pPr>
        <w:spacing w:line="360" w:lineRule="auto"/>
        <w:ind w:left="862"/>
        <w:jc w:val="both"/>
        <w:rPr>
          <w:rFonts w:cs="Times New Roman"/>
          <w:i/>
          <w:sz w:val="22"/>
        </w:rPr>
      </w:pPr>
    </w:p>
    <w:p w:rsidR="00C90C4E" w:rsidRPr="00952D49" w:rsidRDefault="00952D49" w:rsidP="00952D49">
      <w:pPr>
        <w:rPr>
          <w:i/>
          <w:sz w:val="22"/>
        </w:rPr>
      </w:pPr>
      <w:bookmarkStart w:id="10" w:name="_Toc383249596"/>
      <w:r w:rsidRPr="00952D49">
        <w:rPr>
          <w:i/>
          <w:sz w:val="22"/>
        </w:rPr>
        <w:t xml:space="preserve">4.4 </w:t>
      </w:r>
      <w:r w:rsidR="009733A3" w:rsidRPr="00952D49">
        <w:rPr>
          <w:i/>
          <w:sz w:val="22"/>
        </w:rPr>
        <w:t>Corporate governance committee (CGCOM)</w:t>
      </w:r>
      <w:bookmarkEnd w:id="10"/>
      <w:r w:rsidR="00A602F6" w:rsidRPr="00952D49">
        <w:rPr>
          <w:i/>
          <w:sz w:val="22"/>
        </w:rPr>
        <w:t xml:space="preserve"> and earnings management</w:t>
      </w:r>
    </w:p>
    <w:p w:rsidR="00A10607" w:rsidRDefault="00A10607" w:rsidP="00A10607">
      <w:pPr>
        <w:ind w:firstLine="720"/>
        <w:jc w:val="both"/>
        <w:rPr>
          <w:rFonts w:cs="Times New Roman"/>
          <w:sz w:val="22"/>
        </w:rPr>
      </w:pPr>
    </w:p>
    <w:p w:rsidR="005F307E" w:rsidRDefault="008A7405" w:rsidP="00C74863">
      <w:pPr>
        <w:spacing w:line="360" w:lineRule="auto"/>
        <w:ind w:firstLine="720"/>
        <w:jc w:val="both"/>
        <w:rPr>
          <w:rFonts w:cs="Times New Roman"/>
          <w:sz w:val="22"/>
        </w:rPr>
      </w:pPr>
      <w:r w:rsidRPr="00CA07C3">
        <w:rPr>
          <w:rFonts w:cs="Times New Roman"/>
          <w:sz w:val="22"/>
        </w:rPr>
        <w:t xml:space="preserve">Given the increased focus on board composition, board committees are considered internal CG mechanisms that help the board </w:t>
      </w:r>
      <w:r w:rsidR="00DD650D" w:rsidRPr="00CA07C3">
        <w:rPr>
          <w:rFonts w:cs="Times New Roman"/>
          <w:sz w:val="22"/>
        </w:rPr>
        <w:t xml:space="preserve">to </w:t>
      </w:r>
      <w:r w:rsidRPr="00CA07C3">
        <w:rPr>
          <w:rFonts w:cs="Times New Roman"/>
          <w:sz w:val="22"/>
        </w:rPr>
        <w:t xml:space="preserve">actively monitor managers. Among these committees, a CG committee, as its name </w:t>
      </w:r>
      <w:r w:rsidR="00A11ED3">
        <w:rPr>
          <w:rFonts w:cs="Times New Roman"/>
          <w:sz w:val="22"/>
        </w:rPr>
        <w:t>imp</w:t>
      </w:r>
      <w:r w:rsidRPr="00CA07C3">
        <w:rPr>
          <w:rFonts w:cs="Times New Roman"/>
          <w:sz w:val="22"/>
        </w:rPr>
        <w:t xml:space="preserve">lies, is expected to fulfil the important role of assisting the board in ensuring good CG practices within a firm. In this sense, a CG committee aims to promote CG practices by clearly defining governance arrangements and ensuring that the governance framework adopted by the firm is followed and updated. </w:t>
      </w:r>
      <w:r w:rsidR="005F307E">
        <w:rPr>
          <w:rFonts w:cs="Times New Roman"/>
          <w:sz w:val="22"/>
        </w:rPr>
        <w:t>In particular and from a behavioural theoretical perspective, a CG committee may be a</w:t>
      </w:r>
      <w:r w:rsidR="00DD2570">
        <w:rPr>
          <w:rFonts w:cs="Times New Roman"/>
          <w:sz w:val="22"/>
        </w:rPr>
        <w:t xml:space="preserve">ble to </w:t>
      </w:r>
      <w:r w:rsidR="00D17F7B">
        <w:rPr>
          <w:rFonts w:cs="Times New Roman"/>
          <w:sz w:val="22"/>
        </w:rPr>
        <w:t>assist</w:t>
      </w:r>
      <w:r w:rsidR="00DD2570">
        <w:rPr>
          <w:rFonts w:cs="Times New Roman"/>
          <w:sz w:val="22"/>
        </w:rPr>
        <w:t xml:space="preserve"> in developing rules and</w:t>
      </w:r>
      <w:r w:rsidR="005F307E">
        <w:rPr>
          <w:rFonts w:cs="Times New Roman"/>
          <w:sz w:val="22"/>
        </w:rPr>
        <w:t xml:space="preserve"> routines</w:t>
      </w:r>
      <w:r w:rsidR="00DD2570">
        <w:rPr>
          <w:rFonts w:cs="Times New Roman"/>
          <w:sz w:val="22"/>
        </w:rPr>
        <w:t xml:space="preserve"> based on corporate beliefs, experiences and values, which may lead to the achievement of satisficing solutions to CG challenges.</w:t>
      </w:r>
      <w:r w:rsidR="005F307E">
        <w:rPr>
          <w:rFonts w:cs="Times New Roman"/>
          <w:sz w:val="22"/>
        </w:rPr>
        <w:t xml:space="preserve"> </w:t>
      </w:r>
      <w:r w:rsidRPr="00CA07C3">
        <w:rPr>
          <w:rFonts w:cs="Times New Roman"/>
          <w:sz w:val="22"/>
        </w:rPr>
        <w:t xml:space="preserve">Arguably, </w:t>
      </w:r>
      <w:r w:rsidR="00A11ED3">
        <w:rPr>
          <w:rFonts w:cs="Times New Roman"/>
          <w:sz w:val="22"/>
        </w:rPr>
        <w:t xml:space="preserve">having a </w:t>
      </w:r>
      <w:r w:rsidRPr="00CA07C3">
        <w:rPr>
          <w:rFonts w:cs="Times New Roman"/>
          <w:sz w:val="22"/>
        </w:rPr>
        <w:t xml:space="preserve">clear set </w:t>
      </w:r>
      <w:r w:rsidR="00A11ED3">
        <w:rPr>
          <w:rFonts w:cs="Times New Roman"/>
          <w:sz w:val="22"/>
        </w:rPr>
        <w:t xml:space="preserve">of </w:t>
      </w:r>
      <w:r w:rsidRPr="00CA07C3">
        <w:rPr>
          <w:rFonts w:cs="Times New Roman"/>
          <w:sz w:val="22"/>
        </w:rPr>
        <w:t xml:space="preserve">guidelines on best CG practices provided by a CG committee are more likely to reduce managers’ discretion on financial reporting. Therefore, the theoretical prediction on the relationship between the presence of a CG committee and EM practices is more likely to be negative than positive. </w:t>
      </w:r>
    </w:p>
    <w:p w:rsidR="008A7405" w:rsidRPr="00CA07C3" w:rsidRDefault="008A7405" w:rsidP="00C74863">
      <w:pPr>
        <w:spacing w:line="360" w:lineRule="auto"/>
        <w:ind w:firstLine="720"/>
        <w:jc w:val="both"/>
        <w:rPr>
          <w:rFonts w:cs="Times New Roman"/>
          <w:sz w:val="22"/>
        </w:rPr>
      </w:pPr>
      <w:r w:rsidRPr="00CA07C3">
        <w:rPr>
          <w:rFonts w:cs="Times New Roman"/>
          <w:sz w:val="22"/>
        </w:rPr>
        <w:t xml:space="preserve">Unlike other board committees (e.g., audit and executive committees), however, the presence of a CG committee and its </w:t>
      </w:r>
      <w:r w:rsidR="00C74863">
        <w:rPr>
          <w:rFonts w:cs="Times New Roman"/>
          <w:sz w:val="22"/>
        </w:rPr>
        <w:t>potential impact on EM</w:t>
      </w:r>
      <w:r w:rsidRPr="00CA07C3">
        <w:rPr>
          <w:rFonts w:cs="Times New Roman"/>
          <w:sz w:val="22"/>
        </w:rPr>
        <w:t xml:space="preserve"> has not been empirically investigated in the literature</w:t>
      </w:r>
      <w:r w:rsidR="00DD2570">
        <w:rPr>
          <w:rFonts w:cs="Times New Roman"/>
          <w:sz w:val="22"/>
        </w:rPr>
        <w:t xml:space="preserve"> and </w:t>
      </w:r>
      <w:r w:rsidR="001D2758">
        <w:rPr>
          <w:rFonts w:cs="Times New Roman"/>
          <w:sz w:val="22"/>
        </w:rPr>
        <w:t>hence</w:t>
      </w:r>
      <w:r w:rsidR="001D2758" w:rsidRPr="00CA07C3">
        <w:rPr>
          <w:rFonts w:cs="Times New Roman"/>
          <w:sz w:val="22"/>
        </w:rPr>
        <w:t xml:space="preserve">, evaluating the extent to which the presence of a </w:t>
      </w:r>
      <w:r w:rsidR="001D2758">
        <w:rPr>
          <w:rFonts w:cs="Times New Roman"/>
          <w:sz w:val="22"/>
        </w:rPr>
        <w:t xml:space="preserve">CG committee </w:t>
      </w:r>
      <w:r w:rsidR="00A11ED3">
        <w:rPr>
          <w:rFonts w:cs="Times New Roman"/>
          <w:sz w:val="22"/>
        </w:rPr>
        <w:t xml:space="preserve">may </w:t>
      </w:r>
      <w:r w:rsidR="001D2758">
        <w:rPr>
          <w:rFonts w:cs="Times New Roman"/>
          <w:sz w:val="22"/>
        </w:rPr>
        <w:t>drive</w:t>
      </w:r>
      <w:r w:rsidR="00A11ED3">
        <w:rPr>
          <w:rFonts w:cs="Times New Roman"/>
          <w:sz w:val="22"/>
        </w:rPr>
        <w:t xml:space="preserve"> corporate</w:t>
      </w:r>
      <w:r w:rsidR="001D2758" w:rsidRPr="00CA07C3">
        <w:rPr>
          <w:rFonts w:cs="Times New Roman"/>
          <w:sz w:val="22"/>
        </w:rPr>
        <w:t xml:space="preserve"> </w:t>
      </w:r>
      <w:r w:rsidR="001D2758">
        <w:rPr>
          <w:rFonts w:cs="Times New Roman"/>
          <w:sz w:val="22"/>
        </w:rPr>
        <w:t xml:space="preserve">EM practices </w:t>
      </w:r>
      <w:r w:rsidR="001D2758" w:rsidRPr="00CA07C3">
        <w:rPr>
          <w:rFonts w:cs="Times New Roman"/>
          <w:sz w:val="22"/>
        </w:rPr>
        <w:t xml:space="preserve">may </w:t>
      </w:r>
      <w:r w:rsidR="001D2758">
        <w:rPr>
          <w:rFonts w:cs="Times New Roman"/>
          <w:sz w:val="22"/>
        </w:rPr>
        <w:t xml:space="preserve">help in </w:t>
      </w:r>
      <w:r w:rsidR="001D2758" w:rsidRPr="00CA07C3">
        <w:rPr>
          <w:rFonts w:cs="Times New Roman"/>
          <w:sz w:val="22"/>
        </w:rPr>
        <w:t>expand</w:t>
      </w:r>
      <w:r w:rsidR="001D2758">
        <w:rPr>
          <w:rFonts w:cs="Times New Roman"/>
          <w:sz w:val="22"/>
        </w:rPr>
        <w:t>ing</w:t>
      </w:r>
      <w:r w:rsidR="001D2758" w:rsidRPr="00CA07C3">
        <w:rPr>
          <w:rFonts w:cs="Times New Roman"/>
          <w:sz w:val="22"/>
        </w:rPr>
        <w:t xml:space="preserve"> </w:t>
      </w:r>
      <w:r w:rsidR="001D2758">
        <w:rPr>
          <w:rFonts w:cs="Times New Roman"/>
          <w:sz w:val="22"/>
        </w:rPr>
        <w:t>current</w:t>
      </w:r>
      <w:r w:rsidR="001D2758" w:rsidRPr="00CA07C3">
        <w:rPr>
          <w:rFonts w:cs="Times New Roman"/>
          <w:sz w:val="22"/>
        </w:rPr>
        <w:t xml:space="preserve"> understanding </w:t>
      </w:r>
      <w:r w:rsidR="00A11ED3">
        <w:rPr>
          <w:rFonts w:cs="Times New Roman"/>
          <w:sz w:val="22"/>
        </w:rPr>
        <w:t xml:space="preserve">of </w:t>
      </w:r>
      <w:r w:rsidR="001D2758">
        <w:rPr>
          <w:rFonts w:cs="Times New Roman"/>
          <w:sz w:val="22"/>
        </w:rPr>
        <w:t xml:space="preserve">an important aspect of </w:t>
      </w:r>
      <w:r w:rsidR="001D2758" w:rsidRPr="00CA07C3">
        <w:rPr>
          <w:rFonts w:cs="Times New Roman"/>
          <w:sz w:val="22"/>
        </w:rPr>
        <w:t>corporate accounting behaviour.</w:t>
      </w:r>
      <w:r w:rsidRPr="00CA07C3">
        <w:rPr>
          <w:rFonts w:cs="Times New Roman"/>
          <w:sz w:val="22"/>
        </w:rPr>
        <w:t xml:space="preserve"> </w:t>
      </w:r>
      <w:r w:rsidR="005F307E" w:rsidRPr="005F307E">
        <w:rPr>
          <w:rFonts w:cs="Times New Roman"/>
          <w:sz w:val="22"/>
        </w:rPr>
        <w:t xml:space="preserve">However, </w:t>
      </w:r>
      <w:r w:rsidR="00DD2570">
        <w:rPr>
          <w:rFonts w:cs="Times New Roman"/>
          <w:sz w:val="22"/>
        </w:rPr>
        <w:t>prior studies have shown that the presence of a CG committee impacts positively on: (i) CG disclosures (</w:t>
      </w:r>
      <w:r w:rsidR="005F307E" w:rsidRPr="005F307E">
        <w:rPr>
          <w:rFonts w:cs="Times New Roman"/>
          <w:sz w:val="22"/>
        </w:rPr>
        <w:t xml:space="preserve">Ntim et al, </w:t>
      </w:r>
      <w:r w:rsidR="00DD2570">
        <w:rPr>
          <w:rFonts w:cs="Times New Roman"/>
          <w:sz w:val="22"/>
        </w:rPr>
        <w:t>2012a); (ii) risk</w:t>
      </w:r>
      <w:r w:rsidR="005F307E" w:rsidRPr="005F307E">
        <w:rPr>
          <w:rFonts w:cs="Times New Roman"/>
          <w:sz w:val="22"/>
        </w:rPr>
        <w:t xml:space="preserve"> </w:t>
      </w:r>
      <w:r w:rsidR="00DD2570">
        <w:rPr>
          <w:rFonts w:cs="Times New Roman"/>
          <w:sz w:val="22"/>
        </w:rPr>
        <w:t xml:space="preserve">disclosures (Ntim et al., </w:t>
      </w:r>
      <w:r w:rsidR="005F307E" w:rsidRPr="005F307E">
        <w:rPr>
          <w:rFonts w:cs="Times New Roman"/>
          <w:sz w:val="22"/>
        </w:rPr>
        <w:t>2013</w:t>
      </w:r>
      <w:r w:rsidR="00DD2570">
        <w:rPr>
          <w:rFonts w:cs="Times New Roman"/>
          <w:sz w:val="22"/>
        </w:rPr>
        <w:t>); (iii) CSR disclosures (</w:t>
      </w:r>
      <w:r w:rsidR="005F307E" w:rsidRPr="005F307E">
        <w:rPr>
          <w:rFonts w:cs="Times New Roman"/>
          <w:sz w:val="22"/>
        </w:rPr>
        <w:t>Ntim &amp; Soobaroyen, 2013</w:t>
      </w:r>
      <w:r w:rsidR="00DD2570">
        <w:rPr>
          <w:rFonts w:cs="Times New Roman"/>
          <w:sz w:val="22"/>
        </w:rPr>
        <w:t>); (iv) performance</w:t>
      </w:r>
      <w:r w:rsidR="005F307E" w:rsidRPr="005F307E">
        <w:rPr>
          <w:rFonts w:cs="Times New Roman"/>
          <w:sz w:val="22"/>
        </w:rPr>
        <w:t xml:space="preserve"> </w:t>
      </w:r>
      <w:r w:rsidR="00DD2570">
        <w:rPr>
          <w:rFonts w:cs="Times New Roman"/>
          <w:sz w:val="22"/>
        </w:rPr>
        <w:t>(</w:t>
      </w:r>
      <w:r w:rsidR="005F307E" w:rsidRPr="005F307E">
        <w:rPr>
          <w:rFonts w:cs="Times New Roman"/>
          <w:sz w:val="22"/>
        </w:rPr>
        <w:t>Ntim, 2015; Ntim et al., 2015</w:t>
      </w:r>
      <w:r w:rsidR="001D2758">
        <w:rPr>
          <w:rFonts w:cs="Times New Roman"/>
          <w:sz w:val="22"/>
        </w:rPr>
        <w:t>b</w:t>
      </w:r>
      <w:r w:rsidR="00DD2570">
        <w:rPr>
          <w:rFonts w:cs="Times New Roman"/>
          <w:sz w:val="22"/>
        </w:rPr>
        <w:t>); and (iv) executive compensation (</w:t>
      </w:r>
      <w:r w:rsidR="00DD2570" w:rsidRPr="005F307E">
        <w:rPr>
          <w:rFonts w:cs="Times New Roman"/>
          <w:sz w:val="22"/>
        </w:rPr>
        <w:t>Ntim et al., 2015</w:t>
      </w:r>
      <w:r w:rsidR="001D2758">
        <w:rPr>
          <w:rFonts w:cs="Times New Roman"/>
          <w:sz w:val="22"/>
        </w:rPr>
        <w:t>b</w:t>
      </w:r>
      <w:r w:rsidR="00DD2570">
        <w:rPr>
          <w:rFonts w:cs="Times New Roman"/>
          <w:sz w:val="22"/>
        </w:rPr>
        <w:t>).</w:t>
      </w:r>
      <w:r w:rsidR="005F307E" w:rsidRPr="00CA07C3">
        <w:rPr>
          <w:rFonts w:cs="Times New Roman"/>
          <w:sz w:val="22"/>
        </w:rPr>
        <w:t xml:space="preserve"> </w:t>
      </w:r>
      <w:r w:rsidR="001D2758">
        <w:rPr>
          <w:rFonts w:cs="Times New Roman"/>
          <w:sz w:val="22"/>
        </w:rPr>
        <w:t>The presence of a CG committee can</w:t>
      </w:r>
      <w:r w:rsidR="00A11ED3">
        <w:rPr>
          <w:rFonts w:cs="Times New Roman"/>
          <w:sz w:val="22"/>
        </w:rPr>
        <w:t>,</w:t>
      </w:r>
      <w:r w:rsidR="001D2758">
        <w:rPr>
          <w:rFonts w:cs="Times New Roman"/>
          <w:sz w:val="22"/>
        </w:rPr>
        <w:t xml:space="preserve"> therefore</w:t>
      </w:r>
      <w:r w:rsidR="00A11ED3">
        <w:rPr>
          <w:rFonts w:cs="Times New Roman"/>
          <w:sz w:val="22"/>
        </w:rPr>
        <w:t>,</w:t>
      </w:r>
      <w:r w:rsidR="001D2758">
        <w:rPr>
          <w:rFonts w:cs="Times New Roman"/>
          <w:sz w:val="22"/>
        </w:rPr>
        <w:t xml:space="preserve"> be expected to restrain the extent of EM and therefore,</w:t>
      </w:r>
      <w:r w:rsidR="003672DB">
        <w:rPr>
          <w:rFonts w:cs="Times New Roman"/>
          <w:sz w:val="22"/>
        </w:rPr>
        <w:t xml:space="preserve"> the </w:t>
      </w:r>
      <w:r w:rsidR="00033362">
        <w:rPr>
          <w:rFonts w:cs="Times New Roman"/>
          <w:sz w:val="22"/>
        </w:rPr>
        <w:t>fifth</w:t>
      </w:r>
      <w:r w:rsidRPr="00CA07C3">
        <w:rPr>
          <w:rFonts w:cs="Times New Roman"/>
          <w:sz w:val="22"/>
        </w:rPr>
        <w:t xml:space="preserve"> hypothesis </w:t>
      </w:r>
      <w:r w:rsidR="001D2758">
        <w:rPr>
          <w:rFonts w:cs="Times New Roman"/>
          <w:sz w:val="22"/>
        </w:rPr>
        <w:t>to be tested in this</w:t>
      </w:r>
      <w:r w:rsidRPr="00CA07C3">
        <w:rPr>
          <w:rFonts w:cs="Times New Roman"/>
          <w:sz w:val="22"/>
        </w:rPr>
        <w:t xml:space="preserve"> paper is</w:t>
      </w:r>
      <w:r w:rsidR="0089500A">
        <w:rPr>
          <w:rFonts w:cs="Times New Roman"/>
          <w:sz w:val="22"/>
        </w:rPr>
        <w:t xml:space="preserve"> that</w:t>
      </w:r>
      <w:r w:rsidRPr="00CA07C3">
        <w:rPr>
          <w:rFonts w:cs="Times New Roman"/>
          <w:sz w:val="22"/>
        </w:rPr>
        <w:t xml:space="preserve">:  </w:t>
      </w:r>
    </w:p>
    <w:p w:rsidR="00475873" w:rsidRDefault="00DE2802" w:rsidP="00475873">
      <w:pPr>
        <w:ind w:left="1440"/>
        <w:jc w:val="both"/>
        <w:rPr>
          <w:rFonts w:cs="Times New Roman"/>
          <w:i/>
          <w:iCs/>
          <w:sz w:val="22"/>
        </w:rPr>
      </w:pPr>
      <w:r w:rsidRPr="00A602F6">
        <w:rPr>
          <w:rFonts w:cs="Times New Roman"/>
          <w:b/>
          <w:i/>
          <w:sz w:val="22"/>
        </w:rPr>
        <w:t>H</w:t>
      </w:r>
      <w:r w:rsidR="00A602F6">
        <w:rPr>
          <w:rFonts w:cs="Times New Roman"/>
          <w:b/>
          <w:i/>
          <w:sz w:val="22"/>
        </w:rPr>
        <w:t>5</w:t>
      </w:r>
      <w:r w:rsidR="00A602F6" w:rsidRPr="00A602F6">
        <w:rPr>
          <w:rFonts w:cs="Times New Roman"/>
          <w:b/>
          <w:sz w:val="22"/>
        </w:rPr>
        <w:t>.</w:t>
      </w:r>
      <w:r w:rsidRPr="00CA07C3">
        <w:rPr>
          <w:rFonts w:cs="Times New Roman"/>
          <w:sz w:val="22"/>
        </w:rPr>
        <w:t xml:space="preserve"> </w:t>
      </w:r>
      <w:r w:rsidRPr="00CA07C3">
        <w:rPr>
          <w:rFonts w:cs="Times New Roman"/>
          <w:i/>
          <w:sz w:val="22"/>
        </w:rPr>
        <w:t xml:space="preserve">There is </w:t>
      </w:r>
      <w:r w:rsidR="00475873">
        <w:rPr>
          <w:rFonts w:cs="Times New Roman"/>
          <w:i/>
          <w:sz w:val="22"/>
        </w:rPr>
        <w:t>a</w:t>
      </w:r>
      <w:r w:rsidRPr="00CA07C3">
        <w:rPr>
          <w:rFonts w:cs="Times New Roman"/>
          <w:i/>
          <w:sz w:val="22"/>
        </w:rPr>
        <w:t xml:space="preserve"> negative association between </w:t>
      </w:r>
      <w:r w:rsidRPr="00A11ED3">
        <w:rPr>
          <w:rFonts w:cs="Times New Roman"/>
          <w:i/>
          <w:sz w:val="22"/>
        </w:rPr>
        <w:t>the presence of a CG committee</w:t>
      </w:r>
      <w:r w:rsidRPr="00CA07C3">
        <w:rPr>
          <w:rFonts w:cs="Times New Roman"/>
          <w:i/>
          <w:sz w:val="22"/>
        </w:rPr>
        <w:t xml:space="preserve"> and </w:t>
      </w:r>
      <w:r w:rsidRPr="00E94568">
        <w:rPr>
          <w:rFonts w:cs="Times New Roman"/>
          <w:i/>
          <w:iCs/>
          <w:sz w:val="22"/>
        </w:rPr>
        <w:t xml:space="preserve">firm </w:t>
      </w:r>
      <w:r w:rsidR="00475873">
        <w:rPr>
          <w:rFonts w:cs="Times New Roman"/>
          <w:i/>
          <w:iCs/>
          <w:sz w:val="22"/>
        </w:rPr>
        <w:t xml:space="preserve"> </w:t>
      </w:r>
    </w:p>
    <w:p w:rsidR="008A7405" w:rsidRDefault="00475873" w:rsidP="00475873">
      <w:pPr>
        <w:ind w:left="1440"/>
        <w:jc w:val="both"/>
        <w:rPr>
          <w:rFonts w:cs="Times New Roman"/>
          <w:i/>
          <w:iCs/>
          <w:sz w:val="22"/>
        </w:rPr>
      </w:pPr>
      <w:r>
        <w:rPr>
          <w:rFonts w:cs="Times New Roman"/>
          <w:b/>
          <w:i/>
          <w:sz w:val="22"/>
        </w:rPr>
        <w:t xml:space="preserve">       </w:t>
      </w:r>
      <w:r w:rsidR="00DE2802" w:rsidRPr="00E94568">
        <w:rPr>
          <w:rFonts w:cs="Times New Roman"/>
          <w:i/>
          <w:iCs/>
          <w:sz w:val="22"/>
        </w:rPr>
        <w:t>EM practices.</w:t>
      </w:r>
    </w:p>
    <w:p w:rsidR="00A10607" w:rsidRPr="00E94568" w:rsidRDefault="00A10607" w:rsidP="00F81C2F">
      <w:pPr>
        <w:spacing w:line="360" w:lineRule="auto"/>
        <w:ind w:left="862"/>
        <w:jc w:val="both"/>
        <w:rPr>
          <w:rFonts w:cs="Times New Roman"/>
          <w:i/>
          <w:iCs/>
          <w:sz w:val="22"/>
        </w:rPr>
      </w:pPr>
    </w:p>
    <w:p w:rsidR="00A602F6" w:rsidRPr="00952D49" w:rsidRDefault="00952D49" w:rsidP="00952D49">
      <w:pPr>
        <w:rPr>
          <w:i/>
          <w:sz w:val="22"/>
        </w:rPr>
      </w:pPr>
      <w:bookmarkStart w:id="11" w:name="_Toc383249598"/>
      <w:r w:rsidRPr="00952D49">
        <w:rPr>
          <w:i/>
          <w:sz w:val="22"/>
        </w:rPr>
        <w:t xml:space="preserve">4.5 </w:t>
      </w:r>
      <w:r w:rsidR="008A7405" w:rsidRPr="00952D49">
        <w:rPr>
          <w:i/>
          <w:sz w:val="22"/>
        </w:rPr>
        <w:t>Board diversity on the basis of gender (GNDR)</w:t>
      </w:r>
      <w:bookmarkEnd w:id="11"/>
      <w:r w:rsidR="00A602F6" w:rsidRPr="00952D49">
        <w:rPr>
          <w:i/>
          <w:sz w:val="22"/>
        </w:rPr>
        <w:t xml:space="preserve"> and earnings management</w:t>
      </w:r>
    </w:p>
    <w:p w:rsidR="00A602F6" w:rsidRDefault="00A602F6" w:rsidP="00A602F6">
      <w:pPr>
        <w:ind w:firstLine="720"/>
        <w:jc w:val="both"/>
        <w:rPr>
          <w:rFonts w:cs="Times New Roman"/>
          <w:sz w:val="22"/>
        </w:rPr>
      </w:pPr>
    </w:p>
    <w:p w:rsidR="00611EA5" w:rsidRDefault="001D2758" w:rsidP="001D0871">
      <w:pPr>
        <w:spacing w:line="360" w:lineRule="auto"/>
        <w:ind w:firstLine="720"/>
        <w:jc w:val="both"/>
        <w:rPr>
          <w:rFonts w:cs="Times New Roman"/>
          <w:sz w:val="22"/>
        </w:rPr>
      </w:pPr>
      <w:r>
        <w:rPr>
          <w:rFonts w:cs="Times New Roman"/>
          <w:sz w:val="22"/>
        </w:rPr>
        <w:t>From a behavioural theoretical perspective, p</w:t>
      </w:r>
      <w:r w:rsidR="008A7405" w:rsidRPr="00CA07C3">
        <w:rPr>
          <w:rFonts w:cs="Times New Roman"/>
          <w:sz w:val="22"/>
        </w:rPr>
        <w:t xml:space="preserve">rior studies indicate that female directors are more sensitive </w:t>
      </w:r>
      <w:r w:rsidR="00532988" w:rsidRPr="00CA07C3">
        <w:rPr>
          <w:rFonts w:cs="Times New Roman"/>
          <w:sz w:val="22"/>
        </w:rPr>
        <w:t>to</w:t>
      </w:r>
      <w:r w:rsidR="008A7405" w:rsidRPr="00CA07C3">
        <w:rPr>
          <w:rFonts w:cs="Times New Roman"/>
          <w:sz w:val="22"/>
        </w:rPr>
        <w:t xml:space="preserve"> ethical issues (e.g., Bernardi </w:t>
      </w:r>
      <w:r w:rsidR="00665936">
        <w:rPr>
          <w:rFonts w:cs="Times New Roman"/>
          <w:sz w:val="22"/>
        </w:rPr>
        <w:t>&amp;</w:t>
      </w:r>
      <w:r w:rsidR="008A7405" w:rsidRPr="00CA07C3">
        <w:rPr>
          <w:rFonts w:cs="Times New Roman"/>
          <w:sz w:val="22"/>
        </w:rPr>
        <w:t xml:space="preserve"> Arnold, 1997) and exhibit greater risk aversion</w:t>
      </w:r>
      <w:r w:rsidR="00CF7B39">
        <w:rPr>
          <w:rFonts w:cs="Times New Roman"/>
          <w:sz w:val="22"/>
        </w:rPr>
        <w:t xml:space="preserve"> (e.g.,</w:t>
      </w:r>
      <w:r w:rsidR="00EB11E4">
        <w:rPr>
          <w:rFonts w:cs="Times New Roman"/>
          <w:sz w:val="22"/>
        </w:rPr>
        <w:t xml:space="preserve"> </w:t>
      </w:r>
      <w:r w:rsidR="008A7405" w:rsidRPr="00CA07C3">
        <w:rPr>
          <w:rFonts w:cs="Times New Roman"/>
          <w:sz w:val="22"/>
        </w:rPr>
        <w:t xml:space="preserve">Sunden </w:t>
      </w:r>
      <w:r w:rsidR="00665936">
        <w:rPr>
          <w:rFonts w:cs="Times New Roman"/>
          <w:sz w:val="22"/>
        </w:rPr>
        <w:t>&amp;</w:t>
      </w:r>
      <w:r w:rsidR="008A7405" w:rsidRPr="00CA07C3">
        <w:rPr>
          <w:rFonts w:cs="Times New Roman"/>
          <w:sz w:val="22"/>
        </w:rPr>
        <w:t xml:space="preserve"> Surette, 1998) and </w:t>
      </w:r>
      <w:r w:rsidR="00532988" w:rsidRPr="00CA07C3">
        <w:rPr>
          <w:rFonts w:cs="Times New Roman"/>
          <w:sz w:val="22"/>
        </w:rPr>
        <w:t xml:space="preserve">has </w:t>
      </w:r>
      <w:r w:rsidR="008A7405" w:rsidRPr="00CA07C3">
        <w:rPr>
          <w:rFonts w:cs="Times New Roman"/>
          <w:sz w:val="22"/>
        </w:rPr>
        <w:t xml:space="preserve">better </w:t>
      </w:r>
      <w:r w:rsidR="00532988" w:rsidRPr="00CA07C3">
        <w:rPr>
          <w:rFonts w:cs="Times New Roman"/>
          <w:sz w:val="22"/>
        </w:rPr>
        <w:t xml:space="preserve">board meetings </w:t>
      </w:r>
      <w:r w:rsidR="008A7405" w:rsidRPr="00CA07C3">
        <w:rPr>
          <w:rFonts w:cs="Times New Roman"/>
          <w:sz w:val="22"/>
        </w:rPr>
        <w:t xml:space="preserve">attendance </w:t>
      </w:r>
      <w:r w:rsidR="00532988" w:rsidRPr="00CA07C3">
        <w:rPr>
          <w:rFonts w:cs="Times New Roman"/>
          <w:sz w:val="22"/>
        </w:rPr>
        <w:t xml:space="preserve">record </w:t>
      </w:r>
      <w:r w:rsidR="008A7405" w:rsidRPr="00CA07C3">
        <w:rPr>
          <w:rFonts w:cs="Times New Roman"/>
          <w:sz w:val="22"/>
        </w:rPr>
        <w:t>(e.g., Ad</w:t>
      </w:r>
      <w:r w:rsidR="00897553">
        <w:rPr>
          <w:rFonts w:cs="Times New Roman"/>
          <w:sz w:val="22"/>
        </w:rPr>
        <w:t>a</w:t>
      </w:r>
      <w:r w:rsidR="008A7405" w:rsidRPr="00CA07C3">
        <w:rPr>
          <w:rFonts w:cs="Times New Roman"/>
          <w:sz w:val="22"/>
        </w:rPr>
        <w:t xml:space="preserve">mas </w:t>
      </w:r>
      <w:r w:rsidR="00665936">
        <w:rPr>
          <w:rFonts w:cs="Times New Roman"/>
          <w:sz w:val="22"/>
        </w:rPr>
        <w:t>&amp;</w:t>
      </w:r>
      <w:r w:rsidR="008A7405" w:rsidRPr="00CA07C3">
        <w:rPr>
          <w:rFonts w:cs="Times New Roman"/>
          <w:sz w:val="22"/>
        </w:rPr>
        <w:t xml:space="preserve"> Ferreia, 2009) than male directors. Female board participation is likely to create formal and informal discussions between board </w:t>
      </w:r>
      <w:r w:rsidR="00B5671A">
        <w:rPr>
          <w:rFonts w:cs="Times New Roman"/>
          <w:sz w:val="22"/>
        </w:rPr>
        <w:t xml:space="preserve">of </w:t>
      </w:r>
      <w:r w:rsidR="008A7405" w:rsidRPr="00CA07C3">
        <w:rPr>
          <w:rFonts w:cs="Times New Roman"/>
          <w:sz w:val="22"/>
        </w:rPr>
        <w:t>directors and result in greater accountability for manager</w:t>
      </w:r>
      <w:r w:rsidR="00532988" w:rsidRPr="00CA07C3">
        <w:rPr>
          <w:rFonts w:cs="Times New Roman"/>
          <w:sz w:val="22"/>
        </w:rPr>
        <w:t>ial</w:t>
      </w:r>
      <w:r w:rsidR="008A7405" w:rsidRPr="00CA07C3">
        <w:rPr>
          <w:rFonts w:cs="Times New Roman"/>
          <w:sz w:val="22"/>
        </w:rPr>
        <w:t xml:space="preserve"> decisions (Ad</w:t>
      </w:r>
      <w:r w:rsidR="00897553">
        <w:rPr>
          <w:rFonts w:cs="Times New Roman"/>
          <w:sz w:val="22"/>
        </w:rPr>
        <w:t>a</w:t>
      </w:r>
      <w:r w:rsidR="008A7405" w:rsidRPr="00CA07C3">
        <w:rPr>
          <w:rFonts w:cs="Times New Roman"/>
          <w:sz w:val="22"/>
        </w:rPr>
        <w:t xml:space="preserve">mas </w:t>
      </w:r>
      <w:r w:rsidR="00665936">
        <w:rPr>
          <w:rFonts w:cs="Times New Roman"/>
          <w:sz w:val="22"/>
        </w:rPr>
        <w:t>&amp;</w:t>
      </w:r>
      <w:r w:rsidR="008A7405" w:rsidRPr="00CA07C3">
        <w:rPr>
          <w:rFonts w:cs="Times New Roman"/>
          <w:sz w:val="22"/>
        </w:rPr>
        <w:t xml:space="preserve"> Ferreia, 2009). Further, female board participation </w:t>
      </w:r>
      <w:r w:rsidR="00532988" w:rsidRPr="00CA07C3">
        <w:rPr>
          <w:rFonts w:cs="Times New Roman"/>
          <w:sz w:val="22"/>
        </w:rPr>
        <w:t xml:space="preserve">can </w:t>
      </w:r>
      <w:r w:rsidR="008A7405" w:rsidRPr="00CA07C3">
        <w:rPr>
          <w:rFonts w:cs="Times New Roman"/>
          <w:sz w:val="22"/>
        </w:rPr>
        <w:t xml:space="preserve">assist boards to benefit </w:t>
      </w:r>
      <w:r w:rsidR="00532988" w:rsidRPr="00CA07C3">
        <w:rPr>
          <w:rFonts w:cs="Times New Roman"/>
          <w:sz w:val="22"/>
        </w:rPr>
        <w:t>from</w:t>
      </w:r>
      <w:r w:rsidR="00B5671A">
        <w:rPr>
          <w:rFonts w:cs="Times New Roman"/>
          <w:sz w:val="22"/>
        </w:rPr>
        <w:t xml:space="preserve"> a</w:t>
      </w:r>
      <w:r w:rsidR="00532988" w:rsidRPr="00CA07C3">
        <w:rPr>
          <w:rFonts w:cs="Times New Roman"/>
          <w:sz w:val="22"/>
        </w:rPr>
        <w:t xml:space="preserve"> wide pool of </w:t>
      </w:r>
      <w:r w:rsidR="008A7405" w:rsidRPr="00CA07C3">
        <w:rPr>
          <w:rFonts w:cs="Times New Roman"/>
          <w:sz w:val="22"/>
        </w:rPr>
        <w:t>talent by bringing different skills and experience</w:t>
      </w:r>
      <w:r w:rsidR="00175B45">
        <w:rPr>
          <w:rFonts w:cs="Times New Roman"/>
          <w:sz w:val="22"/>
        </w:rPr>
        <w:t>s</w:t>
      </w:r>
      <w:r w:rsidR="00532988" w:rsidRPr="00CA07C3">
        <w:rPr>
          <w:rFonts w:cs="Times New Roman"/>
          <w:sz w:val="22"/>
        </w:rPr>
        <w:t xml:space="preserve"> into the boardroom</w:t>
      </w:r>
      <w:r w:rsidR="006F761C">
        <w:rPr>
          <w:rFonts w:cs="Times New Roman"/>
          <w:sz w:val="22"/>
        </w:rPr>
        <w:t xml:space="preserve">, including </w:t>
      </w:r>
      <w:r w:rsidR="00207A4F">
        <w:rPr>
          <w:rFonts w:cs="Times New Roman"/>
          <w:sz w:val="22"/>
        </w:rPr>
        <w:t xml:space="preserve">soft, but inteligent femine </w:t>
      </w:r>
      <w:r w:rsidR="000B1A67">
        <w:rPr>
          <w:rFonts w:cs="Times New Roman"/>
          <w:sz w:val="22"/>
        </w:rPr>
        <w:t xml:space="preserve">beliefs, </w:t>
      </w:r>
      <w:r w:rsidR="00207A4F">
        <w:rPr>
          <w:rFonts w:cs="Times New Roman"/>
          <w:sz w:val="22"/>
        </w:rPr>
        <w:t xml:space="preserve">emotions, </w:t>
      </w:r>
      <w:r w:rsidR="000B1A67">
        <w:rPr>
          <w:rFonts w:cs="Times New Roman"/>
          <w:sz w:val="22"/>
        </w:rPr>
        <w:t>experiences, feelings</w:t>
      </w:r>
      <w:r w:rsidR="00207A4F">
        <w:rPr>
          <w:rFonts w:cs="Times New Roman"/>
          <w:sz w:val="22"/>
        </w:rPr>
        <w:t xml:space="preserve"> and values</w:t>
      </w:r>
      <w:r w:rsidR="00532988" w:rsidRPr="00CA07C3">
        <w:rPr>
          <w:rFonts w:cs="Times New Roman"/>
          <w:sz w:val="22"/>
        </w:rPr>
        <w:t>.</w:t>
      </w:r>
      <w:r w:rsidR="008A7405" w:rsidRPr="00CA07C3">
        <w:rPr>
          <w:rFonts w:cs="Times New Roman"/>
          <w:sz w:val="22"/>
        </w:rPr>
        <w:t xml:space="preserve"> </w:t>
      </w:r>
      <w:r w:rsidR="00532988" w:rsidRPr="00CA07C3">
        <w:rPr>
          <w:rFonts w:cs="Times New Roman"/>
          <w:sz w:val="22"/>
        </w:rPr>
        <w:t>Thus, this can</w:t>
      </w:r>
      <w:r w:rsidR="008A7405" w:rsidRPr="00CA07C3">
        <w:rPr>
          <w:rFonts w:cs="Times New Roman"/>
          <w:sz w:val="22"/>
        </w:rPr>
        <w:t xml:space="preserve"> improve</w:t>
      </w:r>
      <w:r w:rsidR="00532988" w:rsidRPr="00CA07C3">
        <w:rPr>
          <w:rFonts w:cs="Times New Roman"/>
          <w:sz w:val="22"/>
        </w:rPr>
        <w:t xml:space="preserve"> the</w:t>
      </w:r>
      <w:r w:rsidR="008A7405" w:rsidRPr="00CA07C3">
        <w:rPr>
          <w:rFonts w:cs="Times New Roman"/>
          <w:sz w:val="22"/>
        </w:rPr>
        <w:t xml:space="preserve"> boards’ professionalism in evaluating firms’ financial reports and detecting any financial reporting irregularities (Pfeffer, 1972; Nielsen and Huse, 2010). Arguably, a mix of male and female non-executive directors on a board may </w:t>
      </w:r>
      <w:r w:rsidR="0079492B">
        <w:rPr>
          <w:rFonts w:cs="Times New Roman"/>
          <w:sz w:val="22"/>
        </w:rPr>
        <w:t xml:space="preserve">not only help in improving managerial monitoring as inherent in the rational agency theoretical perspective, but also in reaching better satisficing decisions </w:t>
      </w:r>
      <w:r w:rsidR="001F4B7A">
        <w:rPr>
          <w:rFonts w:cs="Times New Roman"/>
          <w:sz w:val="22"/>
        </w:rPr>
        <w:t xml:space="preserve">by bringing stronger emotional intelligence into </w:t>
      </w:r>
      <w:r w:rsidR="00175B45">
        <w:rPr>
          <w:rFonts w:cs="Times New Roman"/>
          <w:sz w:val="22"/>
        </w:rPr>
        <w:t xml:space="preserve">the </w:t>
      </w:r>
      <w:r w:rsidR="001F4B7A">
        <w:rPr>
          <w:rFonts w:cs="Times New Roman"/>
          <w:sz w:val="22"/>
        </w:rPr>
        <w:t>corporate board decision-ma</w:t>
      </w:r>
      <w:r w:rsidR="00175B45">
        <w:rPr>
          <w:rFonts w:cs="Times New Roman"/>
          <w:sz w:val="22"/>
        </w:rPr>
        <w:t>k</w:t>
      </w:r>
      <w:r w:rsidR="001F4B7A">
        <w:rPr>
          <w:rFonts w:cs="Times New Roman"/>
          <w:sz w:val="22"/>
        </w:rPr>
        <w:t>ing process and thereby</w:t>
      </w:r>
      <w:r w:rsidR="008A7405" w:rsidRPr="00CA07C3">
        <w:rPr>
          <w:rFonts w:cs="Times New Roman"/>
          <w:sz w:val="22"/>
        </w:rPr>
        <w:t xml:space="preserve"> </w:t>
      </w:r>
      <w:r w:rsidR="001F4B7A">
        <w:rPr>
          <w:rFonts w:cs="Times New Roman"/>
          <w:sz w:val="22"/>
        </w:rPr>
        <w:t>potential minimising incidences of EM</w:t>
      </w:r>
      <w:r w:rsidR="008A7405" w:rsidRPr="00CA07C3">
        <w:rPr>
          <w:rFonts w:cs="Times New Roman"/>
          <w:sz w:val="22"/>
        </w:rPr>
        <w:t xml:space="preserve"> (Adams </w:t>
      </w:r>
      <w:r w:rsidR="00665936">
        <w:rPr>
          <w:rFonts w:cs="Times New Roman"/>
          <w:sz w:val="22"/>
        </w:rPr>
        <w:t>&amp;</w:t>
      </w:r>
      <w:r w:rsidR="008A7405" w:rsidRPr="00CA07C3">
        <w:rPr>
          <w:rFonts w:cs="Times New Roman"/>
          <w:sz w:val="22"/>
        </w:rPr>
        <w:t xml:space="preserve"> Ferreia, 2009, Srinidhi </w:t>
      </w:r>
      <w:r w:rsidR="008A7405" w:rsidRPr="00BD0005">
        <w:rPr>
          <w:rFonts w:cs="Times New Roman"/>
          <w:iCs/>
          <w:sz w:val="22"/>
        </w:rPr>
        <w:t>et al</w:t>
      </w:r>
      <w:r w:rsidR="008A7405" w:rsidRPr="00CA07C3">
        <w:rPr>
          <w:rFonts w:cs="Times New Roman"/>
          <w:iCs/>
          <w:sz w:val="22"/>
        </w:rPr>
        <w:t>.</w:t>
      </w:r>
      <w:r w:rsidR="008A7405" w:rsidRPr="00CA07C3">
        <w:rPr>
          <w:rFonts w:cs="Times New Roman"/>
          <w:sz w:val="22"/>
        </w:rPr>
        <w:t xml:space="preserve">, 2011).   </w:t>
      </w:r>
    </w:p>
    <w:p w:rsidR="008A7405" w:rsidRPr="00CA07C3" w:rsidRDefault="008A7405" w:rsidP="001D0871">
      <w:pPr>
        <w:spacing w:line="360" w:lineRule="auto"/>
        <w:ind w:firstLine="720"/>
        <w:jc w:val="both"/>
        <w:rPr>
          <w:rFonts w:cs="Times New Roman"/>
          <w:sz w:val="22"/>
        </w:rPr>
      </w:pPr>
      <w:r w:rsidRPr="00CA07C3">
        <w:rPr>
          <w:rFonts w:cs="Times New Roman"/>
          <w:sz w:val="22"/>
        </w:rPr>
        <w:t xml:space="preserve">Empirically, most previous studies (e.g., Clikeman </w:t>
      </w:r>
      <w:r w:rsidRPr="00BD0005">
        <w:rPr>
          <w:rFonts w:cs="Times New Roman"/>
          <w:iCs/>
          <w:sz w:val="22"/>
        </w:rPr>
        <w:t>et al</w:t>
      </w:r>
      <w:r w:rsidRPr="00CA07C3">
        <w:rPr>
          <w:rFonts w:cs="Times New Roman"/>
          <w:iCs/>
          <w:sz w:val="22"/>
        </w:rPr>
        <w:t>.</w:t>
      </w:r>
      <w:r w:rsidRPr="00CA07C3">
        <w:rPr>
          <w:rFonts w:cs="Times New Roman"/>
          <w:sz w:val="22"/>
        </w:rPr>
        <w:t xml:space="preserve">, 2001; Krishnan </w:t>
      </w:r>
      <w:r w:rsidR="00665936">
        <w:rPr>
          <w:rFonts w:cs="Times New Roman"/>
          <w:sz w:val="22"/>
        </w:rPr>
        <w:t>&amp;</w:t>
      </w:r>
      <w:r w:rsidRPr="00CA07C3">
        <w:rPr>
          <w:rFonts w:cs="Times New Roman"/>
          <w:sz w:val="22"/>
        </w:rPr>
        <w:t xml:space="preserve"> Parsons, 2008) mainly examine the effect of gender on earnings quality by considering female members of senior managers. In contrast, studies examining the impact of gender on earnings quality </w:t>
      </w:r>
      <w:r w:rsidR="009402CF">
        <w:rPr>
          <w:rFonts w:cs="Times New Roman"/>
          <w:sz w:val="22"/>
        </w:rPr>
        <w:t>that</w:t>
      </w:r>
      <w:r w:rsidRPr="00CA07C3">
        <w:rPr>
          <w:rFonts w:cs="Times New Roman"/>
          <w:sz w:val="22"/>
        </w:rPr>
        <w:t xml:space="preserve"> consider</w:t>
      </w:r>
      <w:r w:rsidR="009402CF">
        <w:rPr>
          <w:rFonts w:cs="Times New Roman"/>
          <w:sz w:val="22"/>
        </w:rPr>
        <w:t xml:space="preserve"> the presence of</w:t>
      </w:r>
      <w:r w:rsidRPr="00CA07C3">
        <w:rPr>
          <w:rFonts w:cs="Times New Roman"/>
          <w:sz w:val="22"/>
        </w:rPr>
        <w:t xml:space="preserve"> female</w:t>
      </w:r>
      <w:r w:rsidR="009402CF">
        <w:rPr>
          <w:rFonts w:cs="Times New Roman"/>
          <w:sz w:val="22"/>
        </w:rPr>
        <w:t>s</w:t>
      </w:r>
      <w:r w:rsidRPr="00CA07C3">
        <w:rPr>
          <w:rFonts w:cs="Times New Roman"/>
          <w:sz w:val="22"/>
        </w:rPr>
        <w:t xml:space="preserve"> on </w:t>
      </w:r>
      <w:r w:rsidR="009402CF">
        <w:rPr>
          <w:rFonts w:cs="Times New Roman"/>
          <w:sz w:val="22"/>
        </w:rPr>
        <w:t xml:space="preserve">corporate </w:t>
      </w:r>
      <w:r w:rsidRPr="00CA07C3">
        <w:rPr>
          <w:rFonts w:cs="Times New Roman"/>
          <w:sz w:val="22"/>
        </w:rPr>
        <w:t>boards are limited</w:t>
      </w:r>
      <w:r w:rsidR="00555ED1" w:rsidRPr="00CA07C3">
        <w:rPr>
          <w:rFonts w:cs="Times New Roman"/>
          <w:sz w:val="22"/>
        </w:rPr>
        <w:t xml:space="preserve"> (e.g., Srinidhi </w:t>
      </w:r>
      <w:r w:rsidR="00555ED1" w:rsidRPr="00BD0005">
        <w:rPr>
          <w:rFonts w:cs="Times New Roman"/>
          <w:iCs/>
          <w:sz w:val="22"/>
        </w:rPr>
        <w:t>et al</w:t>
      </w:r>
      <w:r w:rsidR="00555ED1" w:rsidRPr="00CA07C3">
        <w:rPr>
          <w:rFonts w:cs="Times New Roman"/>
          <w:sz w:val="22"/>
        </w:rPr>
        <w:t xml:space="preserve">., 2011; Gavious </w:t>
      </w:r>
      <w:r w:rsidR="00555ED1" w:rsidRPr="00BD0005">
        <w:rPr>
          <w:rFonts w:cs="Times New Roman"/>
          <w:iCs/>
          <w:sz w:val="22"/>
        </w:rPr>
        <w:t>et al</w:t>
      </w:r>
      <w:r w:rsidR="00555ED1" w:rsidRPr="00CA07C3">
        <w:rPr>
          <w:rFonts w:cs="Times New Roman"/>
          <w:sz w:val="22"/>
        </w:rPr>
        <w:t>., 2012)</w:t>
      </w:r>
      <w:r w:rsidRPr="00CA07C3">
        <w:rPr>
          <w:rFonts w:cs="Times New Roman"/>
          <w:sz w:val="22"/>
        </w:rPr>
        <w:t>.</w:t>
      </w:r>
      <w:r w:rsidR="001F4B7A">
        <w:rPr>
          <w:rFonts w:cs="Times New Roman"/>
          <w:sz w:val="22"/>
        </w:rPr>
        <w:t xml:space="preserve"> </w:t>
      </w:r>
      <w:r w:rsidRPr="00CA07C3">
        <w:rPr>
          <w:rFonts w:cs="Times New Roman"/>
          <w:sz w:val="22"/>
        </w:rPr>
        <w:t>Given the theoretical prediction and empirical literature, it can be hypothesised that board diversity on the basis of gender is likely to n</w:t>
      </w:r>
      <w:r w:rsidR="003672DB">
        <w:rPr>
          <w:rFonts w:cs="Times New Roman"/>
          <w:sz w:val="22"/>
        </w:rPr>
        <w:t>egatively influence EM. Hence, the f</w:t>
      </w:r>
      <w:r w:rsidR="00033362">
        <w:rPr>
          <w:rFonts w:cs="Times New Roman"/>
          <w:sz w:val="22"/>
        </w:rPr>
        <w:t>inal</w:t>
      </w:r>
      <w:r w:rsidRPr="00CA07C3">
        <w:rPr>
          <w:rFonts w:cs="Times New Roman"/>
          <w:sz w:val="22"/>
        </w:rPr>
        <w:t xml:space="preserve"> hypothesis </w:t>
      </w:r>
      <w:r w:rsidR="00033362">
        <w:rPr>
          <w:rFonts w:cs="Times New Roman"/>
          <w:sz w:val="22"/>
        </w:rPr>
        <w:t>to be tested in</w:t>
      </w:r>
      <w:r w:rsidRPr="00CA07C3">
        <w:rPr>
          <w:rFonts w:cs="Times New Roman"/>
          <w:sz w:val="22"/>
        </w:rPr>
        <w:t xml:space="preserve"> this paper is</w:t>
      </w:r>
      <w:r w:rsidR="0089500A">
        <w:rPr>
          <w:rFonts w:cs="Times New Roman"/>
          <w:sz w:val="22"/>
        </w:rPr>
        <w:t xml:space="preserve"> that</w:t>
      </w:r>
      <w:r w:rsidRPr="00CA07C3">
        <w:rPr>
          <w:rFonts w:cs="Times New Roman"/>
          <w:sz w:val="22"/>
        </w:rPr>
        <w:t xml:space="preserve">:  </w:t>
      </w:r>
    </w:p>
    <w:p w:rsidR="00475873" w:rsidRDefault="008A2225" w:rsidP="00475873">
      <w:pPr>
        <w:ind w:left="862"/>
        <w:jc w:val="both"/>
        <w:rPr>
          <w:rFonts w:cs="Times New Roman"/>
          <w:i/>
          <w:sz w:val="22"/>
        </w:rPr>
      </w:pPr>
      <w:r w:rsidRPr="00A602F6">
        <w:rPr>
          <w:rFonts w:cs="Times New Roman"/>
          <w:b/>
          <w:i/>
          <w:sz w:val="22"/>
        </w:rPr>
        <w:t>H</w:t>
      </w:r>
      <w:r w:rsidR="00BE4B8A" w:rsidRPr="00A602F6">
        <w:rPr>
          <w:rFonts w:cs="Times New Roman"/>
          <w:b/>
          <w:i/>
          <w:sz w:val="22"/>
        </w:rPr>
        <w:t>6</w:t>
      </w:r>
      <w:r w:rsidR="00A602F6" w:rsidRPr="00A602F6">
        <w:rPr>
          <w:rFonts w:cs="Times New Roman"/>
          <w:b/>
          <w:sz w:val="22"/>
        </w:rPr>
        <w:t>.</w:t>
      </w:r>
      <w:r w:rsidRPr="00CA07C3">
        <w:rPr>
          <w:rFonts w:cs="Times New Roman"/>
          <w:sz w:val="22"/>
        </w:rPr>
        <w:t xml:space="preserve"> </w:t>
      </w:r>
      <w:r w:rsidRPr="00CA07C3">
        <w:rPr>
          <w:rFonts w:cs="Times New Roman"/>
          <w:i/>
          <w:sz w:val="22"/>
        </w:rPr>
        <w:t xml:space="preserve">There is </w:t>
      </w:r>
      <w:r w:rsidR="00475873">
        <w:rPr>
          <w:rFonts w:cs="Times New Roman"/>
          <w:i/>
          <w:sz w:val="22"/>
        </w:rPr>
        <w:t>a</w:t>
      </w:r>
      <w:r w:rsidRPr="00CA07C3">
        <w:rPr>
          <w:rFonts w:cs="Times New Roman"/>
          <w:i/>
          <w:sz w:val="22"/>
        </w:rPr>
        <w:t xml:space="preserve"> </w:t>
      </w:r>
      <w:r w:rsidRPr="00A602F6">
        <w:rPr>
          <w:rFonts w:cs="Times New Roman"/>
          <w:i/>
          <w:sz w:val="22"/>
        </w:rPr>
        <w:t xml:space="preserve">negative association between board diversity on the basisof gender and firm EM </w:t>
      </w:r>
    </w:p>
    <w:p w:rsidR="00440A2E" w:rsidRPr="00A602F6" w:rsidRDefault="00475873" w:rsidP="00475873">
      <w:pPr>
        <w:ind w:left="862"/>
        <w:jc w:val="both"/>
        <w:rPr>
          <w:rFonts w:cs="Times New Roman"/>
          <w:i/>
          <w:sz w:val="22"/>
        </w:rPr>
      </w:pPr>
      <w:r>
        <w:rPr>
          <w:rFonts w:cs="Times New Roman"/>
          <w:b/>
          <w:i/>
          <w:sz w:val="22"/>
        </w:rPr>
        <w:t xml:space="preserve">       </w:t>
      </w:r>
      <w:r w:rsidR="008A2225" w:rsidRPr="00A602F6">
        <w:rPr>
          <w:rFonts w:cs="Times New Roman"/>
          <w:i/>
          <w:sz w:val="22"/>
        </w:rPr>
        <w:t>practices.</w:t>
      </w:r>
      <w:bookmarkStart w:id="12" w:name="_Toc383014546"/>
      <w:bookmarkStart w:id="13" w:name="_Toc383249599"/>
    </w:p>
    <w:p w:rsidR="00A10607" w:rsidRPr="00CA07C3" w:rsidRDefault="00A10607" w:rsidP="00A10607">
      <w:pPr>
        <w:spacing w:line="360" w:lineRule="auto"/>
        <w:ind w:left="862"/>
        <w:jc w:val="center"/>
        <w:rPr>
          <w:rFonts w:cs="Times New Roman"/>
          <w:sz w:val="22"/>
        </w:rPr>
      </w:pPr>
    </w:p>
    <w:bookmarkEnd w:id="12"/>
    <w:bookmarkEnd w:id="13"/>
    <w:p w:rsidR="00D01645" w:rsidRPr="00952D49" w:rsidRDefault="00330DD3" w:rsidP="00330DD3">
      <w:pPr>
        <w:rPr>
          <w:b/>
          <w:sz w:val="22"/>
        </w:rPr>
      </w:pPr>
      <w:r w:rsidRPr="00952D49">
        <w:rPr>
          <w:b/>
          <w:sz w:val="22"/>
        </w:rPr>
        <w:t xml:space="preserve">5. </w:t>
      </w:r>
      <w:r w:rsidR="00A602F6" w:rsidRPr="00952D49">
        <w:rPr>
          <w:b/>
          <w:sz w:val="22"/>
        </w:rPr>
        <w:t>Data and research methodology</w:t>
      </w:r>
    </w:p>
    <w:p w:rsidR="006B2434" w:rsidRPr="00952D49" w:rsidRDefault="006B2434" w:rsidP="00D17F7B">
      <w:pPr>
        <w:pStyle w:val="Heading2"/>
        <w:numPr>
          <w:ilvl w:val="0"/>
          <w:numId w:val="0"/>
        </w:numPr>
        <w:spacing w:after="0"/>
        <w:ind w:left="578" w:hanging="578"/>
        <w:rPr>
          <w:i/>
          <w:iCs/>
          <w:sz w:val="22"/>
          <w:szCs w:val="22"/>
        </w:rPr>
      </w:pPr>
      <w:bookmarkStart w:id="14" w:name="_Toc383014547"/>
      <w:bookmarkStart w:id="15" w:name="_Toc383249600"/>
    </w:p>
    <w:p w:rsidR="008A7405" w:rsidRPr="00952D49" w:rsidRDefault="00952D49" w:rsidP="00952D49">
      <w:pPr>
        <w:rPr>
          <w:i/>
          <w:sz w:val="22"/>
        </w:rPr>
      </w:pPr>
      <w:r w:rsidRPr="00952D49">
        <w:rPr>
          <w:i/>
          <w:sz w:val="22"/>
        </w:rPr>
        <w:t xml:space="preserve">5.1 </w:t>
      </w:r>
      <w:r w:rsidR="00A602F6" w:rsidRPr="00952D49">
        <w:rPr>
          <w:i/>
          <w:sz w:val="22"/>
        </w:rPr>
        <w:t>Data: S</w:t>
      </w:r>
      <w:r w:rsidR="009733A3" w:rsidRPr="00952D49">
        <w:rPr>
          <w:i/>
          <w:sz w:val="22"/>
        </w:rPr>
        <w:t>ample selection, sources</w:t>
      </w:r>
      <w:bookmarkEnd w:id="14"/>
      <w:bookmarkEnd w:id="15"/>
      <w:r w:rsidR="009733A3" w:rsidRPr="00952D49">
        <w:rPr>
          <w:i/>
          <w:sz w:val="22"/>
        </w:rPr>
        <w:t xml:space="preserve"> and description</w:t>
      </w:r>
    </w:p>
    <w:p w:rsidR="00A602F6" w:rsidRDefault="00A602F6" w:rsidP="006B2434">
      <w:pPr>
        <w:autoSpaceDE w:val="0"/>
        <w:autoSpaceDN w:val="0"/>
        <w:adjustRightInd w:val="0"/>
        <w:jc w:val="both"/>
        <w:rPr>
          <w:rFonts w:cs="Times New Roman"/>
          <w:sz w:val="22"/>
        </w:rPr>
      </w:pPr>
      <w:bookmarkStart w:id="16" w:name="_Toc383014548"/>
      <w:bookmarkStart w:id="17" w:name="_Toc383249601"/>
    </w:p>
    <w:p w:rsidR="00E20858" w:rsidRPr="00CA07C3" w:rsidRDefault="00E20858" w:rsidP="00996AC7">
      <w:pPr>
        <w:autoSpaceDE w:val="0"/>
        <w:autoSpaceDN w:val="0"/>
        <w:adjustRightInd w:val="0"/>
        <w:spacing w:line="360" w:lineRule="auto"/>
        <w:ind w:firstLine="720"/>
        <w:jc w:val="both"/>
        <w:rPr>
          <w:rFonts w:cs="Times New Roman"/>
          <w:sz w:val="22"/>
        </w:rPr>
      </w:pPr>
      <w:r w:rsidRPr="00CA07C3">
        <w:rPr>
          <w:rFonts w:cs="Times New Roman"/>
          <w:sz w:val="22"/>
        </w:rPr>
        <w:t xml:space="preserve">The dataset used in our paper is drawn from the population of Omani firms listed on </w:t>
      </w:r>
      <w:r w:rsidR="00440A2E" w:rsidRPr="006E3D78">
        <w:rPr>
          <w:rFonts w:cs="Times New Roman"/>
          <w:sz w:val="22"/>
        </w:rPr>
        <w:t>Muscat Security Market</w:t>
      </w:r>
      <w:r w:rsidR="00440A2E" w:rsidRPr="00CA07C3">
        <w:rPr>
          <w:rFonts w:cs="Times New Roman"/>
          <w:sz w:val="22"/>
        </w:rPr>
        <w:t xml:space="preserve"> </w:t>
      </w:r>
      <w:r w:rsidRPr="00CA07C3">
        <w:rPr>
          <w:rFonts w:cs="Times New Roman"/>
          <w:sz w:val="22"/>
        </w:rPr>
        <w:t>during 2001 to 2011</w:t>
      </w:r>
      <w:r w:rsidR="00D96A54">
        <w:rPr>
          <w:rFonts w:cs="Times New Roman"/>
          <w:sz w:val="22"/>
        </w:rPr>
        <w:t xml:space="preserve">, </w:t>
      </w:r>
      <w:r w:rsidRPr="00CA07C3">
        <w:rPr>
          <w:rFonts w:cs="Times New Roman"/>
          <w:sz w:val="22"/>
        </w:rPr>
        <w:t>and Table 1 contains a summary of the sample seclection procedure. The initial sample consist</w:t>
      </w:r>
      <w:r w:rsidR="00983B05">
        <w:rPr>
          <w:rFonts w:cs="Times New Roman"/>
          <w:sz w:val="22"/>
        </w:rPr>
        <w:t>ed</w:t>
      </w:r>
      <w:r w:rsidRPr="00CA07C3">
        <w:rPr>
          <w:rFonts w:cs="Times New Roman"/>
          <w:sz w:val="22"/>
        </w:rPr>
        <w:t xml:space="preserve"> o</w:t>
      </w:r>
      <w:r w:rsidR="00996AC7">
        <w:rPr>
          <w:rFonts w:cs="Times New Roman"/>
          <w:sz w:val="22"/>
        </w:rPr>
        <w:t xml:space="preserve">f 168 firms as of December 2011. </w:t>
      </w:r>
      <w:r w:rsidRPr="00CA07C3">
        <w:rPr>
          <w:rFonts w:cs="Times New Roman"/>
          <w:sz w:val="22"/>
        </w:rPr>
        <w:t>To determine the final sample, we excluded some firms based on the following criteri</w:t>
      </w:r>
      <w:r w:rsidR="00183DCD">
        <w:rPr>
          <w:rFonts w:cs="Times New Roman"/>
          <w:sz w:val="22"/>
        </w:rPr>
        <w:t>a</w:t>
      </w:r>
      <w:r w:rsidR="000350D3">
        <w:rPr>
          <w:rStyle w:val="FootnoteReference"/>
        </w:rPr>
        <w:footnoteReference w:id="3"/>
      </w:r>
      <w:r w:rsidR="00183DCD">
        <w:rPr>
          <w:rFonts w:cs="Times New Roman"/>
          <w:sz w:val="22"/>
        </w:rPr>
        <w:t>: (i) a firm must have</w:t>
      </w:r>
      <w:r w:rsidRPr="00CA07C3">
        <w:rPr>
          <w:rFonts w:cs="Times New Roman"/>
          <w:sz w:val="22"/>
        </w:rPr>
        <w:t xml:space="preserve"> CG, accounting and financial information data for at least one year from 2001 to 2011 inclusive; and (ii) any given industry must have at least 10 observati</w:t>
      </w:r>
      <w:r w:rsidR="00D76E66">
        <w:rPr>
          <w:rFonts w:cs="Times New Roman"/>
          <w:sz w:val="22"/>
        </w:rPr>
        <w:t>ons over the 11 years examined.</w:t>
      </w:r>
      <w:r w:rsidR="00440A2E">
        <w:rPr>
          <w:rFonts w:cs="Times New Roman"/>
          <w:sz w:val="22"/>
        </w:rPr>
        <w:t xml:space="preserve"> </w:t>
      </w:r>
    </w:p>
    <w:p w:rsidR="00E20858" w:rsidRPr="00CA07C3" w:rsidRDefault="00E20858" w:rsidP="00E20858">
      <w:pPr>
        <w:autoSpaceDE w:val="0"/>
        <w:autoSpaceDN w:val="0"/>
        <w:adjustRightInd w:val="0"/>
        <w:spacing w:line="360" w:lineRule="auto"/>
        <w:ind w:firstLine="720"/>
        <w:jc w:val="center"/>
        <w:rPr>
          <w:rFonts w:cs="Times New Roman"/>
          <w:sz w:val="22"/>
        </w:rPr>
      </w:pPr>
      <w:r w:rsidRPr="00CA07C3">
        <w:rPr>
          <w:rFonts w:cs="Times New Roman"/>
          <w:sz w:val="22"/>
        </w:rPr>
        <w:t>Insert Table 1 about here</w:t>
      </w:r>
    </w:p>
    <w:p w:rsidR="000350D3" w:rsidRDefault="000350D3" w:rsidP="00A602F6">
      <w:pPr>
        <w:pStyle w:val="Heading2"/>
        <w:numPr>
          <w:ilvl w:val="0"/>
          <w:numId w:val="0"/>
        </w:numPr>
        <w:spacing w:after="0" w:line="360" w:lineRule="auto"/>
        <w:ind w:left="576" w:hanging="576"/>
        <w:rPr>
          <w:i/>
          <w:iCs/>
          <w:sz w:val="22"/>
          <w:szCs w:val="22"/>
        </w:rPr>
      </w:pPr>
    </w:p>
    <w:p w:rsidR="00D01645" w:rsidRPr="00952D49" w:rsidRDefault="00952D49" w:rsidP="00952D49">
      <w:pPr>
        <w:rPr>
          <w:i/>
          <w:sz w:val="22"/>
        </w:rPr>
      </w:pPr>
      <w:r w:rsidRPr="00952D49">
        <w:rPr>
          <w:i/>
          <w:sz w:val="22"/>
        </w:rPr>
        <w:t xml:space="preserve">5.2 </w:t>
      </w:r>
      <w:r w:rsidR="00A602F6" w:rsidRPr="00952D49">
        <w:rPr>
          <w:i/>
          <w:sz w:val="22"/>
        </w:rPr>
        <w:t>Research methodology: D</w:t>
      </w:r>
      <w:r w:rsidR="009733A3" w:rsidRPr="00952D49">
        <w:rPr>
          <w:i/>
          <w:sz w:val="22"/>
        </w:rPr>
        <w:t>efinition of variables and model specification</w:t>
      </w:r>
      <w:bookmarkEnd w:id="16"/>
      <w:bookmarkEnd w:id="17"/>
      <w:r w:rsidR="009733A3" w:rsidRPr="00952D49">
        <w:rPr>
          <w:i/>
          <w:sz w:val="22"/>
        </w:rPr>
        <w:t xml:space="preserve"> </w:t>
      </w:r>
    </w:p>
    <w:p w:rsidR="00A602F6" w:rsidRDefault="00A602F6" w:rsidP="005E5447">
      <w:pPr>
        <w:autoSpaceDE w:val="0"/>
        <w:autoSpaceDN w:val="0"/>
        <w:adjustRightInd w:val="0"/>
        <w:jc w:val="both"/>
        <w:rPr>
          <w:rFonts w:cs="Times New Roman"/>
          <w:bCs/>
          <w:iCs/>
          <w:sz w:val="22"/>
        </w:rPr>
      </w:pPr>
    </w:p>
    <w:p w:rsidR="00407EB1" w:rsidRPr="00407EB1" w:rsidRDefault="00980AFB" w:rsidP="00407EB1">
      <w:pPr>
        <w:spacing w:line="360" w:lineRule="auto"/>
        <w:jc w:val="both"/>
        <w:rPr>
          <w:rFonts w:cs="Times New Roman"/>
          <w:sz w:val="22"/>
        </w:rPr>
      </w:pPr>
      <w:r w:rsidRPr="00CA07C3">
        <w:rPr>
          <w:bCs/>
          <w:iCs/>
          <w:sz w:val="22"/>
        </w:rPr>
        <w:t xml:space="preserve">We </w:t>
      </w:r>
      <w:r w:rsidR="000D4B7F" w:rsidRPr="00CA07C3">
        <w:rPr>
          <w:bCs/>
          <w:iCs/>
          <w:sz w:val="22"/>
        </w:rPr>
        <w:t xml:space="preserve">employ </w:t>
      </w:r>
      <w:r w:rsidR="000A46F9">
        <w:rPr>
          <w:bCs/>
          <w:iCs/>
          <w:sz w:val="22"/>
        </w:rPr>
        <w:t>five</w:t>
      </w:r>
      <w:r w:rsidR="000D4B7F" w:rsidRPr="00CA07C3">
        <w:rPr>
          <w:bCs/>
          <w:iCs/>
          <w:sz w:val="22"/>
        </w:rPr>
        <w:t xml:space="preserve"> </w:t>
      </w:r>
      <w:r w:rsidR="00465044">
        <w:rPr>
          <w:bCs/>
          <w:iCs/>
          <w:sz w:val="22"/>
        </w:rPr>
        <w:t xml:space="preserve">main </w:t>
      </w:r>
      <w:r w:rsidR="000D4B7F" w:rsidRPr="00CA07C3">
        <w:rPr>
          <w:bCs/>
          <w:iCs/>
          <w:sz w:val="22"/>
        </w:rPr>
        <w:t xml:space="preserve">types of variables to conduct our </w:t>
      </w:r>
      <w:r w:rsidR="00465044">
        <w:rPr>
          <w:bCs/>
          <w:iCs/>
          <w:sz w:val="22"/>
        </w:rPr>
        <w:t xml:space="preserve">regression </w:t>
      </w:r>
      <w:r w:rsidR="005C6C02">
        <w:rPr>
          <w:bCs/>
          <w:iCs/>
          <w:sz w:val="22"/>
        </w:rPr>
        <w:t>analysis</w:t>
      </w:r>
      <w:r w:rsidR="00532988" w:rsidRPr="00CA07C3">
        <w:rPr>
          <w:bCs/>
          <w:iCs/>
          <w:sz w:val="22"/>
        </w:rPr>
        <w:t>,</w:t>
      </w:r>
      <w:r w:rsidR="000D4B7F" w:rsidRPr="00CA07C3">
        <w:rPr>
          <w:bCs/>
          <w:iCs/>
          <w:sz w:val="22"/>
        </w:rPr>
        <w:t xml:space="preserve"> namely</w:t>
      </w:r>
      <w:r w:rsidR="00532988" w:rsidRPr="00CA07C3">
        <w:rPr>
          <w:bCs/>
          <w:iCs/>
          <w:sz w:val="22"/>
        </w:rPr>
        <w:t>:</w:t>
      </w:r>
      <w:r w:rsidR="000D4B7F" w:rsidRPr="00CA07C3">
        <w:rPr>
          <w:bCs/>
          <w:iCs/>
          <w:sz w:val="22"/>
        </w:rPr>
        <w:t xml:space="preserve"> </w:t>
      </w:r>
      <w:r w:rsidR="00532988" w:rsidRPr="00CA07C3">
        <w:rPr>
          <w:bCs/>
          <w:iCs/>
          <w:sz w:val="22"/>
        </w:rPr>
        <w:t xml:space="preserve">(i) </w:t>
      </w:r>
      <w:r w:rsidR="000D4B7F" w:rsidRPr="00CA07C3">
        <w:rPr>
          <w:bCs/>
          <w:iCs/>
          <w:sz w:val="22"/>
        </w:rPr>
        <w:t>EM’s variable</w:t>
      </w:r>
      <w:r w:rsidR="00532988" w:rsidRPr="00CA07C3">
        <w:rPr>
          <w:bCs/>
          <w:iCs/>
          <w:sz w:val="22"/>
        </w:rPr>
        <w:t>;</w:t>
      </w:r>
      <w:r w:rsidR="000D4B7F" w:rsidRPr="00CA07C3">
        <w:rPr>
          <w:bCs/>
          <w:iCs/>
          <w:sz w:val="22"/>
        </w:rPr>
        <w:t xml:space="preserve"> </w:t>
      </w:r>
      <w:r w:rsidR="00532988" w:rsidRPr="00CA07C3">
        <w:rPr>
          <w:bCs/>
          <w:iCs/>
          <w:sz w:val="22"/>
        </w:rPr>
        <w:t xml:space="preserve">(ii) a composite </w:t>
      </w:r>
      <w:r w:rsidR="00440A2E">
        <w:rPr>
          <w:bCs/>
          <w:iCs/>
          <w:sz w:val="22"/>
        </w:rPr>
        <w:t>CG</w:t>
      </w:r>
      <w:r w:rsidR="00532988" w:rsidRPr="00CA07C3">
        <w:rPr>
          <w:bCs/>
          <w:iCs/>
          <w:sz w:val="22"/>
        </w:rPr>
        <w:t xml:space="preserve"> index;</w:t>
      </w:r>
      <w:r w:rsidR="005117F9" w:rsidRPr="00CA07C3">
        <w:rPr>
          <w:bCs/>
          <w:iCs/>
          <w:sz w:val="22"/>
        </w:rPr>
        <w:t xml:space="preserve"> </w:t>
      </w:r>
      <w:r w:rsidR="00440A2E">
        <w:rPr>
          <w:bCs/>
          <w:iCs/>
          <w:sz w:val="22"/>
        </w:rPr>
        <w:t>(iii)</w:t>
      </w:r>
      <w:r w:rsidR="00342768">
        <w:rPr>
          <w:bCs/>
          <w:iCs/>
          <w:sz w:val="22"/>
        </w:rPr>
        <w:t xml:space="preserve"> Omani context specific variable (i.e., IG committee)</w:t>
      </w:r>
      <w:r w:rsidR="000A46F9">
        <w:rPr>
          <w:bCs/>
          <w:iCs/>
          <w:sz w:val="22"/>
        </w:rPr>
        <w:t>; (iv)</w:t>
      </w:r>
      <w:r w:rsidR="00440A2E">
        <w:rPr>
          <w:bCs/>
          <w:iCs/>
          <w:sz w:val="22"/>
        </w:rPr>
        <w:t xml:space="preserve"> </w:t>
      </w:r>
      <w:r w:rsidR="00342768">
        <w:rPr>
          <w:bCs/>
          <w:iCs/>
          <w:sz w:val="22"/>
        </w:rPr>
        <w:t xml:space="preserve">other </w:t>
      </w:r>
      <w:r w:rsidR="00C87FA3">
        <w:rPr>
          <w:bCs/>
          <w:iCs/>
          <w:sz w:val="22"/>
        </w:rPr>
        <w:t>CG variables</w:t>
      </w:r>
      <w:r w:rsidR="00532988" w:rsidRPr="00CA07C3">
        <w:rPr>
          <w:bCs/>
          <w:iCs/>
          <w:sz w:val="22"/>
        </w:rPr>
        <w:t>;</w:t>
      </w:r>
      <w:r w:rsidR="000D4B7F" w:rsidRPr="00CA07C3">
        <w:rPr>
          <w:bCs/>
          <w:iCs/>
          <w:sz w:val="22"/>
        </w:rPr>
        <w:t xml:space="preserve"> and </w:t>
      </w:r>
      <w:r w:rsidR="000A46F9">
        <w:rPr>
          <w:bCs/>
          <w:iCs/>
          <w:sz w:val="22"/>
        </w:rPr>
        <w:t>(</w:t>
      </w:r>
      <w:r w:rsidR="00532988" w:rsidRPr="00CA07C3">
        <w:rPr>
          <w:bCs/>
          <w:iCs/>
          <w:sz w:val="22"/>
        </w:rPr>
        <w:t xml:space="preserve">v) </w:t>
      </w:r>
      <w:r w:rsidR="000D4B7F" w:rsidRPr="00CA07C3">
        <w:rPr>
          <w:bCs/>
          <w:iCs/>
          <w:sz w:val="22"/>
        </w:rPr>
        <w:t>control variables</w:t>
      </w:r>
      <w:r w:rsidR="00342768">
        <w:rPr>
          <w:bCs/>
          <w:iCs/>
          <w:sz w:val="22"/>
        </w:rPr>
        <w:t>, consisting of ownership and firm</w:t>
      </w:r>
      <w:r w:rsidR="00C87FA3">
        <w:rPr>
          <w:bCs/>
          <w:iCs/>
          <w:sz w:val="22"/>
        </w:rPr>
        <w:t>-specific</w:t>
      </w:r>
      <w:r w:rsidR="00342768">
        <w:rPr>
          <w:bCs/>
          <w:iCs/>
          <w:sz w:val="22"/>
        </w:rPr>
        <w:t xml:space="preserve"> characteristics</w:t>
      </w:r>
      <w:r w:rsidR="000D4B7F" w:rsidRPr="00CA07C3">
        <w:rPr>
          <w:bCs/>
          <w:iCs/>
          <w:sz w:val="22"/>
        </w:rPr>
        <w:t xml:space="preserve">. </w:t>
      </w:r>
      <w:r w:rsidR="000D4B7F" w:rsidRPr="00CA07C3">
        <w:rPr>
          <w:sz w:val="22"/>
        </w:rPr>
        <w:t>First,</w:t>
      </w:r>
      <w:r w:rsidR="003F5621">
        <w:rPr>
          <w:sz w:val="22"/>
        </w:rPr>
        <w:t xml:space="preserve"> our</w:t>
      </w:r>
      <w:r w:rsidR="00532988" w:rsidRPr="00CA07C3">
        <w:rPr>
          <w:sz w:val="22"/>
        </w:rPr>
        <w:t xml:space="preserve"> </w:t>
      </w:r>
      <w:r w:rsidR="00465044">
        <w:rPr>
          <w:sz w:val="22"/>
        </w:rPr>
        <w:t xml:space="preserve">main </w:t>
      </w:r>
      <w:r w:rsidR="00532988" w:rsidRPr="00CA07C3">
        <w:rPr>
          <w:sz w:val="22"/>
        </w:rPr>
        <w:t>dependent variable is EM.</w:t>
      </w:r>
      <w:r w:rsidR="000D4B7F" w:rsidRPr="00CA07C3">
        <w:rPr>
          <w:sz w:val="22"/>
        </w:rPr>
        <w:t xml:space="preserve"> </w:t>
      </w:r>
      <w:r w:rsidR="00532988" w:rsidRPr="00CA07C3">
        <w:rPr>
          <w:sz w:val="22"/>
        </w:rPr>
        <w:t>A</w:t>
      </w:r>
      <w:r w:rsidR="006D04D4" w:rsidRPr="00CA07C3">
        <w:rPr>
          <w:sz w:val="22"/>
        </w:rPr>
        <w:t xml:space="preserve"> </w:t>
      </w:r>
      <w:r w:rsidR="008A7405" w:rsidRPr="00CA07C3">
        <w:rPr>
          <w:sz w:val="22"/>
        </w:rPr>
        <w:t xml:space="preserve">number of approaches have been suggested and used by researchers to </w:t>
      </w:r>
      <w:r w:rsidR="00532988" w:rsidRPr="00CA07C3">
        <w:rPr>
          <w:sz w:val="22"/>
        </w:rPr>
        <w:t>measure</w:t>
      </w:r>
      <w:r w:rsidR="008A7405" w:rsidRPr="00CA07C3">
        <w:rPr>
          <w:sz w:val="22"/>
        </w:rPr>
        <w:t xml:space="preserve"> EM. </w:t>
      </w:r>
      <w:r w:rsidR="002E1853">
        <w:rPr>
          <w:sz w:val="22"/>
        </w:rPr>
        <w:t>Therefore, in this study, w</w:t>
      </w:r>
      <w:r w:rsidR="00B46634">
        <w:rPr>
          <w:sz w:val="22"/>
        </w:rPr>
        <w:t>e employ</w:t>
      </w:r>
      <w:r w:rsidR="002E1853">
        <w:rPr>
          <w:sz w:val="22"/>
        </w:rPr>
        <w:t xml:space="preserve"> two widely used model. First, we employ</w:t>
      </w:r>
      <w:r w:rsidR="00B46634">
        <w:rPr>
          <w:sz w:val="22"/>
        </w:rPr>
        <w:t xml:space="preserve"> </w:t>
      </w:r>
      <w:r w:rsidR="003F5621" w:rsidRPr="00CA07C3">
        <w:rPr>
          <w:sz w:val="22"/>
        </w:rPr>
        <w:t>the 1995 modified Jones model</w:t>
      </w:r>
      <w:r w:rsidR="002E1853">
        <w:rPr>
          <w:sz w:val="22"/>
        </w:rPr>
        <w:t xml:space="preserve">, as our primary model for </w:t>
      </w:r>
      <w:r w:rsidR="003F5621" w:rsidRPr="00CA07C3">
        <w:rPr>
          <w:sz w:val="22"/>
        </w:rPr>
        <w:t>calculat</w:t>
      </w:r>
      <w:r w:rsidR="002E1853">
        <w:rPr>
          <w:sz w:val="22"/>
        </w:rPr>
        <w:t>ing</w:t>
      </w:r>
      <w:r w:rsidR="003F5621" w:rsidRPr="00CA07C3">
        <w:rPr>
          <w:sz w:val="22"/>
        </w:rPr>
        <w:t xml:space="preserve"> firm-level EM</w:t>
      </w:r>
      <w:r w:rsidR="002E1853" w:rsidRPr="00407EB1">
        <w:rPr>
          <w:rFonts w:cs="Times New Roman"/>
          <w:sz w:val="22"/>
        </w:rPr>
        <w:t xml:space="preserve">. </w:t>
      </w:r>
      <w:r w:rsidR="00407EB1" w:rsidRPr="00407EB1">
        <w:rPr>
          <w:rFonts w:cs="Times New Roman"/>
          <w:sz w:val="22"/>
        </w:rPr>
        <w:t xml:space="preserve">Specifically, we follow a three stage approach in estimating EM. First, total accruals are regressed on revenues (REV) and gross property, plant, and equipment (PPE) using this equation: </w:t>
      </w:r>
      <m:oMath>
        <m:f>
          <m:fPr>
            <m:ctrlPr>
              <w:rPr>
                <w:rFonts w:ascii="Cambria Math" w:hAnsi="Cambria Math" w:cs="Times New Roman"/>
                <w:iCs/>
                <w:sz w:val="22"/>
              </w:rPr>
            </m:ctrlPr>
          </m:fPr>
          <m:num>
            <m:sSub>
              <m:sSubPr>
                <m:ctrlPr>
                  <w:rPr>
                    <w:rFonts w:ascii="Cambria Math" w:hAnsi="Cambria Math" w:cs="Times New Roman"/>
                    <w:iCs/>
                    <w:sz w:val="22"/>
                  </w:rPr>
                </m:ctrlPr>
              </m:sSubPr>
              <m:e>
                <m:r>
                  <m:rPr>
                    <m:nor/>
                  </m:rPr>
                  <w:rPr>
                    <w:rFonts w:cs="Times New Roman"/>
                    <w:sz w:val="22"/>
                  </w:rPr>
                  <m:t>TAC</m:t>
                </m:r>
              </m:e>
              <m:sub>
                <m:r>
                  <m:rPr>
                    <m:nor/>
                  </m:rPr>
                  <w:rPr>
                    <w:rFonts w:cs="Times New Roman"/>
                    <w:sz w:val="22"/>
                  </w:rPr>
                  <m:t>it</m:t>
                </m:r>
              </m:sub>
            </m:sSub>
          </m:num>
          <m:den>
            <m:sSub>
              <m:sSubPr>
                <m:ctrlPr>
                  <w:rPr>
                    <w:rFonts w:ascii="Cambria Math" w:hAnsi="Cambria Math" w:cs="Times New Roman"/>
                    <w:iCs/>
                    <w:sz w:val="22"/>
                  </w:rPr>
                </m:ctrlPr>
              </m:sSubPr>
              <m:e>
                <m:r>
                  <m:rPr>
                    <m:nor/>
                  </m:rPr>
                  <w:rPr>
                    <w:rFonts w:cs="Times New Roman"/>
                    <w:sz w:val="22"/>
                  </w:rPr>
                  <m:t>TA</m:t>
                </m:r>
              </m:e>
              <m:sub>
                <m:r>
                  <m:rPr>
                    <m:nor/>
                  </m:rPr>
                  <w:rPr>
                    <w:rFonts w:cs="Times New Roman"/>
                    <w:sz w:val="22"/>
                  </w:rPr>
                  <m:t>it-1</m:t>
                </m:r>
              </m:sub>
            </m:sSub>
          </m:den>
        </m:f>
      </m:oMath>
      <w:r w:rsidR="00407EB1" w:rsidRPr="00407EB1">
        <w:rPr>
          <w:rFonts w:cs="Times New Roman"/>
          <w:sz w:val="22"/>
        </w:rPr>
        <w:t xml:space="preserve"> = </w:t>
      </w:r>
      <m:oMath>
        <m:sSub>
          <m:sSubPr>
            <m:ctrlPr>
              <w:rPr>
                <w:rFonts w:ascii="Cambria Math" w:hAnsi="Cambria Math" w:cs="Times New Roman"/>
                <w:i/>
                <w:iCs/>
                <w:sz w:val="22"/>
              </w:rPr>
            </m:ctrlPr>
          </m:sSubPr>
          <m:e>
            <m:r>
              <m:rPr>
                <m:nor/>
              </m:rPr>
              <w:rPr>
                <w:rFonts w:cs="Times New Roman"/>
                <w:sz w:val="22"/>
              </w:rPr>
              <m:t>α</m:t>
            </m:r>
          </m:e>
          <m:sub>
            <m:r>
              <m:rPr>
                <m:nor/>
              </m:rPr>
              <w:rPr>
                <w:rFonts w:cs="Times New Roman"/>
                <w:sz w:val="22"/>
              </w:rPr>
              <m:t xml:space="preserve">1 </m:t>
            </m:r>
          </m:sub>
        </m:sSub>
        <m:f>
          <m:fPr>
            <m:ctrlPr>
              <w:rPr>
                <w:rFonts w:ascii="Cambria Math" w:hAnsi="Cambria Math" w:cs="Times New Roman"/>
                <w:i/>
                <w:iCs/>
                <w:sz w:val="22"/>
              </w:rPr>
            </m:ctrlPr>
          </m:fPr>
          <m:num>
            <m:r>
              <m:rPr>
                <m:nor/>
              </m:rPr>
              <w:rPr>
                <w:rFonts w:cs="Times New Roman"/>
                <w:sz w:val="22"/>
              </w:rPr>
              <m:t>1</m:t>
            </m:r>
          </m:num>
          <m:den>
            <m:sSub>
              <m:sSubPr>
                <m:ctrlPr>
                  <w:rPr>
                    <w:rFonts w:ascii="Cambria Math" w:hAnsi="Cambria Math" w:cs="Times New Roman"/>
                    <w:i/>
                    <w:iCs/>
                    <w:sz w:val="22"/>
                  </w:rPr>
                </m:ctrlPr>
              </m:sSubPr>
              <m:e>
                <m:r>
                  <m:rPr>
                    <m:nor/>
                  </m:rPr>
                  <w:rPr>
                    <w:rFonts w:cs="Times New Roman"/>
                    <w:sz w:val="22"/>
                  </w:rPr>
                  <m:t>TA</m:t>
                </m:r>
              </m:e>
              <m:sub>
                <m:r>
                  <m:rPr>
                    <m:nor/>
                  </m:rPr>
                  <w:rPr>
                    <w:rFonts w:cs="Times New Roman"/>
                    <w:sz w:val="22"/>
                  </w:rPr>
                  <m:t>it-1</m:t>
                </m:r>
              </m:sub>
            </m:sSub>
          </m:den>
        </m:f>
      </m:oMath>
      <w:r w:rsidR="00407EB1" w:rsidRPr="00407EB1">
        <w:rPr>
          <w:rFonts w:cs="Times New Roman"/>
          <w:sz w:val="22"/>
        </w:rPr>
        <w:t xml:space="preserve"> + </w:t>
      </w:r>
      <m:oMath>
        <m:sSub>
          <m:sSubPr>
            <m:ctrlPr>
              <w:rPr>
                <w:rFonts w:ascii="Cambria Math" w:hAnsi="Cambria Math" w:cs="Times New Roman"/>
                <w:iCs/>
                <w:sz w:val="22"/>
              </w:rPr>
            </m:ctrlPr>
          </m:sSubPr>
          <m:e>
            <m:r>
              <m:rPr>
                <m:nor/>
              </m:rPr>
              <w:rPr>
                <w:rFonts w:cs="Times New Roman"/>
                <w:sz w:val="22"/>
              </w:rPr>
              <m:t>α</m:t>
            </m:r>
          </m:e>
          <m:sub>
            <m:r>
              <m:rPr>
                <m:nor/>
              </m:rPr>
              <w:rPr>
                <w:rFonts w:cs="Times New Roman"/>
                <w:sz w:val="22"/>
              </w:rPr>
              <m:t>2</m:t>
            </m:r>
          </m:sub>
        </m:sSub>
      </m:oMath>
      <w:r w:rsidR="00407EB1" w:rsidRPr="00407EB1">
        <w:rPr>
          <w:rFonts w:cs="Times New Roman"/>
          <w:sz w:val="22"/>
        </w:rPr>
        <w:t xml:space="preserve"> </w:t>
      </w:r>
      <m:oMath>
        <m:f>
          <m:fPr>
            <m:ctrlPr>
              <w:rPr>
                <w:rFonts w:ascii="Cambria Math" w:hAnsi="Cambria Math" w:cs="Times New Roman"/>
                <w:i/>
                <w:iCs/>
                <w:sz w:val="22"/>
              </w:rPr>
            </m:ctrlPr>
          </m:fPr>
          <m:num>
            <m:sSub>
              <m:sSubPr>
                <m:ctrlPr>
                  <w:rPr>
                    <w:rFonts w:ascii="Cambria Math" w:hAnsi="Cambria Math" w:cs="Times New Roman"/>
                    <w:i/>
                    <w:iCs/>
                    <w:sz w:val="22"/>
                  </w:rPr>
                </m:ctrlPr>
              </m:sSubPr>
              <m:e>
                <m:r>
                  <m:rPr>
                    <m:nor/>
                  </m:rPr>
                  <w:rPr>
                    <w:rFonts w:cs="Times New Roman"/>
                    <w:sz w:val="22"/>
                  </w:rPr>
                  <m:t>∆ Rev</m:t>
                </m:r>
              </m:e>
              <m:sub>
                <m:r>
                  <m:rPr>
                    <m:nor/>
                  </m:rPr>
                  <w:rPr>
                    <w:rFonts w:cs="Times New Roman"/>
                    <w:sz w:val="22"/>
                  </w:rPr>
                  <m:t>it</m:t>
                </m:r>
              </m:sub>
            </m:sSub>
          </m:num>
          <m:den>
            <m:sSub>
              <m:sSubPr>
                <m:ctrlPr>
                  <w:rPr>
                    <w:rFonts w:ascii="Cambria Math" w:hAnsi="Cambria Math" w:cs="Times New Roman"/>
                    <w:i/>
                    <w:iCs/>
                    <w:sz w:val="22"/>
                  </w:rPr>
                </m:ctrlPr>
              </m:sSubPr>
              <m:e>
                <m:r>
                  <m:rPr>
                    <m:nor/>
                  </m:rPr>
                  <w:rPr>
                    <w:rFonts w:cs="Times New Roman"/>
                    <w:sz w:val="22"/>
                  </w:rPr>
                  <m:t>TA</m:t>
                </m:r>
              </m:e>
              <m:sub>
                <m:r>
                  <m:rPr>
                    <m:nor/>
                  </m:rPr>
                  <w:rPr>
                    <w:rFonts w:cs="Times New Roman"/>
                    <w:sz w:val="22"/>
                  </w:rPr>
                  <m:t>it-1</m:t>
                </m:r>
              </m:sub>
            </m:sSub>
          </m:den>
        </m:f>
      </m:oMath>
      <w:r w:rsidR="00407EB1" w:rsidRPr="00407EB1">
        <w:rPr>
          <w:rFonts w:cs="Times New Roman"/>
          <w:sz w:val="22"/>
        </w:rPr>
        <w:t xml:space="preserve">  + </w:t>
      </w:r>
      <m:oMath>
        <m:sSub>
          <m:sSubPr>
            <m:ctrlPr>
              <w:rPr>
                <w:rFonts w:ascii="Cambria Math" w:hAnsi="Cambria Math" w:cs="Times New Roman"/>
                <w:i/>
                <w:iCs/>
                <w:sz w:val="22"/>
              </w:rPr>
            </m:ctrlPr>
          </m:sSubPr>
          <m:e>
            <m:r>
              <m:rPr>
                <m:nor/>
              </m:rPr>
              <w:rPr>
                <w:rFonts w:cs="Times New Roman"/>
                <w:sz w:val="22"/>
              </w:rPr>
              <m:t>α</m:t>
            </m:r>
          </m:e>
          <m:sub>
            <m:r>
              <m:rPr>
                <m:nor/>
              </m:rPr>
              <w:rPr>
                <w:rFonts w:cs="Times New Roman"/>
                <w:sz w:val="22"/>
              </w:rPr>
              <m:t>3</m:t>
            </m:r>
          </m:sub>
        </m:sSub>
      </m:oMath>
      <w:r w:rsidR="00407EB1" w:rsidRPr="00407EB1">
        <w:rPr>
          <w:rFonts w:cs="Times New Roman"/>
          <w:sz w:val="22"/>
        </w:rPr>
        <w:t xml:space="preserve"> </w:t>
      </w:r>
      <m:oMath>
        <m:f>
          <m:fPr>
            <m:ctrlPr>
              <w:rPr>
                <w:rFonts w:ascii="Cambria Math" w:hAnsi="Cambria Math" w:cs="Times New Roman"/>
                <w:i/>
                <w:iCs/>
                <w:sz w:val="22"/>
              </w:rPr>
            </m:ctrlPr>
          </m:fPr>
          <m:num>
            <m:sSub>
              <m:sSubPr>
                <m:ctrlPr>
                  <w:rPr>
                    <w:rFonts w:ascii="Cambria Math" w:hAnsi="Cambria Math" w:cs="Times New Roman"/>
                    <w:i/>
                    <w:iCs/>
                    <w:sz w:val="22"/>
                  </w:rPr>
                </m:ctrlPr>
              </m:sSubPr>
              <m:e>
                <m:r>
                  <m:rPr>
                    <m:nor/>
                  </m:rPr>
                  <w:rPr>
                    <w:rFonts w:cs="Times New Roman"/>
                    <w:sz w:val="22"/>
                  </w:rPr>
                  <m:t>PPE</m:t>
                </m:r>
              </m:e>
              <m:sub>
                <m:r>
                  <m:rPr>
                    <m:nor/>
                  </m:rPr>
                  <w:rPr>
                    <w:rFonts w:cs="Times New Roman"/>
                    <w:sz w:val="22"/>
                  </w:rPr>
                  <m:t>it</m:t>
                </m:r>
              </m:sub>
            </m:sSub>
          </m:num>
          <m:den>
            <m:sSub>
              <m:sSubPr>
                <m:ctrlPr>
                  <w:rPr>
                    <w:rFonts w:ascii="Cambria Math" w:hAnsi="Cambria Math" w:cs="Times New Roman"/>
                    <w:i/>
                    <w:iCs/>
                    <w:sz w:val="22"/>
                  </w:rPr>
                </m:ctrlPr>
              </m:sSubPr>
              <m:e>
                <m:r>
                  <m:rPr>
                    <m:nor/>
                  </m:rPr>
                  <w:rPr>
                    <w:rFonts w:cs="Times New Roman"/>
                    <w:sz w:val="22"/>
                  </w:rPr>
                  <m:t>TA</m:t>
                </m:r>
              </m:e>
              <m:sub>
                <m:r>
                  <m:rPr>
                    <m:nor/>
                  </m:rPr>
                  <w:rPr>
                    <w:rFonts w:cs="Times New Roman"/>
                    <w:sz w:val="22"/>
                  </w:rPr>
                  <m:t>it-1</m:t>
                </m:r>
              </m:sub>
            </m:sSub>
          </m:den>
        </m:f>
      </m:oMath>
      <w:r w:rsidR="00407EB1" w:rsidRPr="00407EB1">
        <w:rPr>
          <w:rFonts w:cs="Times New Roman"/>
          <w:sz w:val="22"/>
        </w:rPr>
        <w:t xml:space="preserve"> + </w:t>
      </w:r>
      <m:oMath>
        <m:sSub>
          <m:sSubPr>
            <m:ctrlPr>
              <w:rPr>
                <w:rFonts w:ascii="Cambria Math" w:hAnsi="Cambria Math" w:cs="Times New Roman"/>
                <w:i/>
                <w:iCs/>
                <w:sz w:val="22"/>
              </w:rPr>
            </m:ctrlPr>
          </m:sSubPr>
          <m:e>
            <m:r>
              <m:rPr>
                <m:nor/>
              </m:rPr>
              <w:rPr>
                <w:rFonts w:cs="Times New Roman"/>
                <w:sz w:val="22"/>
              </w:rPr>
              <m:t>ε</m:t>
            </m:r>
          </m:e>
          <m:sub>
            <m:r>
              <m:rPr>
                <m:nor/>
              </m:rPr>
              <w:rPr>
                <w:rFonts w:cs="Times New Roman"/>
                <w:sz w:val="22"/>
              </w:rPr>
              <m:t>it</m:t>
            </m:r>
          </m:sub>
        </m:sSub>
      </m:oMath>
      <w:r w:rsidR="00407EB1" w:rsidRPr="00407EB1">
        <w:rPr>
          <w:rFonts w:cs="Times New Roman"/>
          <w:sz w:val="22"/>
        </w:rPr>
        <w:t xml:space="preserve">  (1), where TAC refers to total accruals in year t for firm i, which is calculated as net income minus operating cash flow. TA refers to total assets in year t–1 for firm i. ΔRev refers to revenues in year t less revenues in year </w:t>
      </w:r>
      <w:r w:rsidR="00407EB1" w:rsidRPr="00AB2E04">
        <w:rPr>
          <w:rFonts w:cs="Times New Roman"/>
          <w:i/>
          <w:sz w:val="22"/>
        </w:rPr>
        <w:t>t</w:t>
      </w:r>
      <w:r w:rsidR="00407EB1" w:rsidRPr="00407EB1">
        <w:rPr>
          <w:rFonts w:cs="Times New Roman"/>
          <w:sz w:val="22"/>
        </w:rPr>
        <w:t xml:space="preserve">–1 for firm </w:t>
      </w:r>
      <w:r w:rsidR="00407EB1" w:rsidRPr="00AB2E04">
        <w:rPr>
          <w:rFonts w:cs="Times New Roman"/>
          <w:i/>
          <w:sz w:val="22"/>
        </w:rPr>
        <w:t>i</w:t>
      </w:r>
      <w:r w:rsidR="00407EB1" w:rsidRPr="00407EB1">
        <w:rPr>
          <w:rFonts w:cs="Times New Roman"/>
          <w:sz w:val="22"/>
        </w:rPr>
        <w:t>. PPE refers to gross property, plant, and equipment in year t for firm i. εit is the idiosyncratic error term in year t for firm i. All variables are divided by lagged total assets in order to mitigate any potential heteroskedasticity problems, and the cash flow approach is adopted in order to calculate total accruals, which is in line with a considerable number of prior studies (e.g., Hribar et al., 2002; Davidson et al., 2005; Chen &amp; Zhang, 2012).</w:t>
      </w:r>
    </w:p>
    <w:p w:rsidR="003F5621" w:rsidRPr="00407EB1" w:rsidRDefault="00407EB1" w:rsidP="0074526A">
      <w:pPr>
        <w:spacing w:line="360" w:lineRule="auto"/>
        <w:ind w:firstLine="576"/>
        <w:jc w:val="both"/>
        <w:rPr>
          <w:rFonts w:cs="Times New Roman"/>
          <w:sz w:val="22"/>
        </w:rPr>
      </w:pPr>
      <w:r w:rsidRPr="0074526A">
        <w:rPr>
          <w:rFonts w:cs="Times New Roman"/>
          <w:sz w:val="22"/>
        </w:rPr>
        <w:t xml:space="preserve">Second, the coefficients estimated from equation (1) are used in equation (2) in order to estimate non-discretionary accruals as follows: </w:t>
      </w:r>
      <m:oMath>
        <m:sSub>
          <m:sSubPr>
            <m:ctrlPr>
              <w:rPr>
                <w:rFonts w:ascii="Cambria Math" w:hAnsi="Cambria Math" w:cs="Times New Roman"/>
                <w:sz w:val="22"/>
              </w:rPr>
            </m:ctrlPr>
          </m:sSubPr>
          <m:e>
            <m:r>
              <m:rPr>
                <m:nor/>
              </m:rPr>
              <w:rPr>
                <w:rFonts w:cs="Times New Roman"/>
                <w:sz w:val="22"/>
              </w:rPr>
              <m:t>NDA</m:t>
            </m:r>
          </m:e>
          <m:sub>
            <m:r>
              <m:rPr>
                <m:nor/>
              </m:rPr>
              <w:rPr>
                <w:rFonts w:cs="Times New Roman"/>
                <w:sz w:val="22"/>
              </w:rPr>
              <m:t>it</m:t>
            </m:r>
          </m:sub>
        </m:sSub>
      </m:oMath>
      <w:r w:rsidRPr="00407EB1">
        <w:rPr>
          <w:rFonts w:cs="Times New Roman"/>
          <w:sz w:val="22"/>
        </w:rPr>
        <w:t xml:space="preserve"> = </w:t>
      </w:r>
      <m:oMath>
        <m:sSub>
          <m:sSubPr>
            <m:ctrlPr>
              <w:rPr>
                <w:rFonts w:ascii="Cambria Math" w:hAnsi="Cambria Math" w:cs="Times New Roman"/>
                <w:i/>
                <w:iCs/>
                <w:sz w:val="22"/>
              </w:rPr>
            </m:ctrlPr>
          </m:sSubPr>
          <m:e>
            <m:r>
              <w:rPr>
                <w:rFonts w:ascii="Cambria Math" w:hAnsi="Cambria Math" w:cs="Times New Roman"/>
                <w:sz w:val="22"/>
              </w:rPr>
              <m:t>α</m:t>
            </m:r>
          </m:e>
          <m:sub>
            <m:r>
              <m:rPr>
                <m:nor/>
              </m:rPr>
              <w:rPr>
                <w:rFonts w:cs="Times New Roman"/>
                <w:sz w:val="22"/>
              </w:rPr>
              <m:t xml:space="preserve">1 </m:t>
            </m:r>
          </m:sub>
        </m:sSub>
        <m:f>
          <m:fPr>
            <m:ctrlPr>
              <w:rPr>
                <w:rFonts w:ascii="Cambria Math" w:hAnsi="Cambria Math" w:cs="Times New Roman"/>
                <w:i/>
                <w:iCs/>
                <w:sz w:val="22"/>
              </w:rPr>
            </m:ctrlPr>
          </m:fPr>
          <m:num>
            <m:r>
              <m:rPr>
                <m:nor/>
              </m:rPr>
              <w:rPr>
                <w:rFonts w:cs="Times New Roman"/>
                <w:sz w:val="22"/>
              </w:rPr>
              <m:t>1</m:t>
            </m:r>
          </m:num>
          <m:den>
            <m:sSub>
              <m:sSubPr>
                <m:ctrlPr>
                  <w:rPr>
                    <w:rFonts w:ascii="Cambria Math" w:hAnsi="Cambria Math" w:cs="Times New Roman"/>
                    <w:i/>
                    <w:iCs/>
                    <w:sz w:val="22"/>
                  </w:rPr>
                </m:ctrlPr>
              </m:sSubPr>
              <m:e>
                <m:r>
                  <m:rPr>
                    <m:nor/>
                  </m:rPr>
                  <w:rPr>
                    <w:rFonts w:cs="Times New Roman"/>
                    <w:sz w:val="22"/>
                  </w:rPr>
                  <m:t>TA</m:t>
                </m:r>
              </m:e>
              <m:sub>
                <m:r>
                  <m:rPr>
                    <m:nor/>
                  </m:rPr>
                  <w:rPr>
                    <w:rFonts w:cs="Times New Roman"/>
                    <w:sz w:val="22"/>
                  </w:rPr>
                  <m:t>it-1</m:t>
                </m:r>
              </m:sub>
            </m:sSub>
          </m:den>
        </m:f>
      </m:oMath>
      <w:r w:rsidRPr="00407EB1">
        <w:rPr>
          <w:rFonts w:cs="Times New Roman"/>
          <w:sz w:val="22"/>
        </w:rPr>
        <w:t xml:space="preserve"> + </w:t>
      </w:r>
      <m:oMath>
        <m:sSub>
          <m:sSubPr>
            <m:ctrlPr>
              <w:rPr>
                <w:rFonts w:ascii="Cambria Math" w:hAnsi="Cambria Math" w:cs="Times New Roman"/>
                <w:iCs/>
                <w:sz w:val="22"/>
              </w:rPr>
            </m:ctrlPr>
          </m:sSubPr>
          <m:e>
            <m:r>
              <m:rPr>
                <m:nor/>
              </m:rPr>
              <w:rPr>
                <w:rFonts w:cs="Times New Roman"/>
                <w:sz w:val="22"/>
              </w:rPr>
              <m:t>α</m:t>
            </m:r>
          </m:e>
          <m:sub>
            <m:r>
              <m:rPr>
                <m:nor/>
              </m:rPr>
              <w:rPr>
                <w:rFonts w:cs="Times New Roman"/>
                <w:sz w:val="22"/>
              </w:rPr>
              <m:t>2</m:t>
            </m:r>
          </m:sub>
        </m:sSub>
        <m:r>
          <m:rPr>
            <m:sty m:val="p"/>
          </m:rPr>
          <w:rPr>
            <w:rFonts w:ascii="Cambria Math" w:hAnsi="Cambria Math" w:cs="Times New Roman"/>
            <w:sz w:val="22"/>
          </w:rPr>
          <m:t xml:space="preserve">  </m:t>
        </m:r>
      </m:oMath>
      <w:r w:rsidRPr="00407EB1">
        <w:rPr>
          <w:rFonts w:cs="Times New Roman"/>
          <w:sz w:val="22"/>
        </w:rPr>
        <w:t xml:space="preserve">( </w:t>
      </w:r>
      <m:oMath>
        <m:f>
          <m:fPr>
            <m:ctrlPr>
              <w:rPr>
                <w:rFonts w:ascii="Cambria Math" w:hAnsi="Cambria Math" w:cs="Times New Roman"/>
                <w:i/>
                <w:iCs/>
                <w:sz w:val="22"/>
              </w:rPr>
            </m:ctrlPr>
          </m:fPr>
          <m:num>
            <m:sSub>
              <m:sSubPr>
                <m:ctrlPr>
                  <w:rPr>
                    <w:rFonts w:ascii="Cambria Math" w:hAnsi="Cambria Math" w:cs="Times New Roman"/>
                    <w:i/>
                    <w:iCs/>
                    <w:sz w:val="22"/>
                  </w:rPr>
                </m:ctrlPr>
              </m:sSubPr>
              <m:e>
                <m:r>
                  <m:rPr>
                    <m:nor/>
                  </m:rPr>
                  <w:rPr>
                    <w:rFonts w:cs="Times New Roman"/>
                    <w:sz w:val="22"/>
                  </w:rPr>
                  <m:t>∆ Rev</m:t>
                </m:r>
              </m:e>
              <m:sub>
                <m:r>
                  <m:rPr>
                    <m:nor/>
                  </m:rPr>
                  <w:rPr>
                    <w:rFonts w:cs="Times New Roman"/>
                    <w:sz w:val="22"/>
                  </w:rPr>
                  <m:t>it</m:t>
                </m:r>
              </m:sub>
            </m:sSub>
          </m:num>
          <m:den>
            <m:sSub>
              <m:sSubPr>
                <m:ctrlPr>
                  <w:rPr>
                    <w:rFonts w:ascii="Cambria Math" w:hAnsi="Cambria Math" w:cs="Times New Roman"/>
                    <w:i/>
                    <w:iCs/>
                    <w:sz w:val="22"/>
                  </w:rPr>
                </m:ctrlPr>
              </m:sSubPr>
              <m:e>
                <m:r>
                  <m:rPr>
                    <m:nor/>
                  </m:rPr>
                  <w:rPr>
                    <w:rFonts w:cs="Times New Roman"/>
                    <w:sz w:val="22"/>
                  </w:rPr>
                  <m:t>TA</m:t>
                </m:r>
              </m:e>
              <m:sub>
                <m:r>
                  <m:rPr>
                    <m:nor/>
                  </m:rPr>
                  <w:rPr>
                    <w:rFonts w:cs="Times New Roman"/>
                    <w:sz w:val="22"/>
                  </w:rPr>
                  <m:t>it-1</m:t>
                </m:r>
              </m:sub>
            </m:sSub>
          </m:den>
        </m:f>
      </m:oMath>
      <w:r w:rsidRPr="00407EB1">
        <w:rPr>
          <w:rFonts w:cs="Times New Roman"/>
          <w:sz w:val="22"/>
        </w:rPr>
        <w:t xml:space="preserve"> - </w:t>
      </w:r>
      <m:oMath>
        <m:f>
          <m:fPr>
            <m:ctrlPr>
              <w:rPr>
                <w:rFonts w:ascii="Cambria Math" w:hAnsi="Cambria Math" w:cs="Times New Roman"/>
                <w:sz w:val="22"/>
              </w:rPr>
            </m:ctrlPr>
          </m:fPr>
          <m:num>
            <m:sSub>
              <m:sSubPr>
                <m:ctrlPr>
                  <w:rPr>
                    <w:rFonts w:ascii="Cambria Math" w:hAnsi="Cambria Math" w:cs="Times New Roman"/>
                    <w:sz w:val="22"/>
                  </w:rPr>
                </m:ctrlPr>
              </m:sSubPr>
              <m:e>
                <m:r>
                  <m:rPr>
                    <m:nor/>
                  </m:rPr>
                  <w:rPr>
                    <w:rFonts w:cs="Times New Roman"/>
                    <w:sz w:val="22"/>
                  </w:rPr>
                  <m:t>∆ Rec</m:t>
                </m:r>
              </m:e>
              <m:sub>
                <m:r>
                  <m:rPr>
                    <m:nor/>
                  </m:rPr>
                  <w:rPr>
                    <w:rFonts w:cs="Times New Roman"/>
                    <w:sz w:val="22"/>
                  </w:rPr>
                  <m:t>it</m:t>
                </m:r>
              </m:sub>
            </m:sSub>
          </m:num>
          <m:den>
            <m:sSub>
              <m:sSubPr>
                <m:ctrlPr>
                  <w:rPr>
                    <w:rFonts w:ascii="Cambria Math" w:hAnsi="Cambria Math" w:cs="Times New Roman"/>
                    <w:sz w:val="22"/>
                  </w:rPr>
                </m:ctrlPr>
              </m:sSubPr>
              <m:e>
                <m:r>
                  <m:rPr>
                    <m:nor/>
                  </m:rPr>
                  <w:rPr>
                    <w:rFonts w:cs="Times New Roman"/>
                    <w:sz w:val="22"/>
                  </w:rPr>
                  <m:t>TA</m:t>
                </m:r>
              </m:e>
              <m:sub>
                <m:r>
                  <m:rPr>
                    <m:nor/>
                  </m:rPr>
                  <w:rPr>
                    <w:rFonts w:cs="Times New Roman"/>
                    <w:sz w:val="22"/>
                  </w:rPr>
                  <m:t>it-1</m:t>
                </m:r>
              </m:sub>
            </m:sSub>
          </m:den>
        </m:f>
      </m:oMath>
      <w:r w:rsidRPr="00407EB1">
        <w:rPr>
          <w:rFonts w:cs="Times New Roman"/>
          <w:sz w:val="22"/>
        </w:rPr>
        <w:t xml:space="preserve"> ) + </w:t>
      </w:r>
      <m:oMath>
        <m:sSub>
          <m:sSubPr>
            <m:ctrlPr>
              <w:rPr>
                <w:rFonts w:ascii="Cambria Math" w:hAnsi="Cambria Math" w:cs="Times New Roman"/>
                <w:i/>
                <w:iCs/>
                <w:sz w:val="22"/>
              </w:rPr>
            </m:ctrlPr>
          </m:sSubPr>
          <m:e>
            <m:r>
              <m:rPr>
                <m:nor/>
              </m:rPr>
              <w:rPr>
                <w:rFonts w:cs="Times New Roman"/>
                <w:sz w:val="22"/>
              </w:rPr>
              <m:t>α</m:t>
            </m:r>
          </m:e>
          <m:sub>
            <m:r>
              <m:rPr>
                <m:nor/>
              </m:rPr>
              <w:rPr>
                <w:rFonts w:cs="Times New Roman"/>
                <w:sz w:val="22"/>
              </w:rPr>
              <m:t>3</m:t>
            </m:r>
          </m:sub>
        </m:sSub>
      </m:oMath>
      <w:r w:rsidRPr="00407EB1">
        <w:rPr>
          <w:rFonts w:cs="Times New Roman"/>
          <w:sz w:val="22"/>
        </w:rPr>
        <w:t xml:space="preserve"> </w:t>
      </w:r>
      <m:oMath>
        <m:f>
          <m:fPr>
            <m:ctrlPr>
              <w:rPr>
                <w:rFonts w:ascii="Cambria Math" w:hAnsi="Cambria Math" w:cs="Times New Roman"/>
                <w:i/>
                <w:iCs/>
                <w:sz w:val="22"/>
              </w:rPr>
            </m:ctrlPr>
          </m:fPr>
          <m:num>
            <m:sSub>
              <m:sSubPr>
                <m:ctrlPr>
                  <w:rPr>
                    <w:rFonts w:ascii="Cambria Math" w:hAnsi="Cambria Math" w:cs="Times New Roman"/>
                    <w:i/>
                    <w:iCs/>
                    <w:sz w:val="22"/>
                  </w:rPr>
                </m:ctrlPr>
              </m:sSubPr>
              <m:e>
                <m:r>
                  <m:rPr>
                    <m:nor/>
                  </m:rPr>
                  <w:rPr>
                    <w:rFonts w:cs="Times New Roman"/>
                    <w:sz w:val="22"/>
                  </w:rPr>
                  <m:t>PPE</m:t>
                </m:r>
              </m:e>
              <m:sub>
                <m:r>
                  <m:rPr>
                    <m:nor/>
                  </m:rPr>
                  <w:rPr>
                    <w:rFonts w:cs="Times New Roman"/>
                    <w:sz w:val="22"/>
                  </w:rPr>
                  <m:t>it</m:t>
                </m:r>
              </m:sub>
            </m:sSub>
          </m:num>
          <m:den>
            <m:sSub>
              <m:sSubPr>
                <m:ctrlPr>
                  <w:rPr>
                    <w:rFonts w:ascii="Cambria Math" w:hAnsi="Cambria Math" w:cs="Times New Roman"/>
                    <w:i/>
                    <w:iCs/>
                    <w:sz w:val="22"/>
                  </w:rPr>
                </m:ctrlPr>
              </m:sSubPr>
              <m:e>
                <m:r>
                  <m:rPr>
                    <m:nor/>
                  </m:rPr>
                  <w:rPr>
                    <w:rFonts w:cs="Times New Roman"/>
                    <w:sz w:val="22"/>
                  </w:rPr>
                  <m:t>TA</m:t>
                </m:r>
              </m:e>
              <m:sub>
                <m:r>
                  <m:rPr>
                    <m:nor/>
                  </m:rPr>
                  <w:rPr>
                    <w:rFonts w:cs="Times New Roman"/>
                    <w:sz w:val="22"/>
                  </w:rPr>
                  <m:t>it-1</m:t>
                </m:r>
              </m:sub>
            </m:sSub>
          </m:den>
        </m:f>
      </m:oMath>
      <w:r w:rsidRPr="00407EB1">
        <w:rPr>
          <w:rFonts w:cs="Times New Roman"/>
          <w:sz w:val="22"/>
        </w:rPr>
        <w:t xml:space="preserve">  (2), where everything remains the same as defined in equation (1) except that </w:t>
      </w:r>
      <m:oMath>
        <m:sSub>
          <m:sSubPr>
            <m:ctrlPr>
              <w:rPr>
                <w:rFonts w:ascii="Cambria Math" w:hAnsi="Cambria Math" w:cs="Times New Roman"/>
                <w:i/>
                <w:sz w:val="22"/>
              </w:rPr>
            </m:ctrlPr>
          </m:sSubPr>
          <m:e>
            <m:r>
              <w:rPr>
                <w:rFonts w:ascii="Cambria Math" w:hAnsi="Cambria Math" w:cs="Times New Roman"/>
                <w:sz w:val="22"/>
              </w:rPr>
              <m:t>∆REC</m:t>
            </m:r>
          </m:e>
          <m:sub>
            <m:r>
              <w:rPr>
                <w:rFonts w:ascii="Cambria Math" w:hAnsi="Cambria Math" w:cs="Times New Roman"/>
                <w:sz w:val="22"/>
              </w:rPr>
              <m:t>it</m:t>
            </m:r>
          </m:sub>
        </m:sSub>
      </m:oMath>
      <w:r w:rsidRPr="00407EB1">
        <w:rPr>
          <w:rFonts w:cs="Times New Roman"/>
          <w:sz w:val="22"/>
        </w:rPr>
        <w:t xml:space="preserve"> is included, which presents receivables in year </w:t>
      </w:r>
      <w:r w:rsidRPr="00AB2E04">
        <w:rPr>
          <w:rFonts w:cs="Times New Roman"/>
          <w:i/>
          <w:sz w:val="22"/>
        </w:rPr>
        <w:t>t</w:t>
      </w:r>
      <w:r w:rsidRPr="00407EB1">
        <w:rPr>
          <w:rFonts w:cs="Times New Roman"/>
          <w:sz w:val="22"/>
        </w:rPr>
        <w:t xml:space="preserve"> less receivables in year </w:t>
      </w:r>
      <w:r w:rsidRPr="00AB2E04">
        <w:rPr>
          <w:rFonts w:cs="Times New Roman"/>
          <w:i/>
          <w:sz w:val="22"/>
        </w:rPr>
        <w:t>t</w:t>
      </w:r>
      <w:r w:rsidRPr="00407EB1">
        <w:rPr>
          <w:rFonts w:cs="Times New Roman"/>
          <w:sz w:val="22"/>
        </w:rPr>
        <w:t xml:space="preserve">–1 for firm </w:t>
      </w:r>
      <w:r w:rsidRPr="00AB2E04">
        <w:rPr>
          <w:rFonts w:cs="Times New Roman"/>
          <w:i/>
          <w:sz w:val="22"/>
        </w:rPr>
        <w:t>i</w:t>
      </w:r>
      <w:r w:rsidR="00AB2E04">
        <w:rPr>
          <w:rFonts w:cs="Times New Roman"/>
          <w:sz w:val="22"/>
        </w:rPr>
        <w:t>.</w:t>
      </w:r>
      <w:r w:rsidRPr="00407EB1">
        <w:rPr>
          <w:rFonts w:cs="Times New Roman"/>
          <w:sz w:val="22"/>
        </w:rPr>
        <w:t xml:space="preserve"> Finally, the amount of discretionary accruals (DA), which we use as evidence of the extent of EM is calculated by using the following equation: </w:t>
      </w:r>
      <m:oMath>
        <m:sSub>
          <m:sSubPr>
            <m:ctrlPr>
              <w:rPr>
                <w:rFonts w:ascii="Cambria Math" w:hAnsi="Cambria Math" w:cs="Times New Roman"/>
                <w:sz w:val="22"/>
              </w:rPr>
            </m:ctrlPr>
          </m:sSubPr>
          <m:e>
            <m:r>
              <m:rPr>
                <m:nor/>
              </m:rPr>
              <w:rPr>
                <w:rFonts w:cs="Times New Roman"/>
                <w:sz w:val="22"/>
              </w:rPr>
              <m:t>DA</m:t>
            </m:r>
          </m:e>
          <m:sub>
            <m:r>
              <w:rPr>
                <w:rFonts w:ascii="Cambria Math" w:hAnsi="Cambria Math" w:cs="Times New Roman"/>
                <w:sz w:val="22"/>
              </w:rPr>
              <m:t>it</m:t>
            </m:r>
          </m:sub>
        </m:sSub>
      </m:oMath>
      <w:r w:rsidRPr="00407EB1">
        <w:rPr>
          <w:rFonts w:cs="Times New Roman"/>
          <w:sz w:val="22"/>
        </w:rPr>
        <w:t xml:space="preserve"> = </w:t>
      </w:r>
      <m:oMath>
        <m:f>
          <m:fPr>
            <m:ctrlPr>
              <w:rPr>
                <w:rFonts w:ascii="Cambria Math" w:hAnsi="Cambria Math" w:cs="Times New Roman"/>
                <w:iCs/>
                <w:sz w:val="22"/>
              </w:rPr>
            </m:ctrlPr>
          </m:fPr>
          <m:num>
            <m:sSub>
              <m:sSubPr>
                <m:ctrlPr>
                  <w:rPr>
                    <w:rFonts w:ascii="Cambria Math" w:hAnsi="Cambria Math" w:cs="Times New Roman"/>
                    <w:iCs/>
                    <w:sz w:val="22"/>
                  </w:rPr>
                </m:ctrlPr>
              </m:sSubPr>
              <m:e>
                <m:r>
                  <m:rPr>
                    <m:nor/>
                  </m:rPr>
                  <w:rPr>
                    <w:rFonts w:cs="Times New Roman"/>
                    <w:iCs/>
                    <w:sz w:val="22"/>
                  </w:rPr>
                  <m:t>TAC</m:t>
                </m:r>
              </m:e>
              <m:sub>
                <m:r>
                  <m:rPr>
                    <m:nor/>
                  </m:rPr>
                  <w:rPr>
                    <w:rFonts w:cs="Times New Roman"/>
                    <w:sz w:val="22"/>
                  </w:rPr>
                  <m:t>it</m:t>
                </m:r>
              </m:sub>
            </m:sSub>
          </m:num>
          <m:den>
            <m:sSub>
              <m:sSubPr>
                <m:ctrlPr>
                  <w:rPr>
                    <w:rFonts w:ascii="Cambria Math" w:hAnsi="Cambria Math" w:cs="Times New Roman"/>
                    <w:iCs/>
                    <w:sz w:val="22"/>
                  </w:rPr>
                </m:ctrlPr>
              </m:sSubPr>
              <m:e>
                <m:r>
                  <m:rPr>
                    <m:nor/>
                  </m:rPr>
                  <w:rPr>
                    <w:rFonts w:cs="Times New Roman"/>
                    <w:sz w:val="22"/>
                  </w:rPr>
                  <m:t>TA</m:t>
                </m:r>
              </m:e>
              <m:sub>
                <m:r>
                  <m:rPr>
                    <m:nor/>
                  </m:rPr>
                  <w:rPr>
                    <w:rFonts w:cs="Times New Roman"/>
                    <w:sz w:val="22"/>
                  </w:rPr>
                  <m:t>it-1</m:t>
                </m:r>
              </m:sub>
            </m:sSub>
          </m:den>
        </m:f>
      </m:oMath>
      <w:r w:rsidRPr="00407EB1">
        <w:rPr>
          <w:rFonts w:cs="Times New Roman"/>
          <w:sz w:val="22"/>
        </w:rPr>
        <w:t xml:space="preserve">  - </w:t>
      </w:r>
      <m:oMath>
        <m:sSub>
          <m:sSubPr>
            <m:ctrlPr>
              <w:rPr>
                <w:rFonts w:ascii="Cambria Math" w:hAnsi="Cambria Math" w:cs="Times New Roman"/>
                <w:sz w:val="22"/>
              </w:rPr>
            </m:ctrlPr>
          </m:sSubPr>
          <m:e>
            <m:r>
              <m:rPr>
                <m:nor/>
              </m:rPr>
              <w:rPr>
                <w:rFonts w:cs="Times New Roman"/>
                <w:sz w:val="22"/>
              </w:rPr>
              <m:t>NDA</m:t>
            </m:r>
          </m:e>
          <m:sub>
            <m:r>
              <m:rPr>
                <m:nor/>
              </m:rPr>
              <w:rPr>
                <w:rFonts w:cs="Times New Roman"/>
                <w:sz w:val="22"/>
              </w:rPr>
              <m:t>it</m:t>
            </m:r>
          </m:sub>
        </m:sSub>
      </m:oMath>
      <w:r w:rsidRPr="00407EB1">
        <w:rPr>
          <w:rFonts w:cs="Times New Roman"/>
          <w:sz w:val="22"/>
        </w:rPr>
        <w:t xml:space="preserve">   (3). </w:t>
      </w:r>
      <w:r w:rsidR="002E1853" w:rsidRPr="00407EB1">
        <w:rPr>
          <w:rFonts w:cs="Times New Roman"/>
          <w:sz w:val="22"/>
        </w:rPr>
        <w:t xml:space="preserve">Second, we use </w:t>
      </w:r>
      <w:r w:rsidR="003F5621" w:rsidRPr="00407EB1">
        <w:rPr>
          <w:rFonts w:cs="Times New Roman"/>
          <w:sz w:val="22"/>
        </w:rPr>
        <w:t xml:space="preserve">the 2005 Kothari </w:t>
      </w:r>
      <w:r w:rsidR="003F5621" w:rsidRPr="00407EB1">
        <w:rPr>
          <w:rFonts w:cs="Times New Roman"/>
          <w:iCs/>
          <w:sz w:val="22"/>
        </w:rPr>
        <w:t>et al</w:t>
      </w:r>
      <w:r w:rsidR="003F5621" w:rsidRPr="00407EB1">
        <w:rPr>
          <w:rFonts w:cs="Times New Roman"/>
          <w:sz w:val="22"/>
        </w:rPr>
        <w:t>. mod</w:t>
      </w:r>
      <w:r w:rsidR="002E1853" w:rsidRPr="00407EB1">
        <w:rPr>
          <w:rFonts w:cs="Times New Roman"/>
          <w:sz w:val="22"/>
        </w:rPr>
        <w:t>el</w:t>
      </w:r>
      <w:r w:rsidR="003F5621" w:rsidRPr="00407EB1">
        <w:rPr>
          <w:rFonts w:cs="Times New Roman"/>
          <w:sz w:val="22"/>
        </w:rPr>
        <w:t xml:space="preserve"> to measure EM</w:t>
      </w:r>
      <w:r w:rsidR="002E1853" w:rsidRPr="00407EB1">
        <w:rPr>
          <w:rFonts w:cs="Times New Roman"/>
          <w:sz w:val="22"/>
        </w:rPr>
        <w:t xml:space="preserve"> in order to check the robustness of our findings to alternative EM estimation techniques</w:t>
      </w:r>
      <w:r>
        <w:rPr>
          <w:rFonts w:cs="Times New Roman"/>
          <w:sz w:val="22"/>
        </w:rPr>
        <w:t xml:space="preserve"> that takes into account the managerial opportunity to engage in real earnings manipulations rather than through discretaionary accruals (e.g., </w:t>
      </w:r>
      <w:r w:rsidR="003D180A">
        <w:rPr>
          <w:rFonts w:cs="Times New Roman"/>
          <w:sz w:val="22"/>
        </w:rPr>
        <w:t xml:space="preserve">Cohen et al., 2008; </w:t>
      </w:r>
      <w:r>
        <w:rPr>
          <w:rFonts w:cs="Times New Roman"/>
          <w:sz w:val="22"/>
        </w:rPr>
        <w:t>Kothari et al., 2005, 2015)</w:t>
      </w:r>
      <w:r w:rsidR="003F5621" w:rsidRPr="00407EB1">
        <w:rPr>
          <w:rFonts w:cs="Times New Roman"/>
          <w:sz w:val="22"/>
        </w:rPr>
        <w:t xml:space="preserve">. </w:t>
      </w:r>
      <w:r w:rsidR="002E1853" w:rsidRPr="00407EB1">
        <w:rPr>
          <w:rFonts w:cs="Times New Roman"/>
          <w:sz w:val="22"/>
        </w:rPr>
        <w:t>Observably, t</w:t>
      </w:r>
      <w:r w:rsidR="008068D7" w:rsidRPr="00407EB1">
        <w:rPr>
          <w:rFonts w:cs="Times New Roman"/>
          <w:sz w:val="22"/>
        </w:rPr>
        <w:t>he two models have been chosen for the following reasons: (i) there is no theory that specifies which</w:t>
      </w:r>
      <w:r w:rsidR="002E1853" w:rsidRPr="00407EB1">
        <w:rPr>
          <w:rFonts w:cs="Times New Roman"/>
          <w:sz w:val="22"/>
        </w:rPr>
        <w:t xml:space="preserve"> of the</w:t>
      </w:r>
      <w:r w:rsidR="008068D7" w:rsidRPr="00407EB1">
        <w:rPr>
          <w:rFonts w:cs="Times New Roman"/>
          <w:sz w:val="22"/>
        </w:rPr>
        <w:t xml:space="preserve"> model</w:t>
      </w:r>
      <w:r w:rsidR="002E1853" w:rsidRPr="00407EB1">
        <w:rPr>
          <w:rFonts w:cs="Times New Roman"/>
          <w:sz w:val="22"/>
        </w:rPr>
        <w:t>s produces</w:t>
      </w:r>
      <w:r w:rsidR="008068D7" w:rsidRPr="00407EB1">
        <w:rPr>
          <w:rFonts w:cs="Times New Roman"/>
          <w:sz w:val="22"/>
        </w:rPr>
        <w:t xml:space="preserve"> </w:t>
      </w:r>
      <w:r w:rsidR="002E1853" w:rsidRPr="00407EB1">
        <w:rPr>
          <w:rFonts w:cs="Times New Roman"/>
          <w:sz w:val="22"/>
        </w:rPr>
        <w:t>better</w:t>
      </w:r>
      <w:r w:rsidR="008068D7" w:rsidRPr="00407EB1">
        <w:rPr>
          <w:rFonts w:cs="Times New Roman"/>
          <w:sz w:val="22"/>
        </w:rPr>
        <w:t xml:space="preserve"> EM</w:t>
      </w:r>
      <w:r w:rsidR="002E1853" w:rsidRPr="00407EB1">
        <w:rPr>
          <w:rFonts w:cs="Times New Roman"/>
          <w:sz w:val="22"/>
        </w:rPr>
        <w:t xml:space="preserve"> estimates</w:t>
      </w:r>
      <w:r w:rsidR="008068D7" w:rsidRPr="00407EB1">
        <w:rPr>
          <w:rFonts w:cs="Times New Roman"/>
          <w:sz w:val="22"/>
        </w:rPr>
        <w:t>; (ii) data limitation</w:t>
      </w:r>
      <w:r w:rsidR="002E1853" w:rsidRPr="00407EB1">
        <w:rPr>
          <w:rFonts w:cs="Times New Roman"/>
          <w:sz w:val="22"/>
        </w:rPr>
        <w:t>s implies that we are unable to implement every model available</w:t>
      </w:r>
      <w:r w:rsidR="008068D7" w:rsidRPr="00407EB1">
        <w:rPr>
          <w:rFonts w:cs="Times New Roman"/>
          <w:sz w:val="22"/>
        </w:rPr>
        <w:t xml:space="preserve">; and (iii) </w:t>
      </w:r>
      <w:r w:rsidR="002E1853" w:rsidRPr="00407EB1">
        <w:rPr>
          <w:rFonts w:cs="Times New Roman"/>
          <w:sz w:val="22"/>
        </w:rPr>
        <w:t>the two</w:t>
      </w:r>
      <w:r w:rsidR="008068D7" w:rsidRPr="00407EB1">
        <w:rPr>
          <w:rFonts w:cs="Times New Roman"/>
          <w:sz w:val="22"/>
        </w:rPr>
        <w:t xml:space="preserve"> models </w:t>
      </w:r>
      <w:r w:rsidR="002E1853" w:rsidRPr="00407EB1">
        <w:rPr>
          <w:rFonts w:cs="Times New Roman"/>
          <w:sz w:val="22"/>
        </w:rPr>
        <w:t>have been</w:t>
      </w:r>
      <w:r w:rsidR="008068D7" w:rsidRPr="00407EB1">
        <w:rPr>
          <w:rFonts w:cs="Times New Roman"/>
          <w:sz w:val="22"/>
        </w:rPr>
        <w:t xml:space="preserve"> widely used in the </w:t>
      </w:r>
      <w:r w:rsidR="002E1853" w:rsidRPr="00407EB1">
        <w:rPr>
          <w:rFonts w:cs="Times New Roman"/>
          <w:sz w:val="22"/>
        </w:rPr>
        <w:t xml:space="preserve">extant </w:t>
      </w:r>
      <w:r w:rsidR="008068D7" w:rsidRPr="00407EB1">
        <w:rPr>
          <w:rFonts w:cs="Times New Roman"/>
          <w:sz w:val="22"/>
        </w:rPr>
        <w:t xml:space="preserve">literature (e.g., Jiang </w:t>
      </w:r>
      <w:r w:rsidR="008068D7" w:rsidRPr="00407EB1">
        <w:rPr>
          <w:rFonts w:cs="Times New Roman"/>
          <w:iCs/>
          <w:sz w:val="22"/>
        </w:rPr>
        <w:t>et al</w:t>
      </w:r>
      <w:r w:rsidR="00BD0005" w:rsidRPr="00407EB1">
        <w:rPr>
          <w:rFonts w:cs="Times New Roman"/>
          <w:sz w:val="22"/>
        </w:rPr>
        <w:t>.</w:t>
      </w:r>
      <w:r w:rsidR="008068D7" w:rsidRPr="00407EB1">
        <w:rPr>
          <w:rFonts w:cs="Times New Roman"/>
          <w:sz w:val="22"/>
        </w:rPr>
        <w:t xml:space="preserve">, 2008; Sun </w:t>
      </w:r>
      <w:r w:rsidR="00136F5D" w:rsidRPr="00407EB1">
        <w:rPr>
          <w:rFonts w:cs="Times New Roman"/>
          <w:sz w:val="22"/>
        </w:rPr>
        <w:t>&amp;</w:t>
      </w:r>
      <w:r w:rsidR="008068D7" w:rsidRPr="00407EB1">
        <w:rPr>
          <w:rFonts w:cs="Times New Roman"/>
          <w:sz w:val="22"/>
        </w:rPr>
        <w:t xml:space="preserve"> Liu, 2013) to examine EM</w:t>
      </w:r>
      <w:r w:rsidR="002E1853" w:rsidRPr="00407EB1">
        <w:rPr>
          <w:rFonts w:cs="Times New Roman"/>
          <w:sz w:val="22"/>
        </w:rPr>
        <w:t xml:space="preserve"> a</w:t>
      </w:r>
      <w:r w:rsidR="00EC45F4" w:rsidRPr="00407EB1">
        <w:rPr>
          <w:rFonts w:cs="Times New Roman"/>
          <w:sz w:val="22"/>
        </w:rPr>
        <w:t>nd therefore, their validity have been widely tested</w:t>
      </w:r>
      <w:r w:rsidR="008068D7" w:rsidRPr="00407EB1">
        <w:rPr>
          <w:rFonts w:cs="Times New Roman"/>
          <w:sz w:val="22"/>
        </w:rPr>
        <w:t xml:space="preserve">. </w:t>
      </w:r>
      <w:r w:rsidR="003F5621" w:rsidRPr="00407EB1">
        <w:rPr>
          <w:rFonts w:cs="Times New Roman"/>
          <w:sz w:val="22"/>
        </w:rPr>
        <w:t xml:space="preserve">Further, we adopt signed discretionary accruals </w:t>
      </w:r>
      <w:r w:rsidR="00842592" w:rsidRPr="00407EB1">
        <w:rPr>
          <w:rFonts w:cs="Times New Roman"/>
          <w:sz w:val="22"/>
        </w:rPr>
        <w:t>rather than absolute abnormal</w:t>
      </w:r>
      <w:r w:rsidR="00B46634" w:rsidRPr="00407EB1">
        <w:rPr>
          <w:rFonts w:cs="Times New Roman"/>
          <w:sz w:val="22"/>
        </w:rPr>
        <w:t xml:space="preserve"> accruals</w:t>
      </w:r>
      <w:r w:rsidR="00842592" w:rsidRPr="00407EB1">
        <w:rPr>
          <w:rFonts w:cs="Times New Roman"/>
          <w:sz w:val="22"/>
        </w:rPr>
        <w:t xml:space="preserve"> </w:t>
      </w:r>
      <w:r w:rsidR="003F5621" w:rsidRPr="00407EB1">
        <w:rPr>
          <w:rFonts w:cs="Times New Roman"/>
          <w:sz w:val="22"/>
        </w:rPr>
        <w:t>because we intend to measure firm-level EM in the presence of a particular directional prediction as the relation between</w:t>
      </w:r>
      <w:r w:rsidR="003F5621" w:rsidRPr="00CA07C3">
        <w:rPr>
          <w:sz w:val="22"/>
        </w:rPr>
        <w:t xml:space="preserve"> signed abnormal accruals and CG variables can be predicted</w:t>
      </w:r>
      <w:r w:rsidR="003F5621">
        <w:rPr>
          <w:sz w:val="22"/>
        </w:rPr>
        <w:t xml:space="preserve"> (</w:t>
      </w:r>
      <w:r w:rsidR="003F5621" w:rsidRPr="00CA07C3">
        <w:rPr>
          <w:sz w:val="22"/>
        </w:rPr>
        <w:t xml:space="preserve">Bowen </w:t>
      </w:r>
      <w:r w:rsidR="003F5621" w:rsidRPr="00BD0005">
        <w:rPr>
          <w:iCs/>
          <w:sz w:val="22"/>
        </w:rPr>
        <w:t>et al</w:t>
      </w:r>
      <w:r w:rsidR="003F5621">
        <w:rPr>
          <w:sz w:val="22"/>
        </w:rPr>
        <w:t xml:space="preserve">., </w:t>
      </w:r>
      <w:r w:rsidR="003F5621" w:rsidRPr="00CA07C3">
        <w:rPr>
          <w:sz w:val="22"/>
        </w:rPr>
        <w:t>2008</w:t>
      </w:r>
      <w:r w:rsidR="003F5621">
        <w:rPr>
          <w:sz w:val="22"/>
        </w:rPr>
        <w:t xml:space="preserve">). </w:t>
      </w:r>
      <w:r w:rsidR="00842592">
        <w:rPr>
          <w:sz w:val="22"/>
        </w:rPr>
        <w:t xml:space="preserve"> </w:t>
      </w:r>
    </w:p>
    <w:p w:rsidR="007A6D56" w:rsidRDefault="00AF6496" w:rsidP="00FE3615">
      <w:pPr>
        <w:spacing w:line="360" w:lineRule="auto"/>
        <w:ind w:firstLine="576"/>
        <w:jc w:val="both"/>
        <w:rPr>
          <w:rFonts w:cs="Times New Roman"/>
          <w:sz w:val="22"/>
        </w:rPr>
      </w:pPr>
      <w:r w:rsidRPr="00CA07C3">
        <w:rPr>
          <w:rFonts w:cs="Times New Roman"/>
          <w:sz w:val="22"/>
        </w:rPr>
        <w:t xml:space="preserve">Second, </w:t>
      </w:r>
      <w:r w:rsidR="00532988" w:rsidRPr="00CA07C3">
        <w:rPr>
          <w:rFonts w:cs="Times New Roman"/>
          <w:sz w:val="22"/>
        </w:rPr>
        <w:t>our</w:t>
      </w:r>
      <w:r w:rsidR="00842592">
        <w:rPr>
          <w:rFonts w:cs="Times New Roman"/>
          <w:sz w:val="22"/>
        </w:rPr>
        <w:t xml:space="preserve"> main independent</w:t>
      </w:r>
      <w:r w:rsidR="00532988" w:rsidRPr="00CA07C3">
        <w:rPr>
          <w:rFonts w:cs="Times New Roman"/>
          <w:sz w:val="22"/>
        </w:rPr>
        <w:t xml:space="preserve"> variable is a composite CG index. F</w:t>
      </w:r>
      <w:r w:rsidR="007312F6" w:rsidRPr="00CA07C3">
        <w:rPr>
          <w:rFonts w:cs="Times New Roman"/>
          <w:sz w:val="22"/>
        </w:rPr>
        <w:t>ollowing suggestion</w:t>
      </w:r>
      <w:r w:rsidR="00EA31F3">
        <w:rPr>
          <w:rFonts w:cs="Times New Roman"/>
          <w:sz w:val="22"/>
        </w:rPr>
        <w:t>s</w:t>
      </w:r>
      <w:r w:rsidR="007312F6" w:rsidRPr="00CA07C3">
        <w:rPr>
          <w:rFonts w:cs="Times New Roman"/>
          <w:sz w:val="22"/>
        </w:rPr>
        <w:t xml:space="preserve"> in</w:t>
      </w:r>
      <w:r w:rsidR="00EA31F3">
        <w:rPr>
          <w:rFonts w:cs="Times New Roman"/>
          <w:sz w:val="22"/>
        </w:rPr>
        <w:t xml:space="preserve"> the prior</w:t>
      </w:r>
      <w:r w:rsidR="007312F6" w:rsidRPr="00CA07C3">
        <w:rPr>
          <w:rFonts w:cs="Times New Roman"/>
          <w:sz w:val="22"/>
        </w:rPr>
        <w:t xml:space="preserve"> literature that CG can be better examined by</w:t>
      </w:r>
      <w:r w:rsidR="00532988" w:rsidRPr="00CA07C3">
        <w:rPr>
          <w:rFonts w:cs="Times New Roman"/>
          <w:sz w:val="22"/>
        </w:rPr>
        <w:t xml:space="preserve"> a composite</w:t>
      </w:r>
      <w:r w:rsidR="007312F6" w:rsidRPr="00CA07C3">
        <w:rPr>
          <w:rFonts w:cs="Times New Roman"/>
          <w:sz w:val="22"/>
        </w:rPr>
        <w:t xml:space="preserve"> CG index (Karamanou and Vafeas, 2005; Bowen </w:t>
      </w:r>
      <w:r w:rsidR="007312F6" w:rsidRPr="00BD0005">
        <w:rPr>
          <w:rFonts w:cs="Times New Roman"/>
          <w:iCs/>
          <w:sz w:val="22"/>
        </w:rPr>
        <w:t>et al</w:t>
      </w:r>
      <w:r w:rsidR="007312F6" w:rsidRPr="00CA07C3">
        <w:rPr>
          <w:rFonts w:cs="Times New Roman"/>
          <w:i/>
          <w:iCs/>
          <w:sz w:val="22"/>
        </w:rPr>
        <w:t>.</w:t>
      </w:r>
      <w:r w:rsidR="007312F6" w:rsidRPr="00CA07C3">
        <w:rPr>
          <w:rFonts w:cs="Times New Roman"/>
          <w:sz w:val="22"/>
        </w:rPr>
        <w:t xml:space="preserve">, 2008), </w:t>
      </w:r>
      <w:r w:rsidR="00A004D8" w:rsidRPr="00CA07C3">
        <w:rPr>
          <w:rFonts w:cs="Times New Roman"/>
          <w:sz w:val="22"/>
        </w:rPr>
        <w:t xml:space="preserve">we measured firm-level CG </w:t>
      </w:r>
      <w:r w:rsidR="007312F6" w:rsidRPr="00CA07C3">
        <w:rPr>
          <w:rFonts w:cs="Times New Roman"/>
          <w:sz w:val="22"/>
        </w:rPr>
        <w:t xml:space="preserve">by </w:t>
      </w:r>
      <w:r w:rsidR="000F273C" w:rsidRPr="00CA07C3">
        <w:rPr>
          <w:rFonts w:cs="Times New Roman"/>
          <w:sz w:val="22"/>
        </w:rPr>
        <w:t>using</w:t>
      </w:r>
      <w:r w:rsidR="00532988" w:rsidRPr="00CA07C3">
        <w:rPr>
          <w:rFonts w:cs="Times New Roman"/>
          <w:sz w:val="22"/>
        </w:rPr>
        <w:t xml:space="preserve"> comprehensive</w:t>
      </w:r>
      <w:r w:rsidR="008A7405" w:rsidRPr="00CA07C3">
        <w:rPr>
          <w:rFonts w:cs="Times New Roman"/>
          <w:sz w:val="22"/>
        </w:rPr>
        <w:t xml:space="preserve"> CG index</w:t>
      </w:r>
      <w:r w:rsidR="00E434C0" w:rsidRPr="00CA07C3">
        <w:rPr>
          <w:rFonts w:cs="Times New Roman"/>
          <w:sz w:val="22"/>
        </w:rPr>
        <w:t xml:space="preserve">. </w:t>
      </w:r>
      <w:r w:rsidR="000F273C" w:rsidRPr="00CA07C3">
        <w:rPr>
          <w:rFonts w:cs="Times New Roman"/>
          <w:sz w:val="22"/>
        </w:rPr>
        <w:t>Among the two commonl</w:t>
      </w:r>
      <w:r w:rsidR="001E39D0">
        <w:rPr>
          <w:rFonts w:cs="Times New Roman"/>
          <w:sz w:val="22"/>
        </w:rPr>
        <w:t>y used measures of CG</w:t>
      </w:r>
      <w:r w:rsidR="000F273C" w:rsidRPr="00CA07C3">
        <w:rPr>
          <w:rFonts w:cs="Times New Roman"/>
          <w:sz w:val="22"/>
        </w:rPr>
        <w:t xml:space="preserve"> indices</w:t>
      </w:r>
      <w:r w:rsidR="00E922C2">
        <w:rPr>
          <w:rFonts w:cs="Times New Roman"/>
          <w:sz w:val="22"/>
        </w:rPr>
        <w:t xml:space="preserve"> are: researcher constructed; and (ii) subjective analysts’ CG rankings/indices. W</w:t>
      </w:r>
      <w:r w:rsidR="000F273C" w:rsidRPr="00CA07C3">
        <w:rPr>
          <w:rFonts w:cs="Times New Roman"/>
          <w:sz w:val="22"/>
        </w:rPr>
        <w:t>e construct</w:t>
      </w:r>
      <w:r w:rsidR="00E922C2">
        <w:rPr>
          <w:rFonts w:cs="Times New Roman"/>
          <w:sz w:val="22"/>
        </w:rPr>
        <w:t xml:space="preserve"> our own</w:t>
      </w:r>
      <w:r w:rsidR="000F273C" w:rsidRPr="00CA07C3">
        <w:rPr>
          <w:rFonts w:cs="Times New Roman"/>
          <w:sz w:val="22"/>
        </w:rPr>
        <w:t xml:space="preserve"> index instead</w:t>
      </w:r>
      <w:r w:rsidR="00E922C2">
        <w:rPr>
          <w:rFonts w:cs="Times New Roman"/>
          <w:sz w:val="22"/>
        </w:rPr>
        <w:t xml:space="preserve"> using subjective</w:t>
      </w:r>
      <w:r w:rsidR="00FD415A" w:rsidRPr="00CA07C3">
        <w:rPr>
          <w:rFonts w:cs="Times New Roman"/>
          <w:sz w:val="22"/>
        </w:rPr>
        <w:t xml:space="preserve"> analysts’ CG indices</w:t>
      </w:r>
      <w:r w:rsidR="00137375">
        <w:rPr>
          <w:rFonts w:cs="Times New Roman"/>
          <w:sz w:val="22"/>
        </w:rPr>
        <w:t>/rankings</w:t>
      </w:r>
      <w:r w:rsidR="000F273C" w:rsidRPr="00CA07C3">
        <w:rPr>
          <w:rFonts w:cs="Times New Roman"/>
          <w:sz w:val="22"/>
        </w:rPr>
        <w:t xml:space="preserve"> for three main reasons. </w:t>
      </w:r>
      <w:r w:rsidR="00407EB1" w:rsidRPr="00407EB1">
        <w:rPr>
          <w:rFonts w:cs="Times New Roman"/>
          <w:sz w:val="22"/>
        </w:rPr>
        <w:t xml:space="preserve">The OCGI is constructed mainly based on the 2002 Omani code of CG. The eight CG themes contained in the code were categorised into four broad sections in order to extract CG provisions. This resulted in 72 individual CG provisions falling under four broad sections: (i) board of directors; (ii) accounting and auditing; (iii) external auditors and internal control systems; and (iv) disclosure and transparency. Some CG provisions contained in the 1974 Companies Act had to be added into the OCGI in order to achieve a comprehensive CG index. The OCGI is considered to be reliable as the Cronbach’s coefficient alpha for the four categories in the OCGI is 0.78, suggesting that a random measurement error is less likely to reduce the power of the empirical tests (Pallant, 2010). The OCGI’s construction was also guided by those of previsous CG studies (e.g., Ntim et al., 2012a, b).  </w:t>
      </w:r>
      <w:r w:rsidR="000F273C" w:rsidRPr="00CA07C3">
        <w:rPr>
          <w:rFonts w:cs="Times New Roman"/>
          <w:sz w:val="22"/>
        </w:rPr>
        <w:t xml:space="preserve">First, most </w:t>
      </w:r>
      <w:r w:rsidR="00E922C2">
        <w:rPr>
          <w:rFonts w:cs="Times New Roman"/>
          <w:sz w:val="22"/>
        </w:rPr>
        <w:t xml:space="preserve">subjective </w:t>
      </w:r>
      <w:r w:rsidR="000F273C" w:rsidRPr="00CA07C3">
        <w:rPr>
          <w:rFonts w:cs="Times New Roman"/>
          <w:sz w:val="22"/>
        </w:rPr>
        <w:t xml:space="preserve">analysts’ CG rankings are designed by international professional organisations; hence may not be applicable to the Omani </w:t>
      </w:r>
      <w:r w:rsidR="00350D26">
        <w:rPr>
          <w:rFonts w:cs="Times New Roman"/>
          <w:sz w:val="22"/>
        </w:rPr>
        <w:t xml:space="preserve">corporate </w:t>
      </w:r>
      <w:r w:rsidR="000F273C" w:rsidRPr="00CA07C3">
        <w:rPr>
          <w:rFonts w:cs="Times New Roman"/>
          <w:sz w:val="22"/>
        </w:rPr>
        <w:t xml:space="preserve">context due to differences in CG regimes. Second, there </w:t>
      </w:r>
      <w:r w:rsidR="001B54E3">
        <w:rPr>
          <w:rFonts w:cs="Times New Roman"/>
          <w:sz w:val="22"/>
        </w:rPr>
        <w:t>is</w:t>
      </w:r>
      <w:r w:rsidR="000F273C" w:rsidRPr="00CA07C3">
        <w:rPr>
          <w:rFonts w:cs="Times New Roman"/>
          <w:sz w:val="22"/>
        </w:rPr>
        <w:t xml:space="preserve"> no national professional organisation in Oman</w:t>
      </w:r>
      <w:r w:rsidR="00350D26">
        <w:rPr>
          <w:rFonts w:cs="Times New Roman"/>
          <w:sz w:val="22"/>
        </w:rPr>
        <w:t>,</w:t>
      </w:r>
      <w:r w:rsidR="000F273C" w:rsidRPr="00CA07C3">
        <w:rPr>
          <w:rFonts w:cs="Times New Roman"/>
          <w:sz w:val="22"/>
        </w:rPr>
        <w:t xml:space="preserve"> which </w:t>
      </w:r>
      <w:r w:rsidR="00350D26">
        <w:rPr>
          <w:rFonts w:cs="Times New Roman"/>
          <w:sz w:val="22"/>
        </w:rPr>
        <w:t>publishes</w:t>
      </w:r>
      <w:r w:rsidR="000F273C" w:rsidRPr="00CA07C3">
        <w:rPr>
          <w:rFonts w:cs="Times New Roman"/>
          <w:sz w:val="22"/>
        </w:rPr>
        <w:t xml:space="preserve"> </w:t>
      </w:r>
      <w:r w:rsidR="00736D11" w:rsidRPr="00CA07C3">
        <w:rPr>
          <w:rFonts w:cs="Times New Roman"/>
          <w:sz w:val="22"/>
        </w:rPr>
        <w:t xml:space="preserve">ready </w:t>
      </w:r>
      <w:r w:rsidR="00FD415A" w:rsidRPr="00CA07C3">
        <w:rPr>
          <w:rFonts w:cs="Times New Roman"/>
          <w:sz w:val="22"/>
        </w:rPr>
        <w:t>to be</w:t>
      </w:r>
      <w:r w:rsidR="00736D11" w:rsidRPr="00CA07C3">
        <w:rPr>
          <w:rFonts w:cs="Times New Roman"/>
          <w:sz w:val="22"/>
        </w:rPr>
        <w:t xml:space="preserve"> used CG indi</w:t>
      </w:r>
      <w:r w:rsidR="00FD415A" w:rsidRPr="00CA07C3">
        <w:rPr>
          <w:rFonts w:cs="Times New Roman"/>
          <w:sz w:val="22"/>
        </w:rPr>
        <w:t>c</w:t>
      </w:r>
      <w:r w:rsidR="00736D11" w:rsidRPr="00CA07C3">
        <w:rPr>
          <w:rFonts w:cs="Times New Roman"/>
          <w:sz w:val="22"/>
        </w:rPr>
        <w:t>es</w:t>
      </w:r>
      <w:r w:rsidR="00216CE6">
        <w:rPr>
          <w:rFonts w:cs="Times New Roman"/>
          <w:sz w:val="22"/>
        </w:rPr>
        <w:t>.</w:t>
      </w:r>
      <w:r w:rsidR="000F273C" w:rsidRPr="00CA07C3">
        <w:rPr>
          <w:rFonts w:cs="Times New Roman"/>
          <w:sz w:val="22"/>
        </w:rPr>
        <w:t xml:space="preserve"> Third, unlike </w:t>
      </w:r>
      <w:r w:rsidR="001B54E3">
        <w:rPr>
          <w:rFonts w:cs="Times New Roman"/>
          <w:sz w:val="22"/>
        </w:rPr>
        <w:t xml:space="preserve">subjective </w:t>
      </w:r>
      <w:r w:rsidR="000F273C" w:rsidRPr="00CA07C3">
        <w:rPr>
          <w:rFonts w:cs="Times New Roman"/>
          <w:sz w:val="22"/>
        </w:rPr>
        <w:t xml:space="preserve">analysts’ CG rankings, </w:t>
      </w:r>
      <w:r w:rsidR="00350D26">
        <w:rPr>
          <w:rFonts w:cs="Times New Roman"/>
          <w:sz w:val="22"/>
        </w:rPr>
        <w:t xml:space="preserve">our </w:t>
      </w:r>
      <w:r w:rsidR="000F273C" w:rsidRPr="00CA07C3">
        <w:rPr>
          <w:rFonts w:cs="Times New Roman"/>
          <w:sz w:val="22"/>
        </w:rPr>
        <w:t xml:space="preserve">constructed index is a direct measure of actual CG disclosure and covers </w:t>
      </w:r>
      <w:r w:rsidR="001B54E3">
        <w:rPr>
          <w:rFonts w:cs="Times New Roman"/>
          <w:sz w:val="22"/>
        </w:rPr>
        <w:t xml:space="preserve">a </w:t>
      </w:r>
      <w:r w:rsidR="000F273C" w:rsidRPr="00CA07C3">
        <w:rPr>
          <w:rFonts w:cs="Times New Roman"/>
          <w:sz w:val="22"/>
        </w:rPr>
        <w:t>wide range of internal CG disclosure items (Lang</w:t>
      </w:r>
      <w:r w:rsidR="00F64AC4">
        <w:rPr>
          <w:rFonts w:cs="Times New Roman"/>
          <w:sz w:val="22"/>
        </w:rPr>
        <w:t xml:space="preserve"> </w:t>
      </w:r>
      <w:r w:rsidR="00136F5D">
        <w:rPr>
          <w:rFonts w:cs="Times New Roman"/>
          <w:sz w:val="22"/>
        </w:rPr>
        <w:t>&amp;</w:t>
      </w:r>
      <w:r w:rsidR="00F64AC4">
        <w:rPr>
          <w:rFonts w:cs="Times New Roman"/>
          <w:sz w:val="22"/>
        </w:rPr>
        <w:t xml:space="preserve"> Lundholm, 1993; Don</w:t>
      </w:r>
      <w:r w:rsidR="000F273C" w:rsidRPr="00CA07C3">
        <w:rPr>
          <w:rFonts w:cs="Times New Roman"/>
          <w:sz w:val="22"/>
        </w:rPr>
        <w:t>el</w:t>
      </w:r>
      <w:r w:rsidR="001E39D0">
        <w:rPr>
          <w:rFonts w:cs="Times New Roman"/>
          <w:sz w:val="22"/>
        </w:rPr>
        <w:t xml:space="preserve">ly </w:t>
      </w:r>
      <w:r w:rsidR="00136F5D">
        <w:rPr>
          <w:rFonts w:cs="Times New Roman"/>
          <w:sz w:val="22"/>
        </w:rPr>
        <w:t>&amp;</w:t>
      </w:r>
      <w:r w:rsidR="001E39D0">
        <w:rPr>
          <w:rFonts w:cs="Times New Roman"/>
          <w:sz w:val="22"/>
        </w:rPr>
        <w:t xml:space="preserve"> Mulcahy, 2008). </w:t>
      </w:r>
      <w:r w:rsidR="00FE3615">
        <w:rPr>
          <w:rFonts w:cs="Times New Roman"/>
          <w:sz w:val="22"/>
        </w:rPr>
        <w:t>Thus</w:t>
      </w:r>
      <w:r w:rsidR="000F273C" w:rsidRPr="00CA07C3">
        <w:rPr>
          <w:rFonts w:cs="Times New Roman"/>
          <w:sz w:val="22"/>
        </w:rPr>
        <w:t>, we constructed</w:t>
      </w:r>
      <w:r w:rsidR="001B54E3">
        <w:rPr>
          <w:rFonts w:cs="Times New Roman"/>
          <w:sz w:val="22"/>
        </w:rPr>
        <w:t xml:space="preserve"> a comprehensive</w:t>
      </w:r>
      <w:r w:rsidR="000F273C" w:rsidRPr="00CA07C3">
        <w:rPr>
          <w:rFonts w:cs="Times New Roman"/>
          <w:sz w:val="22"/>
        </w:rPr>
        <w:t xml:space="preserve"> Omani CG index (</w:t>
      </w:r>
      <w:r w:rsidR="000F273C" w:rsidRPr="00397DE2">
        <w:rPr>
          <w:rFonts w:cs="Times New Roman"/>
          <w:i/>
          <w:iCs/>
          <w:sz w:val="22"/>
        </w:rPr>
        <w:t>OCGI</w:t>
      </w:r>
      <w:r w:rsidR="000F273C" w:rsidRPr="00CA07C3">
        <w:rPr>
          <w:rFonts w:cs="Times New Roman"/>
          <w:sz w:val="22"/>
        </w:rPr>
        <w:t>)</w:t>
      </w:r>
      <w:r w:rsidR="003465FF">
        <w:rPr>
          <w:rFonts w:cs="Times New Roman"/>
          <w:sz w:val="22"/>
        </w:rPr>
        <w:t>.</w:t>
      </w:r>
      <w:r w:rsidR="000F273C" w:rsidRPr="00CA07C3">
        <w:rPr>
          <w:rFonts w:cs="Times New Roman"/>
          <w:sz w:val="22"/>
        </w:rPr>
        <w:t xml:space="preserve"> </w:t>
      </w:r>
      <w:r w:rsidR="00AB2E04" w:rsidRPr="00407EB1">
        <w:rPr>
          <w:rFonts w:cs="Times New Roman"/>
          <w:sz w:val="22"/>
        </w:rPr>
        <w:t xml:space="preserve">The OCGI is constructed mainly based on the 2002 Omani code of CG. The eight CG themes contained in the code were categorised into four broad sections in order to extract CG provisions. This resulted in 72 individual CG provisions falling under four broad sections: (i) board of directors; (ii) accounting and auditing; (iii) external auditors and internal control systems; and (iv) disclosure and transparency. Some CG provisions contained in the 1974 Companies Act had to be added into the OCGI in order to achieve a comprehensive CG index. The OCGI is considered to be reliable as the Cronbach’s coefficient alpha for the four categories in the OCGI is 0.78, suggesting that a random measurement error is less likely to reduce the power of the empirical tests (Pallant, 2010). The OCGI’s construction was also guided by those of previsous CG studies (e.g., Ntim et al., 2012a, b).  </w:t>
      </w:r>
      <w:r w:rsidR="003465FF">
        <w:rPr>
          <w:rFonts w:cs="Times New Roman"/>
          <w:sz w:val="22"/>
        </w:rPr>
        <w:t xml:space="preserve">The </w:t>
      </w:r>
      <w:r w:rsidR="003465FF" w:rsidRPr="008F3DEF">
        <w:rPr>
          <w:rFonts w:cs="Times New Roman"/>
          <w:sz w:val="22"/>
        </w:rPr>
        <w:t>CG score-sheet was designed to code firms on their level of CG</w:t>
      </w:r>
      <w:r w:rsidR="003465FF">
        <w:rPr>
          <w:rFonts w:cs="Times New Roman"/>
          <w:sz w:val="22"/>
        </w:rPr>
        <w:t xml:space="preserve"> practices</w:t>
      </w:r>
      <w:r w:rsidR="003465FF" w:rsidRPr="008F3DEF">
        <w:rPr>
          <w:rFonts w:cs="Times New Roman"/>
          <w:sz w:val="22"/>
        </w:rPr>
        <w:t xml:space="preserve">, and the annual reports of the 116 firms were analysed and compared with the </w:t>
      </w:r>
      <w:r w:rsidR="003465FF" w:rsidRPr="008F3DEF">
        <w:rPr>
          <w:rFonts w:cs="Times New Roman"/>
          <w:i/>
          <w:iCs/>
          <w:sz w:val="22"/>
        </w:rPr>
        <w:t>OCGI</w:t>
      </w:r>
      <w:r w:rsidR="003465FF" w:rsidRPr="008F3DEF">
        <w:rPr>
          <w:rFonts w:cs="Times New Roman"/>
          <w:sz w:val="22"/>
        </w:rPr>
        <w:t xml:space="preserve">’s provisions. A score of 1 was assigned if a particular CG provision was applied, and 0 otherwise. </w:t>
      </w:r>
      <w:r w:rsidR="003465FF">
        <w:rPr>
          <w:rFonts w:cs="Times New Roman"/>
          <w:sz w:val="22"/>
        </w:rPr>
        <w:t>The degree of CG</w:t>
      </w:r>
      <w:r w:rsidR="001D5AD9">
        <w:rPr>
          <w:rFonts w:cs="Times New Roman"/>
          <w:sz w:val="22"/>
        </w:rPr>
        <w:t>’s practices level</w:t>
      </w:r>
      <w:r w:rsidR="003465FF" w:rsidRPr="008F3DEF">
        <w:rPr>
          <w:rFonts w:cs="Times New Roman"/>
          <w:sz w:val="22"/>
        </w:rPr>
        <w:t xml:space="preserve"> for each firm was aggregated </w:t>
      </w:r>
      <w:r w:rsidR="00DF15A7">
        <w:rPr>
          <w:rFonts w:cs="Times New Roman"/>
          <w:sz w:val="22"/>
        </w:rPr>
        <w:t>and expressed a</w:t>
      </w:r>
      <w:r w:rsidR="00137375">
        <w:rPr>
          <w:rFonts w:cs="Times New Roman"/>
          <w:sz w:val="22"/>
        </w:rPr>
        <w:t>s a</w:t>
      </w:r>
      <w:r w:rsidR="00DF15A7">
        <w:rPr>
          <w:rFonts w:cs="Times New Roman"/>
          <w:sz w:val="22"/>
        </w:rPr>
        <w:t xml:space="preserve"> percentage, with the scoring ranging from complete non-compliance (zero score - 0%) to perfect compliance (a score of 72 - 100%)</w:t>
      </w:r>
      <w:r w:rsidR="003465FF" w:rsidRPr="008F3DEF">
        <w:rPr>
          <w:rFonts w:cs="Times New Roman"/>
          <w:sz w:val="22"/>
        </w:rPr>
        <w:t>.</w:t>
      </w:r>
      <w:r w:rsidR="003465FF">
        <w:rPr>
          <w:rFonts w:cs="Times New Roman"/>
          <w:sz w:val="22"/>
        </w:rPr>
        <w:t xml:space="preserve"> </w:t>
      </w:r>
      <w:r w:rsidR="001D5AD9">
        <w:rPr>
          <w:rFonts w:cs="Times New Roman"/>
          <w:sz w:val="22"/>
        </w:rPr>
        <w:t xml:space="preserve"> </w:t>
      </w:r>
    </w:p>
    <w:p w:rsidR="009E582F" w:rsidRDefault="002D0DD4" w:rsidP="00FC0308">
      <w:pPr>
        <w:spacing w:line="360" w:lineRule="auto"/>
        <w:ind w:firstLine="720"/>
        <w:jc w:val="both"/>
        <w:rPr>
          <w:rFonts w:cs="Times New Roman"/>
          <w:sz w:val="22"/>
        </w:rPr>
      </w:pPr>
      <w:r>
        <w:rPr>
          <w:rFonts w:cs="Times New Roman"/>
          <w:sz w:val="22"/>
        </w:rPr>
        <w:t xml:space="preserve">The IG committee represents our third </w:t>
      </w:r>
      <w:r w:rsidRPr="00CA07C3">
        <w:rPr>
          <w:rFonts w:cs="Times New Roman"/>
          <w:sz w:val="22"/>
        </w:rPr>
        <w:t xml:space="preserve">group of variables </w:t>
      </w:r>
      <w:r w:rsidR="00C87FA3">
        <w:rPr>
          <w:rFonts w:cs="Times New Roman"/>
          <w:sz w:val="22"/>
        </w:rPr>
        <w:t>that we use in our study, which is uniquely relevant to the Omani corporate context</w:t>
      </w:r>
      <w:r>
        <w:rPr>
          <w:rFonts w:cs="Times New Roman"/>
          <w:bCs/>
          <w:iCs/>
          <w:sz w:val="22"/>
        </w:rPr>
        <w:t xml:space="preserve">. </w:t>
      </w:r>
      <w:r w:rsidR="00AF6496" w:rsidRPr="00CA07C3">
        <w:rPr>
          <w:rFonts w:cs="Times New Roman"/>
          <w:sz w:val="22"/>
        </w:rPr>
        <w:t xml:space="preserve">The </w:t>
      </w:r>
      <w:r w:rsidR="00C87FA3">
        <w:rPr>
          <w:rFonts w:cs="Times New Roman"/>
          <w:sz w:val="22"/>
        </w:rPr>
        <w:t>fourth</w:t>
      </w:r>
      <w:r w:rsidR="005117F9" w:rsidRPr="00CA07C3">
        <w:rPr>
          <w:rFonts w:cs="Times New Roman"/>
          <w:sz w:val="22"/>
        </w:rPr>
        <w:t xml:space="preserve"> group of variables</w:t>
      </w:r>
      <w:r w:rsidR="002904B8">
        <w:rPr>
          <w:rFonts w:cs="Times New Roman"/>
          <w:sz w:val="22"/>
        </w:rPr>
        <w:t xml:space="preserve"> that</w:t>
      </w:r>
      <w:r w:rsidR="00AF3C14">
        <w:rPr>
          <w:rFonts w:cs="Times New Roman"/>
          <w:sz w:val="22"/>
        </w:rPr>
        <w:t xml:space="preserve"> we</w:t>
      </w:r>
      <w:r w:rsidR="005117F9" w:rsidRPr="00CA07C3">
        <w:rPr>
          <w:rFonts w:cs="Times New Roman"/>
          <w:sz w:val="22"/>
        </w:rPr>
        <w:t xml:space="preserve"> </w:t>
      </w:r>
      <w:r w:rsidR="00894187" w:rsidRPr="00CA07C3">
        <w:rPr>
          <w:rFonts w:cs="Times New Roman"/>
          <w:sz w:val="22"/>
        </w:rPr>
        <w:t xml:space="preserve">empoly </w:t>
      </w:r>
      <w:r w:rsidR="005117F9" w:rsidRPr="00CA07C3">
        <w:rPr>
          <w:rFonts w:cs="Times New Roman"/>
          <w:sz w:val="22"/>
        </w:rPr>
        <w:t xml:space="preserve">in our </w:t>
      </w:r>
      <w:r w:rsidR="005C6C02">
        <w:rPr>
          <w:rFonts w:cs="Times New Roman"/>
          <w:sz w:val="22"/>
        </w:rPr>
        <w:t>analysis</w:t>
      </w:r>
      <w:r w:rsidR="005117F9" w:rsidRPr="00CA07C3">
        <w:rPr>
          <w:rFonts w:cs="Times New Roman"/>
          <w:sz w:val="22"/>
        </w:rPr>
        <w:t xml:space="preserve"> include</w:t>
      </w:r>
      <w:r w:rsidR="00532988" w:rsidRPr="00CA07C3">
        <w:rPr>
          <w:rFonts w:cs="Times New Roman"/>
          <w:sz w:val="22"/>
        </w:rPr>
        <w:t xml:space="preserve"> </w:t>
      </w:r>
      <w:r w:rsidR="00567F1B">
        <w:rPr>
          <w:rFonts w:cs="Times New Roman"/>
          <w:bCs/>
          <w:iCs/>
          <w:sz w:val="22"/>
        </w:rPr>
        <w:t>other CG</w:t>
      </w:r>
      <w:r w:rsidR="00567F1B" w:rsidRPr="00CA07C3">
        <w:rPr>
          <w:rFonts w:cs="Times New Roman"/>
          <w:bCs/>
          <w:iCs/>
          <w:sz w:val="22"/>
        </w:rPr>
        <w:t xml:space="preserve"> variables</w:t>
      </w:r>
      <w:r w:rsidR="00567F1B">
        <w:rPr>
          <w:rFonts w:cs="Times New Roman"/>
          <w:bCs/>
          <w:iCs/>
          <w:sz w:val="22"/>
        </w:rPr>
        <w:t xml:space="preserve"> </w:t>
      </w:r>
      <w:r w:rsidR="008331A0" w:rsidRPr="00CA07C3">
        <w:rPr>
          <w:rFonts w:cs="Times New Roman"/>
          <w:sz w:val="22"/>
        </w:rPr>
        <w:t>(i.e., board size, audit firm size , the presence of a CG committee, and board diversity on the basis of gender)</w:t>
      </w:r>
      <w:r w:rsidR="00216CE6">
        <w:rPr>
          <w:rFonts w:cs="Times New Roman"/>
          <w:sz w:val="22"/>
        </w:rPr>
        <w:t xml:space="preserve">. </w:t>
      </w:r>
      <w:r w:rsidR="008331A0">
        <w:rPr>
          <w:rFonts w:cs="Times New Roman"/>
          <w:sz w:val="22"/>
        </w:rPr>
        <w:t>Our final group of variables is</w:t>
      </w:r>
      <w:r w:rsidR="00532988" w:rsidRPr="00CA07C3">
        <w:rPr>
          <w:rFonts w:cs="Times New Roman"/>
          <w:sz w:val="22"/>
        </w:rPr>
        <w:t xml:space="preserve"> our control variables</w:t>
      </w:r>
      <w:r w:rsidR="00AF3C14">
        <w:rPr>
          <w:rFonts w:cs="Times New Roman"/>
          <w:sz w:val="22"/>
        </w:rPr>
        <w:t xml:space="preserve">, consisting </w:t>
      </w:r>
      <w:r w:rsidR="00CD2FC6">
        <w:rPr>
          <w:rFonts w:cs="Times New Roman"/>
          <w:sz w:val="22"/>
        </w:rPr>
        <w:t xml:space="preserve">of </w:t>
      </w:r>
      <w:r w:rsidR="00AF3C14">
        <w:rPr>
          <w:rFonts w:cs="Times New Roman"/>
          <w:sz w:val="22"/>
        </w:rPr>
        <w:t xml:space="preserve">ownership (i.e., block ownership, foreign ownership, government ownership and institutional ownership) and </w:t>
      </w:r>
      <w:r w:rsidR="00CD2FC6">
        <w:rPr>
          <w:rFonts w:cs="Times New Roman"/>
          <w:sz w:val="22"/>
        </w:rPr>
        <w:t xml:space="preserve">other </w:t>
      </w:r>
      <w:r w:rsidR="00AF3C14">
        <w:rPr>
          <w:rFonts w:cs="Times New Roman"/>
          <w:sz w:val="22"/>
        </w:rPr>
        <w:t xml:space="preserve">firm-specific characteristics </w:t>
      </w:r>
      <w:r w:rsidR="00216CE6">
        <w:rPr>
          <w:rFonts w:cs="Times New Roman"/>
          <w:sz w:val="22"/>
        </w:rPr>
        <w:t xml:space="preserve"> (i.e., </w:t>
      </w:r>
      <w:r w:rsidR="005B395A" w:rsidRPr="00CA07C3">
        <w:rPr>
          <w:rFonts w:cs="Times New Roman"/>
          <w:sz w:val="22"/>
        </w:rPr>
        <w:t>firm size, profitability, growth, leverage</w:t>
      </w:r>
      <w:r w:rsidR="00532988" w:rsidRPr="00CA07C3">
        <w:rPr>
          <w:rFonts w:cs="Times New Roman"/>
          <w:sz w:val="22"/>
        </w:rPr>
        <w:t>,</w:t>
      </w:r>
      <w:r w:rsidR="00894187" w:rsidRPr="00CA07C3">
        <w:rPr>
          <w:rFonts w:cs="Times New Roman"/>
          <w:sz w:val="22"/>
        </w:rPr>
        <w:t xml:space="preserve"> industry</w:t>
      </w:r>
      <w:r w:rsidR="00532988" w:rsidRPr="00CA07C3">
        <w:rPr>
          <w:rFonts w:cs="Times New Roman"/>
          <w:sz w:val="22"/>
        </w:rPr>
        <w:t xml:space="preserve"> dummy,</w:t>
      </w:r>
      <w:r w:rsidR="00FC0308">
        <w:rPr>
          <w:rFonts w:cs="Times New Roman"/>
          <w:sz w:val="22"/>
        </w:rPr>
        <w:t xml:space="preserve"> and </w:t>
      </w:r>
      <w:r w:rsidR="00894187" w:rsidRPr="00CA07C3">
        <w:rPr>
          <w:rFonts w:cs="Times New Roman"/>
          <w:sz w:val="22"/>
        </w:rPr>
        <w:t>year dumm</w:t>
      </w:r>
      <w:r w:rsidR="00532988" w:rsidRPr="00CA07C3">
        <w:rPr>
          <w:rFonts w:cs="Times New Roman"/>
          <w:sz w:val="22"/>
        </w:rPr>
        <w:t>y</w:t>
      </w:r>
      <w:r w:rsidR="00216CE6">
        <w:rPr>
          <w:rFonts w:cs="Times New Roman"/>
          <w:sz w:val="22"/>
        </w:rPr>
        <w:t>)</w:t>
      </w:r>
      <w:r w:rsidR="00894187" w:rsidRPr="00CA07C3">
        <w:rPr>
          <w:rFonts w:cs="Times New Roman"/>
          <w:sz w:val="22"/>
        </w:rPr>
        <w:t>.</w:t>
      </w:r>
      <w:r w:rsidR="001D5AD9">
        <w:rPr>
          <w:rFonts w:cs="Times New Roman"/>
          <w:sz w:val="22"/>
        </w:rPr>
        <w:t xml:space="preserve"> </w:t>
      </w:r>
      <w:r w:rsidR="00894187" w:rsidRPr="00CA07C3">
        <w:rPr>
          <w:rFonts w:cs="Times New Roman"/>
          <w:sz w:val="22"/>
        </w:rPr>
        <w:t>Table 2 presents  summary defin</w:t>
      </w:r>
      <w:r w:rsidR="00AF3C14">
        <w:rPr>
          <w:rFonts w:cs="Times New Roman"/>
          <w:sz w:val="22"/>
        </w:rPr>
        <w:t>i</w:t>
      </w:r>
      <w:r w:rsidR="00894187" w:rsidRPr="00CA07C3">
        <w:rPr>
          <w:rFonts w:cs="Times New Roman"/>
          <w:sz w:val="22"/>
        </w:rPr>
        <w:t>tions of all variables includeded in our model</w:t>
      </w:r>
      <w:r w:rsidR="00D1730F">
        <w:rPr>
          <w:rFonts w:cs="Times New Roman"/>
          <w:sz w:val="22"/>
        </w:rPr>
        <w:t>s</w:t>
      </w:r>
      <w:r w:rsidR="00894187" w:rsidRPr="00CA07C3">
        <w:rPr>
          <w:rFonts w:cs="Times New Roman"/>
          <w:sz w:val="22"/>
        </w:rPr>
        <w:t xml:space="preserve">. </w:t>
      </w:r>
    </w:p>
    <w:p w:rsidR="00EF43E7" w:rsidRDefault="00894187" w:rsidP="009E582F">
      <w:pPr>
        <w:ind w:firstLine="720"/>
        <w:jc w:val="center"/>
        <w:rPr>
          <w:rFonts w:cs="Times New Roman"/>
          <w:sz w:val="22"/>
        </w:rPr>
      </w:pPr>
      <w:r w:rsidRPr="00CA07C3">
        <w:rPr>
          <w:rFonts w:cs="Times New Roman"/>
          <w:sz w:val="22"/>
        </w:rPr>
        <w:t>Insert Table 2 about here</w:t>
      </w:r>
    </w:p>
    <w:p w:rsidR="00FC0308" w:rsidRPr="00CA07C3" w:rsidRDefault="00FC0308" w:rsidP="009E582F">
      <w:pPr>
        <w:ind w:firstLine="720"/>
        <w:jc w:val="center"/>
        <w:rPr>
          <w:rFonts w:cs="Times New Roman"/>
          <w:sz w:val="22"/>
        </w:rPr>
      </w:pPr>
    </w:p>
    <w:p w:rsidR="00FA5B6E" w:rsidRPr="00CA07C3" w:rsidRDefault="00BD21D4" w:rsidP="001243D5">
      <w:pPr>
        <w:spacing w:line="360" w:lineRule="auto"/>
        <w:ind w:firstLine="720"/>
        <w:jc w:val="both"/>
        <w:rPr>
          <w:rFonts w:cs="Times New Roman"/>
          <w:sz w:val="22"/>
        </w:rPr>
      </w:pPr>
      <w:r w:rsidRPr="00CA07C3">
        <w:rPr>
          <w:rFonts w:cs="Times New Roman"/>
          <w:sz w:val="22"/>
        </w:rPr>
        <w:t>We</w:t>
      </w:r>
      <w:r w:rsidR="00DF7F7E" w:rsidRPr="00CA07C3">
        <w:rPr>
          <w:rFonts w:cs="Times New Roman"/>
          <w:sz w:val="22"/>
        </w:rPr>
        <w:t xml:space="preserve"> begin our </w:t>
      </w:r>
      <w:r w:rsidR="005C6C02">
        <w:rPr>
          <w:rFonts w:cs="Times New Roman"/>
          <w:sz w:val="22"/>
        </w:rPr>
        <w:t>analysis</w:t>
      </w:r>
      <w:r w:rsidR="00DF7F7E" w:rsidRPr="00CA07C3">
        <w:rPr>
          <w:rFonts w:cs="Times New Roman"/>
          <w:sz w:val="22"/>
        </w:rPr>
        <w:t xml:space="preserve"> by</w:t>
      </w:r>
      <w:r w:rsidR="00060896" w:rsidRPr="00CA07C3">
        <w:rPr>
          <w:rFonts w:cs="Times New Roman"/>
          <w:sz w:val="22"/>
        </w:rPr>
        <w:t xml:space="preserve"> employing</w:t>
      </w:r>
      <w:r w:rsidRPr="00CA07C3">
        <w:rPr>
          <w:rFonts w:cs="Times New Roman"/>
          <w:sz w:val="22"/>
        </w:rPr>
        <w:t xml:space="preserve"> </w:t>
      </w:r>
      <w:r w:rsidR="008A7405" w:rsidRPr="00CA07C3">
        <w:rPr>
          <w:rFonts w:cs="Times New Roman"/>
          <w:sz w:val="22"/>
        </w:rPr>
        <w:t xml:space="preserve">Ordinary Least Squares (OLS) as </w:t>
      </w:r>
      <w:r w:rsidR="00DF7F7E" w:rsidRPr="00CA07C3">
        <w:rPr>
          <w:rFonts w:cs="Times New Roman"/>
          <w:sz w:val="22"/>
        </w:rPr>
        <w:t>our initial</w:t>
      </w:r>
      <w:r w:rsidR="008A7405" w:rsidRPr="00CA07C3">
        <w:rPr>
          <w:rFonts w:cs="Times New Roman"/>
          <w:sz w:val="22"/>
        </w:rPr>
        <w:t xml:space="preserve"> estimation method and multiple linear regression as a statistical technique to </w:t>
      </w:r>
      <w:r w:rsidR="001243D5">
        <w:rPr>
          <w:rFonts w:cs="Times New Roman"/>
          <w:sz w:val="22"/>
        </w:rPr>
        <w:t xml:space="preserve">examine the extent to which CG and </w:t>
      </w:r>
      <w:r w:rsidR="00AF3C14">
        <w:rPr>
          <w:rFonts w:cs="Times New Roman"/>
          <w:sz w:val="22"/>
        </w:rPr>
        <w:t>IG</w:t>
      </w:r>
      <w:r w:rsidR="001243D5">
        <w:rPr>
          <w:rFonts w:cs="Times New Roman"/>
          <w:sz w:val="22"/>
        </w:rPr>
        <w:t xml:space="preserve"> </w:t>
      </w:r>
      <w:r w:rsidR="00D1730F">
        <w:rPr>
          <w:rFonts w:cs="Times New Roman"/>
          <w:sz w:val="22"/>
        </w:rPr>
        <w:t xml:space="preserve">can </w:t>
      </w:r>
      <w:r w:rsidR="001243D5">
        <w:rPr>
          <w:rFonts w:cs="Times New Roman"/>
          <w:sz w:val="22"/>
        </w:rPr>
        <w:t xml:space="preserve">influence </w:t>
      </w:r>
      <w:r w:rsidR="003C738A">
        <w:rPr>
          <w:rFonts w:cs="Times New Roman"/>
          <w:sz w:val="22"/>
        </w:rPr>
        <w:t>EM</w:t>
      </w:r>
      <w:r w:rsidR="008A7405" w:rsidRPr="00CA07C3">
        <w:rPr>
          <w:rFonts w:cs="Times New Roman"/>
          <w:sz w:val="22"/>
        </w:rPr>
        <w:t xml:space="preserve">. </w:t>
      </w:r>
      <w:r w:rsidRPr="00CA07C3">
        <w:rPr>
          <w:rFonts w:cs="Times New Roman"/>
          <w:sz w:val="22"/>
        </w:rPr>
        <w:t>Assuming all predicted relationships are linear</w:t>
      </w:r>
      <w:r w:rsidR="008A7405" w:rsidRPr="00CA07C3">
        <w:rPr>
          <w:rFonts w:cs="Times New Roman"/>
          <w:sz w:val="22"/>
        </w:rPr>
        <w:t xml:space="preserve">, firm-level EM as a dependent variable </w:t>
      </w:r>
      <w:r w:rsidRPr="00CA07C3">
        <w:rPr>
          <w:rFonts w:cs="Times New Roman"/>
          <w:sz w:val="22"/>
        </w:rPr>
        <w:t>were</w:t>
      </w:r>
      <w:r w:rsidR="008A7405" w:rsidRPr="00CA07C3">
        <w:rPr>
          <w:rFonts w:cs="Times New Roman"/>
          <w:sz w:val="22"/>
        </w:rPr>
        <w:t xml:space="preserve"> regressed on several explanatory variables</w:t>
      </w:r>
      <w:r w:rsidRPr="00CA07C3">
        <w:rPr>
          <w:rFonts w:cs="Times New Roman"/>
          <w:sz w:val="22"/>
        </w:rPr>
        <w:t xml:space="preserve"> as specified in the following regression model:</w:t>
      </w:r>
      <w:r w:rsidR="008A7405" w:rsidRPr="00CA07C3">
        <w:rPr>
          <w:rFonts w:cs="Times New Roman"/>
          <w:sz w:val="22"/>
        </w:rPr>
        <w:t xml:space="preserve"> </w:t>
      </w:r>
    </w:p>
    <w:p w:rsidR="008A7405" w:rsidRPr="001B4A8A" w:rsidRDefault="008A7405" w:rsidP="00E756F8">
      <w:pPr>
        <w:autoSpaceDE w:val="0"/>
        <w:autoSpaceDN w:val="0"/>
        <w:adjustRightInd w:val="0"/>
        <w:jc w:val="both"/>
        <w:rPr>
          <w:rFonts w:cs="Times New Roman"/>
          <w:b/>
          <w:bCs/>
          <w:szCs w:val="24"/>
        </w:rPr>
      </w:pPr>
    </w:p>
    <w:p w:rsidR="001243D5" w:rsidRDefault="00BB565D" w:rsidP="00EE2DB2">
      <w:pPr>
        <w:autoSpaceDE w:val="0"/>
        <w:autoSpaceDN w:val="0"/>
        <w:adjustRightInd w:val="0"/>
        <w:spacing w:line="360" w:lineRule="auto"/>
        <w:jc w:val="both"/>
        <w:rPr>
          <w:rFonts w:cs="Times New Roman"/>
          <w:szCs w:val="24"/>
        </w:rPr>
      </w:pPr>
      <w:r w:rsidRPr="00163D96">
        <w:rPr>
          <w:rFonts w:cs="Times New Roman"/>
          <w:position w:val="-46"/>
          <w:szCs w:val="24"/>
        </w:rPr>
        <w:object w:dxaOrig="802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54pt" o:ole="">
            <v:imagedata r:id="rId8" o:title=""/>
          </v:shape>
          <o:OLEObject Type="Embed" ProgID="Equation.3" ShapeID="_x0000_i1025" DrawAspect="Content" ObjectID="_1536742344" r:id="rId9"/>
        </w:object>
      </w:r>
      <w:r w:rsidR="008A7405" w:rsidRPr="00C15F52">
        <w:rPr>
          <w:rFonts w:cs="Times New Roman"/>
          <w:szCs w:val="24"/>
        </w:rPr>
        <w:t xml:space="preserve">    </w:t>
      </w:r>
      <w:r w:rsidR="00AF3C14">
        <w:rPr>
          <w:rFonts w:cs="Times New Roman"/>
          <w:szCs w:val="24"/>
        </w:rPr>
        <w:t xml:space="preserve">       </w:t>
      </w:r>
      <w:r w:rsidR="00163D96">
        <w:rPr>
          <w:rFonts w:cs="Times New Roman"/>
          <w:szCs w:val="24"/>
        </w:rPr>
        <w:t>(</w:t>
      </w:r>
      <w:r w:rsidR="00EE2DB2">
        <w:rPr>
          <w:rFonts w:cs="Times New Roman"/>
          <w:szCs w:val="24"/>
        </w:rPr>
        <w:t>4</w:t>
      </w:r>
      <w:r w:rsidR="00163D96">
        <w:rPr>
          <w:rFonts w:cs="Times New Roman"/>
          <w:szCs w:val="24"/>
        </w:rPr>
        <w:t>)</w:t>
      </w:r>
      <w:r w:rsidR="001243D5" w:rsidRPr="00C15F52">
        <w:rPr>
          <w:rFonts w:cs="Times New Roman"/>
          <w:szCs w:val="24"/>
        </w:rPr>
        <w:t xml:space="preserve">    </w:t>
      </w:r>
      <w:r w:rsidR="001243D5">
        <w:rPr>
          <w:rFonts w:cs="Times New Roman"/>
          <w:szCs w:val="24"/>
        </w:rPr>
        <w:t xml:space="preserve">      </w:t>
      </w:r>
    </w:p>
    <w:p w:rsidR="008A7405" w:rsidRPr="00696AE6" w:rsidRDefault="001243D5" w:rsidP="00163D96">
      <w:pPr>
        <w:autoSpaceDE w:val="0"/>
        <w:autoSpaceDN w:val="0"/>
        <w:adjustRightInd w:val="0"/>
        <w:spacing w:line="360" w:lineRule="auto"/>
        <w:jc w:val="both"/>
        <w:rPr>
          <w:rFonts w:cs="Times New Roman"/>
          <w:sz w:val="22"/>
        </w:rPr>
      </w:pPr>
      <w:r w:rsidRPr="001243D5">
        <w:rPr>
          <w:rFonts w:cs="Times New Roman"/>
          <w:sz w:val="22"/>
        </w:rPr>
        <w:t xml:space="preserve">Where </w:t>
      </w:r>
      <w:r w:rsidRPr="00696AE6">
        <w:rPr>
          <w:rFonts w:cs="Times New Roman"/>
          <w:i/>
          <w:iCs/>
          <w:sz w:val="22"/>
        </w:rPr>
        <w:t>DA</w:t>
      </w:r>
      <w:r w:rsidR="00060896" w:rsidRPr="001243D5">
        <w:rPr>
          <w:rFonts w:cs="Times New Roman"/>
          <w:sz w:val="22"/>
        </w:rPr>
        <w:t xml:space="preserve"> </w:t>
      </w:r>
      <w:r w:rsidR="00696AE6">
        <w:rPr>
          <w:rFonts w:cs="Times New Roman"/>
          <w:sz w:val="22"/>
        </w:rPr>
        <w:t>refers to d</w:t>
      </w:r>
      <w:r w:rsidR="00696AE6" w:rsidRPr="00CA07C3">
        <w:rPr>
          <w:rFonts w:cs="Times New Roman"/>
          <w:sz w:val="22"/>
        </w:rPr>
        <w:t>iscretionary accruals</w:t>
      </w:r>
      <w:r w:rsidR="00696AE6">
        <w:rPr>
          <w:rFonts w:cs="Times New Roman"/>
          <w:sz w:val="22"/>
        </w:rPr>
        <w:t xml:space="preserve">, </w:t>
      </w:r>
      <w:r w:rsidR="00696AE6" w:rsidRPr="00696AE6">
        <w:rPr>
          <w:rFonts w:cs="Times New Roman"/>
          <w:i/>
          <w:iCs/>
          <w:sz w:val="22"/>
        </w:rPr>
        <w:t>OCGI</w:t>
      </w:r>
      <w:r w:rsidR="00060896" w:rsidRPr="001243D5">
        <w:rPr>
          <w:rFonts w:cs="Times New Roman"/>
          <w:sz w:val="22"/>
        </w:rPr>
        <w:t xml:space="preserve"> </w:t>
      </w:r>
      <w:r w:rsidR="00696AE6">
        <w:rPr>
          <w:rFonts w:cs="Times New Roman"/>
          <w:sz w:val="22"/>
        </w:rPr>
        <w:t xml:space="preserve">is the Omani CG index, </w:t>
      </w:r>
      <w:r w:rsidR="000503C7">
        <w:rPr>
          <w:rFonts w:cs="Times New Roman"/>
          <w:i/>
          <w:iCs/>
          <w:sz w:val="22"/>
        </w:rPr>
        <w:t>I</w:t>
      </w:r>
      <w:r w:rsidR="00163D96" w:rsidRPr="00163D96">
        <w:rPr>
          <w:rFonts w:cs="Times New Roman"/>
          <w:i/>
          <w:iCs/>
          <w:sz w:val="22"/>
        </w:rPr>
        <w:t>GC</w:t>
      </w:r>
      <w:r w:rsidR="00163D96">
        <w:rPr>
          <w:rFonts w:cs="Times New Roman"/>
          <w:sz w:val="22"/>
        </w:rPr>
        <w:t xml:space="preserve"> is </w:t>
      </w:r>
      <w:r w:rsidR="000503C7">
        <w:rPr>
          <w:rFonts w:cs="Times New Roman"/>
          <w:sz w:val="22"/>
        </w:rPr>
        <w:t>Islamic</w:t>
      </w:r>
      <w:r w:rsidR="00163D96">
        <w:rPr>
          <w:rFonts w:cs="Times New Roman"/>
          <w:sz w:val="22"/>
        </w:rPr>
        <w:t xml:space="preserve"> governance committee, </w:t>
      </w:r>
      <w:r w:rsidR="00696AE6" w:rsidRPr="00696AE6">
        <w:rPr>
          <w:rFonts w:cs="Times New Roman"/>
          <w:i/>
          <w:iCs/>
          <w:sz w:val="22"/>
        </w:rPr>
        <w:t>BSIZE</w:t>
      </w:r>
      <w:r w:rsidR="00696AE6">
        <w:rPr>
          <w:rFonts w:cs="Times New Roman"/>
          <w:i/>
          <w:iCs/>
          <w:sz w:val="22"/>
        </w:rPr>
        <w:t xml:space="preserve"> </w:t>
      </w:r>
      <w:r w:rsidR="00696AE6">
        <w:rPr>
          <w:rFonts w:cs="Times New Roman"/>
          <w:sz w:val="22"/>
        </w:rPr>
        <w:t xml:space="preserve">is the board size, </w:t>
      </w:r>
      <w:r w:rsidR="00696AE6" w:rsidRPr="00696AE6">
        <w:rPr>
          <w:rFonts w:cs="Times New Roman"/>
          <w:i/>
          <w:iCs/>
          <w:sz w:val="22"/>
        </w:rPr>
        <w:t>BIG4</w:t>
      </w:r>
      <w:r w:rsidR="00696AE6">
        <w:rPr>
          <w:rFonts w:cs="Times New Roman"/>
          <w:sz w:val="22"/>
        </w:rPr>
        <w:t xml:space="preserve"> is a</w:t>
      </w:r>
      <w:r w:rsidR="00696AE6" w:rsidRPr="00CA07C3">
        <w:rPr>
          <w:rFonts w:cs="Times New Roman"/>
          <w:sz w:val="22"/>
        </w:rPr>
        <w:t>udit firm size</w:t>
      </w:r>
      <w:r w:rsidR="00696AE6">
        <w:rPr>
          <w:rFonts w:cs="Times New Roman"/>
          <w:sz w:val="22"/>
        </w:rPr>
        <w:t xml:space="preserve">, </w:t>
      </w:r>
      <w:r w:rsidR="00696AE6" w:rsidRPr="00696AE6">
        <w:rPr>
          <w:rFonts w:cs="Times New Roman"/>
          <w:i/>
          <w:iCs/>
          <w:sz w:val="22"/>
        </w:rPr>
        <w:t>CGCOM</w:t>
      </w:r>
      <w:r w:rsidR="00696AE6">
        <w:rPr>
          <w:rFonts w:cs="Times New Roman"/>
          <w:i/>
          <w:iCs/>
          <w:sz w:val="22"/>
        </w:rPr>
        <w:t xml:space="preserve"> </w:t>
      </w:r>
      <w:r w:rsidR="00696AE6">
        <w:rPr>
          <w:rFonts w:cs="Times New Roman"/>
          <w:sz w:val="22"/>
        </w:rPr>
        <w:t>is the p</w:t>
      </w:r>
      <w:r w:rsidR="00696AE6" w:rsidRPr="00CA07C3">
        <w:rPr>
          <w:rFonts w:cs="Times New Roman"/>
          <w:sz w:val="22"/>
        </w:rPr>
        <w:t>resence of a CG committee</w:t>
      </w:r>
      <w:r w:rsidR="00696AE6">
        <w:rPr>
          <w:rFonts w:cs="Times New Roman"/>
          <w:sz w:val="22"/>
        </w:rPr>
        <w:t>,</w:t>
      </w:r>
      <w:r w:rsidR="007357CF">
        <w:rPr>
          <w:rFonts w:cs="Times New Roman"/>
          <w:sz w:val="22"/>
        </w:rPr>
        <w:t xml:space="preserve"> and</w:t>
      </w:r>
      <w:r w:rsidR="00696AE6">
        <w:rPr>
          <w:rFonts w:cs="Times New Roman"/>
          <w:sz w:val="22"/>
        </w:rPr>
        <w:t xml:space="preserve"> </w:t>
      </w:r>
      <w:r w:rsidR="00696AE6" w:rsidRPr="00696AE6">
        <w:rPr>
          <w:rFonts w:cs="Times New Roman"/>
          <w:i/>
          <w:iCs/>
          <w:sz w:val="22"/>
        </w:rPr>
        <w:t>GNDR</w:t>
      </w:r>
      <w:r w:rsidR="00163D96">
        <w:rPr>
          <w:rFonts w:cs="Times New Roman"/>
          <w:i/>
          <w:iCs/>
          <w:sz w:val="22"/>
        </w:rPr>
        <w:t xml:space="preserve"> </w:t>
      </w:r>
      <w:r w:rsidR="00163D96">
        <w:rPr>
          <w:rFonts w:cs="Times New Roman"/>
          <w:sz w:val="22"/>
        </w:rPr>
        <w:t>is</w:t>
      </w:r>
      <w:r w:rsidR="00696AE6">
        <w:rPr>
          <w:rFonts w:cs="Times New Roman"/>
          <w:i/>
          <w:iCs/>
          <w:sz w:val="22"/>
        </w:rPr>
        <w:t xml:space="preserve"> </w:t>
      </w:r>
      <w:r w:rsidR="00163D96">
        <w:rPr>
          <w:rFonts w:cs="Times New Roman"/>
          <w:sz w:val="22"/>
        </w:rPr>
        <w:t>b</w:t>
      </w:r>
      <w:r w:rsidR="00696AE6" w:rsidRPr="00CA07C3">
        <w:rPr>
          <w:rFonts w:cs="Times New Roman"/>
          <w:sz w:val="22"/>
        </w:rPr>
        <w:t>oard diversity on the basis of gender</w:t>
      </w:r>
      <w:r w:rsidR="007357CF">
        <w:rPr>
          <w:rFonts w:cs="Times New Roman"/>
          <w:sz w:val="22"/>
        </w:rPr>
        <w:t>.</w:t>
      </w:r>
      <w:r w:rsidR="0085132E">
        <w:rPr>
          <w:rFonts w:cs="Times New Roman"/>
          <w:sz w:val="22"/>
        </w:rPr>
        <w:t xml:space="preserve"> </w:t>
      </w:r>
      <w:r w:rsidR="00696AE6" w:rsidRPr="00397DE2">
        <w:rPr>
          <w:rFonts w:cs="Times New Roman"/>
          <w:i/>
          <w:sz w:val="22"/>
        </w:rPr>
        <w:t>CONTROLS</w:t>
      </w:r>
      <w:r w:rsidR="00696AE6">
        <w:rPr>
          <w:rFonts w:cs="Times New Roman"/>
          <w:sz w:val="22"/>
        </w:rPr>
        <w:t xml:space="preserve"> refers to control variables, including </w:t>
      </w:r>
      <w:r w:rsidR="00CD2FC6">
        <w:rPr>
          <w:rFonts w:cs="Times New Roman"/>
          <w:sz w:val="22"/>
        </w:rPr>
        <w:t>ownership variables</w:t>
      </w:r>
      <w:r w:rsidR="00D1730F">
        <w:rPr>
          <w:rFonts w:cs="Times New Roman"/>
          <w:sz w:val="22"/>
        </w:rPr>
        <w:t>,</w:t>
      </w:r>
      <w:r w:rsidR="00CD2FC6">
        <w:rPr>
          <w:rFonts w:cs="Times New Roman"/>
          <w:sz w:val="22"/>
        </w:rPr>
        <w:t xml:space="preserve"> consisting of </w:t>
      </w:r>
      <w:r w:rsidR="00163D96">
        <w:rPr>
          <w:rFonts w:cs="Times New Roman"/>
          <w:sz w:val="22"/>
        </w:rPr>
        <w:t>block ownership (</w:t>
      </w:r>
      <w:r w:rsidR="00163D96" w:rsidRPr="00397DE2">
        <w:rPr>
          <w:rFonts w:cs="Times New Roman"/>
          <w:i/>
          <w:sz w:val="22"/>
        </w:rPr>
        <w:t>BLKOWN</w:t>
      </w:r>
      <w:r w:rsidR="00163D96">
        <w:rPr>
          <w:rFonts w:cs="Times New Roman"/>
          <w:sz w:val="22"/>
        </w:rPr>
        <w:t xml:space="preserve">), </w:t>
      </w:r>
      <w:r w:rsidR="009C6F9A">
        <w:rPr>
          <w:rFonts w:cs="Times New Roman"/>
          <w:sz w:val="22"/>
        </w:rPr>
        <w:t>foreign ownership (</w:t>
      </w:r>
      <w:r w:rsidR="009C6F9A" w:rsidRPr="00397DE2">
        <w:rPr>
          <w:rFonts w:cs="Times New Roman"/>
          <w:i/>
          <w:sz w:val="22"/>
        </w:rPr>
        <w:t>FOROWN</w:t>
      </w:r>
      <w:r w:rsidR="009C6F9A">
        <w:rPr>
          <w:rFonts w:cs="Times New Roman"/>
          <w:sz w:val="22"/>
        </w:rPr>
        <w:t xml:space="preserve">), </w:t>
      </w:r>
      <w:r w:rsidR="00163D96">
        <w:rPr>
          <w:rFonts w:cs="Times New Roman"/>
          <w:sz w:val="22"/>
        </w:rPr>
        <w:t>government ownership (</w:t>
      </w:r>
      <w:r w:rsidR="00163D96" w:rsidRPr="00397DE2">
        <w:rPr>
          <w:rFonts w:cs="Times New Roman"/>
          <w:i/>
          <w:sz w:val="22"/>
        </w:rPr>
        <w:t>GOVOWN</w:t>
      </w:r>
      <w:r w:rsidR="00163D96">
        <w:rPr>
          <w:rFonts w:cs="Times New Roman"/>
          <w:sz w:val="22"/>
        </w:rPr>
        <w:t>)</w:t>
      </w:r>
      <w:r w:rsidR="00CD2FC6">
        <w:rPr>
          <w:rFonts w:cs="Times New Roman"/>
          <w:sz w:val="22"/>
        </w:rPr>
        <w:t xml:space="preserve"> and</w:t>
      </w:r>
      <w:r w:rsidR="00163D96">
        <w:rPr>
          <w:rFonts w:cs="Times New Roman"/>
          <w:sz w:val="22"/>
        </w:rPr>
        <w:t xml:space="preserve"> institutional ownership (</w:t>
      </w:r>
      <w:r w:rsidR="00163D96" w:rsidRPr="00397DE2">
        <w:rPr>
          <w:rFonts w:cs="Times New Roman"/>
          <w:i/>
          <w:sz w:val="22"/>
        </w:rPr>
        <w:t>INSOWN</w:t>
      </w:r>
      <w:r w:rsidR="00163D96">
        <w:rPr>
          <w:rFonts w:cs="Times New Roman"/>
          <w:sz w:val="22"/>
        </w:rPr>
        <w:t>)</w:t>
      </w:r>
      <w:r w:rsidR="00CD2FC6">
        <w:rPr>
          <w:rFonts w:cs="Times New Roman"/>
          <w:sz w:val="22"/>
        </w:rPr>
        <w:t xml:space="preserve"> and firm-specific characteristics, namely</w:t>
      </w:r>
      <w:r w:rsidR="00163D96">
        <w:rPr>
          <w:rFonts w:cs="Times New Roman"/>
          <w:sz w:val="22"/>
        </w:rPr>
        <w:t xml:space="preserve"> </w:t>
      </w:r>
      <w:r w:rsidR="00163D96" w:rsidRPr="00CA07C3">
        <w:rPr>
          <w:rFonts w:cs="Times New Roman"/>
          <w:sz w:val="22"/>
        </w:rPr>
        <w:t xml:space="preserve">firm </w:t>
      </w:r>
      <w:r w:rsidR="0085132E" w:rsidRPr="00CA07C3">
        <w:rPr>
          <w:rFonts w:cs="Times New Roman"/>
          <w:sz w:val="22"/>
        </w:rPr>
        <w:t>size</w:t>
      </w:r>
      <w:r w:rsidR="0085132E">
        <w:rPr>
          <w:rFonts w:cs="Times New Roman"/>
          <w:sz w:val="22"/>
        </w:rPr>
        <w:t xml:space="preserve"> (</w:t>
      </w:r>
      <w:r w:rsidR="0085132E" w:rsidRPr="00397DE2">
        <w:rPr>
          <w:rFonts w:cs="Times New Roman"/>
          <w:i/>
          <w:sz w:val="22"/>
        </w:rPr>
        <w:t>LNTA</w:t>
      </w:r>
      <w:r w:rsidR="0085132E">
        <w:rPr>
          <w:rFonts w:cs="Times New Roman"/>
          <w:sz w:val="22"/>
        </w:rPr>
        <w:t xml:space="preserve">), </w:t>
      </w:r>
      <w:r w:rsidR="0085132E" w:rsidRPr="00CA07C3">
        <w:rPr>
          <w:rFonts w:cs="Times New Roman"/>
          <w:sz w:val="22"/>
        </w:rPr>
        <w:t>growth</w:t>
      </w:r>
      <w:r w:rsidR="0085132E">
        <w:rPr>
          <w:rFonts w:cs="Times New Roman"/>
          <w:sz w:val="22"/>
        </w:rPr>
        <w:t xml:space="preserve"> (</w:t>
      </w:r>
      <w:r w:rsidR="0085132E" w:rsidRPr="00397DE2">
        <w:rPr>
          <w:rFonts w:cs="Times New Roman"/>
          <w:i/>
          <w:sz w:val="22"/>
        </w:rPr>
        <w:t>GROWTH</w:t>
      </w:r>
      <w:r w:rsidR="0085132E">
        <w:rPr>
          <w:rFonts w:cs="Times New Roman"/>
          <w:sz w:val="22"/>
        </w:rPr>
        <w:t xml:space="preserve">), </w:t>
      </w:r>
      <w:r w:rsidR="0085132E" w:rsidRPr="00CA07C3">
        <w:rPr>
          <w:rFonts w:cs="Times New Roman"/>
          <w:sz w:val="22"/>
        </w:rPr>
        <w:t>profitability, (</w:t>
      </w:r>
      <w:r w:rsidR="0085132E" w:rsidRPr="00397DE2">
        <w:rPr>
          <w:rFonts w:cs="Times New Roman"/>
          <w:i/>
          <w:sz w:val="22"/>
        </w:rPr>
        <w:t>ROA</w:t>
      </w:r>
      <w:r w:rsidR="0085132E" w:rsidRPr="00CA07C3">
        <w:rPr>
          <w:rFonts w:cs="Times New Roman"/>
          <w:sz w:val="22"/>
        </w:rPr>
        <w:t>), leverage (</w:t>
      </w:r>
      <w:r w:rsidR="0085132E" w:rsidRPr="00397DE2">
        <w:rPr>
          <w:rFonts w:cs="Times New Roman"/>
          <w:i/>
          <w:sz w:val="22"/>
        </w:rPr>
        <w:t>LVRG</w:t>
      </w:r>
      <w:r w:rsidR="0085132E" w:rsidRPr="00CA07C3">
        <w:rPr>
          <w:rFonts w:cs="Times New Roman"/>
          <w:sz w:val="22"/>
        </w:rPr>
        <w:t>), industry, and year dummies.</w:t>
      </w:r>
      <w:r w:rsidR="00163D96">
        <w:rPr>
          <w:rFonts w:cs="Times New Roman"/>
          <w:sz w:val="22"/>
        </w:rPr>
        <w:t xml:space="preserve">  </w:t>
      </w:r>
    </w:p>
    <w:p w:rsidR="00EF43E7" w:rsidRPr="00CA07C3" w:rsidRDefault="00EF43E7" w:rsidP="0085132E">
      <w:pPr>
        <w:spacing w:line="360" w:lineRule="auto"/>
        <w:jc w:val="both"/>
        <w:rPr>
          <w:rFonts w:cs="Times New Roman"/>
          <w:sz w:val="22"/>
        </w:rPr>
      </w:pPr>
      <w:bookmarkStart w:id="18" w:name="_Toc383014554"/>
      <w:bookmarkStart w:id="19" w:name="_Toc383249612"/>
    </w:p>
    <w:bookmarkEnd w:id="18"/>
    <w:bookmarkEnd w:id="19"/>
    <w:p w:rsidR="00D01645" w:rsidRPr="00952D49" w:rsidRDefault="00330DD3" w:rsidP="00330DD3">
      <w:pPr>
        <w:rPr>
          <w:b/>
          <w:sz w:val="22"/>
        </w:rPr>
      </w:pPr>
      <w:r w:rsidRPr="00952D49">
        <w:rPr>
          <w:b/>
          <w:sz w:val="22"/>
        </w:rPr>
        <w:t xml:space="preserve">6. </w:t>
      </w:r>
      <w:r w:rsidR="00A602F6" w:rsidRPr="00952D49">
        <w:rPr>
          <w:b/>
          <w:sz w:val="22"/>
        </w:rPr>
        <w:t>Empirical results and discussions</w:t>
      </w:r>
    </w:p>
    <w:p w:rsidR="005E5447" w:rsidRDefault="005E5447" w:rsidP="00FC0308">
      <w:pPr>
        <w:pStyle w:val="Heading2"/>
        <w:numPr>
          <w:ilvl w:val="0"/>
          <w:numId w:val="0"/>
        </w:numPr>
        <w:spacing w:after="0"/>
        <w:ind w:left="576" w:hanging="576"/>
        <w:rPr>
          <w:i/>
          <w:iCs/>
          <w:sz w:val="22"/>
          <w:szCs w:val="22"/>
        </w:rPr>
      </w:pPr>
    </w:p>
    <w:p w:rsidR="00EF43E7" w:rsidRPr="00952D49" w:rsidRDefault="00952D49" w:rsidP="00952D49">
      <w:pPr>
        <w:rPr>
          <w:i/>
          <w:sz w:val="22"/>
        </w:rPr>
      </w:pPr>
      <w:r w:rsidRPr="00952D49">
        <w:rPr>
          <w:i/>
          <w:sz w:val="22"/>
        </w:rPr>
        <w:t xml:space="preserve">6.1 </w:t>
      </w:r>
      <w:r w:rsidR="00A602F6" w:rsidRPr="00952D49">
        <w:rPr>
          <w:i/>
          <w:sz w:val="22"/>
        </w:rPr>
        <w:t>Empirical results: D</w:t>
      </w:r>
      <w:r w:rsidR="009733A3" w:rsidRPr="00952D49">
        <w:rPr>
          <w:i/>
          <w:sz w:val="22"/>
        </w:rPr>
        <w:t>escriptive statistics and univariate regression analysis</w:t>
      </w:r>
    </w:p>
    <w:p w:rsidR="00A10607" w:rsidRDefault="00A10607" w:rsidP="005E5447">
      <w:pPr>
        <w:ind w:firstLine="720"/>
        <w:jc w:val="both"/>
        <w:rPr>
          <w:rFonts w:cs="Times New Roman"/>
          <w:bCs/>
          <w:sz w:val="22"/>
        </w:rPr>
      </w:pPr>
    </w:p>
    <w:p w:rsidR="00B27DB1" w:rsidRDefault="009733A3" w:rsidP="00B27DB1">
      <w:pPr>
        <w:spacing w:line="360" w:lineRule="auto"/>
        <w:ind w:firstLine="720"/>
        <w:jc w:val="both"/>
        <w:rPr>
          <w:rFonts w:eastAsiaTheme="minorEastAsia" w:cs="Times New Roman"/>
          <w:sz w:val="22"/>
        </w:rPr>
      </w:pPr>
      <w:r w:rsidRPr="00CA07C3">
        <w:rPr>
          <w:rFonts w:cs="Times New Roman"/>
          <w:bCs/>
          <w:sz w:val="22"/>
        </w:rPr>
        <w:t>Summary descriptive statistics</w:t>
      </w:r>
      <w:r w:rsidR="00563856" w:rsidRPr="00CA07C3">
        <w:rPr>
          <w:rFonts w:cs="Times New Roman"/>
          <w:bCs/>
          <w:sz w:val="22"/>
        </w:rPr>
        <w:t xml:space="preserve"> of </w:t>
      </w:r>
      <w:r w:rsidRPr="00CA07C3">
        <w:rPr>
          <w:rFonts w:cs="Times New Roman"/>
          <w:bCs/>
          <w:sz w:val="22"/>
        </w:rPr>
        <w:t xml:space="preserve">the level of compliance with the </w:t>
      </w:r>
      <w:r w:rsidR="002A3B46">
        <w:rPr>
          <w:rFonts w:cs="Times New Roman"/>
          <w:bCs/>
          <w:sz w:val="22"/>
        </w:rPr>
        <w:t>Omani corporate governance index (</w:t>
      </w:r>
      <w:r w:rsidR="00563856" w:rsidRPr="00CA07C3">
        <w:rPr>
          <w:rFonts w:cs="Times New Roman"/>
          <w:bCs/>
          <w:i/>
          <w:sz w:val="22"/>
        </w:rPr>
        <w:t>O</w:t>
      </w:r>
      <w:r w:rsidRPr="00CA07C3">
        <w:rPr>
          <w:rFonts w:cs="Times New Roman"/>
          <w:bCs/>
          <w:i/>
          <w:sz w:val="22"/>
        </w:rPr>
        <w:t>CGI</w:t>
      </w:r>
      <w:r w:rsidR="002A3B46">
        <w:rPr>
          <w:rFonts w:cs="Times New Roman"/>
          <w:bCs/>
          <w:sz w:val="22"/>
        </w:rPr>
        <w:t>)</w:t>
      </w:r>
      <w:r w:rsidRPr="00CA07C3">
        <w:rPr>
          <w:rFonts w:cs="Times New Roman"/>
          <w:bCs/>
          <w:i/>
          <w:sz w:val="22"/>
        </w:rPr>
        <w:t xml:space="preserve">  </w:t>
      </w:r>
      <w:r w:rsidRPr="00CA07C3">
        <w:rPr>
          <w:rFonts w:cs="Times New Roman"/>
          <w:bCs/>
          <w:sz w:val="22"/>
        </w:rPr>
        <w:t xml:space="preserve">and </w:t>
      </w:r>
      <w:r w:rsidR="00D1730F">
        <w:rPr>
          <w:rFonts w:cs="Times New Roman"/>
          <w:bCs/>
          <w:sz w:val="22"/>
        </w:rPr>
        <w:t>its</w:t>
      </w:r>
      <w:r w:rsidRPr="00CA07C3">
        <w:rPr>
          <w:rFonts w:cs="Times New Roman"/>
          <w:bCs/>
          <w:sz w:val="22"/>
        </w:rPr>
        <w:t xml:space="preserve"> sub-indices</w:t>
      </w:r>
      <w:r w:rsidRPr="00CA07C3">
        <w:rPr>
          <w:rFonts w:cs="Times New Roman"/>
          <w:sz w:val="22"/>
        </w:rPr>
        <w:t xml:space="preserve"> for each of the </w:t>
      </w:r>
      <w:r w:rsidR="0031759F" w:rsidRPr="00CA07C3">
        <w:rPr>
          <w:rFonts w:cs="Times New Roman"/>
          <w:sz w:val="22"/>
        </w:rPr>
        <w:t>eleven</w:t>
      </w:r>
      <w:r w:rsidRPr="00CA07C3">
        <w:rPr>
          <w:rFonts w:cs="Times New Roman"/>
          <w:sz w:val="22"/>
        </w:rPr>
        <w:t xml:space="preserve"> firm-years</w:t>
      </w:r>
      <w:r w:rsidR="00563856" w:rsidRPr="00CA07C3">
        <w:rPr>
          <w:rFonts w:cs="Times New Roman"/>
          <w:bCs/>
          <w:sz w:val="22"/>
        </w:rPr>
        <w:t>, as well as all variables included i</w:t>
      </w:r>
      <w:r w:rsidR="0085132E">
        <w:rPr>
          <w:rFonts w:cs="Times New Roman"/>
          <w:bCs/>
          <w:sz w:val="22"/>
        </w:rPr>
        <w:t xml:space="preserve">n our analysis are presented in </w:t>
      </w:r>
      <w:r w:rsidR="00563856" w:rsidRPr="00CA07C3">
        <w:rPr>
          <w:rFonts w:cs="Times New Roman"/>
          <w:bCs/>
          <w:sz w:val="22"/>
        </w:rPr>
        <w:t>Tables 3 and 4</w:t>
      </w:r>
      <w:r w:rsidR="00E708FE" w:rsidRPr="00CA07C3">
        <w:rPr>
          <w:rFonts w:cs="Times New Roman"/>
          <w:bCs/>
          <w:sz w:val="22"/>
        </w:rPr>
        <w:t>,</w:t>
      </w:r>
      <w:r w:rsidR="00563856" w:rsidRPr="00CA07C3">
        <w:rPr>
          <w:rFonts w:cs="Times New Roman"/>
          <w:bCs/>
          <w:sz w:val="22"/>
        </w:rPr>
        <w:t xml:space="preserve"> respectively. </w:t>
      </w:r>
      <w:r w:rsidR="00E74E48" w:rsidRPr="00CA07C3">
        <w:rPr>
          <w:rFonts w:cs="Times New Roman"/>
          <w:sz w:val="22"/>
        </w:rPr>
        <w:t xml:space="preserve">First, the findings in Panel </w:t>
      </w:r>
      <w:r w:rsidR="00E74E48" w:rsidRPr="00CA07C3">
        <w:rPr>
          <w:rFonts w:cs="Times New Roman"/>
          <w:i/>
          <w:sz w:val="22"/>
        </w:rPr>
        <w:t>A</w:t>
      </w:r>
      <w:r w:rsidR="00E74E48" w:rsidRPr="00CA07C3">
        <w:rPr>
          <w:rFonts w:cs="Times New Roman"/>
          <w:sz w:val="22"/>
        </w:rPr>
        <w:t xml:space="preserve"> of Table 3 indicate that the levels of compliance with </w:t>
      </w:r>
      <w:r w:rsidR="00D1730F">
        <w:rPr>
          <w:rFonts w:cs="Times New Roman"/>
          <w:sz w:val="22"/>
        </w:rPr>
        <w:t xml:space="preserve">the </w:t>
      </w:r>
      <w:r w:rsidR="00E74E48" w:rsidRPr="00CA07C3">
        <w:rPr>
          <w:rFonts w:cs="Times New Roman"/>
          <w:i/>
          <w:sz w:val="22"/>
        </w:rPr>
        <w:t>OCGI</w:t>
      </w:r>
      <w:r w:rsidR="00E74E48" w:rsidRPr="00CA07C3">
        <w:rPr>
          <w:rFonts w:cs="Times New Roman"/>
          <w:sz w:val="22"/>
        </w:rPr>
        <w:t xml:space="preserve">’s provisions across firm years </w:t>
      </w:r>
      <w:r w:rsidR="00614671">
        <w:rPr>
          <w:rFonts w:cs="Times New Roman"/>
          <w:sz w:val="22"/>
        </w:rPr>
        <w:t xml:space="preserve">vary </w:t>
      </w:r>
      <w:r w:rsidR="00E74E48" w:rsidRPr="00CA07C3">
        <w:rPr>
          <w:rFonts w:cs="Times New Roman"/>
          <w:sz w:val="22"/>
        </w:rPr>
        <w:t xml:space="preserve">substantially among Omani listed firms. </w:t>
      </w:r>
      <w:r w:rsidR="005953D7">
        <w:rPr>
          <w:rFonts w:cs="Times New Roman"/>
          <w:sz w:val="22"/>
        </w:rPr>
        <w:t>Specifically and for example,</w:t>
      </w:r>
      <w:r w:rsidR="00614671">
        <w:rPr>
          <w:rFonts w:cs="Times New Roman"/>
          <w:sz w:val="22"/>
        </w:rPr>
        <w:t xml:space="preserve"> t</w:t>
      </w:r>
      <w:r w:rsidR="00EF6C83" w:rsidRPr="00CA07C3">
        <w:rPr>
          <w:rFonts w:cs="Times New Roman"/>
          <w:sz w:val="22"/>
        </w:rPr>
        <w:t>he aggregate compliance levels have increased from 6.78% in 2001 to 60.93% in 2009</w:t>
      </w:r>
      <w:r w:rsidR="005953D7">
        <w:rPr>
          <w:rFonts w:cs="Times New Roman"/>
          <w:sz w:val="22"/>
        </w:rPr>
        <w:t xml:space="preserve">, evidence </w:t>
      </w:r>
      <w:r w:rsidR="00EF6C83" w:rsidRPr="00CA07C3">
        <w:rPr>
          <w:rFonts w:cs="Times New Roman"/>
          <w:sz w:val="22"/>
        </w:rPr>
        <w:t xml:space="preserve">which is </w:t>
      </w:r>
      <w:r w:rsidR="005953D7">
        <w:rPr>
          <w:rFonts w:cs="Times New Roman"/>
          <w:sz w:val="22"/>
        </w:rPr>
        <w:t xml:space="preserve">largely </w:t>
      </w:r>
      <w:r w:rsidR="00EF6C83" w:rsidRPr="00CA07C3">
        <w:rPr>
          <w:rFonts w:cs="Times New Roman"/>
          <w:sz w:val="22"/>
        </w:rPr>
        <w:t xml:space="preserve">consistent with </w:t>
      </w:r>
      <w:r w:rsidR="005953D7">
        <w:rPr>
          <w:rFonts w:cs="Times New Roman"/>
          <w:sz w:val="22"/>
        </w:rPr>
        <w:t xml:space="preserve">those of </w:t>
      </w:r>
      <w:r w:rsidR="000E6FB7">
        <w:rPr>
          <w:rFonts w:cs="Times New Roman"/>
          <w:sz w:val="22"/>
        </w:rPr>
        <w:t>prior studies</w:t>
      </w:r>
      <w:r w:rsidR="00EF6C83" w:rsidRPr="00CA07C3">
        <w:rPr>
          <w:rFonts w:cs="Times New Roman"/>
          <w:sz w:val="22"/>
        </w:rPr>
        <w:t xml:space="preserve"> that compliance with CG provisions improves over time</w:t>
      </w:r>
      <w:r w:rsidR="005953D7">
        <w:rPr>
          <w:rFonts w:cs="Times New Roman"/>
          <w:sz w:val="22"/>
        </w:rPr>
        <w:t xml:space="preserve"> </w:t>
      </w:r>
      <w:r w:rsidR="005953D7" w:rsidRPr="00CA07C3">
        <w:rPr>
          <w:rFonts w:cs="Times New Roman"/>
          <w:sz w:val="22"/>
        </w:rPr>
        <w:t xml:space="preserve">(e.g., Akkermans </w:t>
      </w:r>
      <w:r w:rsidR="005953D7" w:rsidRPr="00D1730F">
        <w:rPr>
          <w:rFonts w:cs="Times New Roman"/>
          <w:iCs/>
          <w:sz w:val="22"/>
        </w:rPr>
        <w:t>et al</w:t>
      </w:r>
      <w:r w:rsidR="005953D7" w:rsidRPr="00D1730F">
        <w:rPr>
          <w:rFonts w:cs="Times New Roman"/>
          <w:sz w:val="22"/>
        </w:rPr>
        <w:t xml:space="preserve">., </w:t>
      </w:r>
      <w:r w:rsidR="005953D7" w:rsidRPr="00CA07C3">
        <w:rPr>
          <w:rFonts w:cs="Times New Roman"/>
          <w:sz w:val="22"/>
        </w:rPr>
        <w:t xml:space="preserve">2007; Ntim </w:t>
      </w:r>
      <w:r w:rsidR="005953D7" w:rsidRPr="00D1730F">
        <w:rPr>
          <w:rFonts w:cs="Times New Roman"/>
          <w:iCs/>
          <w:sz w:val="22"/>
        </w:rPr>
        <w:t>et al</w:t>
      </w:r>
      <w:r w:rsidR="005953D7" w:rsidRPr="00D1730F">
        <w:rPr>
          <w:rFonts w:cs="Times New Roman"/>
          <w:sz w:val="22"/>
        </w:rPr>
        <w:t>.,</w:t>
      </w:r>
      <w:r w:rsidR="005953D7" w:rsidRPr="00CA07C3">
        <w:rPr>
          <w:rFonts w:cs="Times New Roman"/>
          <w:sz w:val="22"/>
        </w:rPr>
        <w:t xml:space="preserve"> 2012</w:t>
      </w:r>
      <w:r w:rsidR="005953D7">
        <w:rPr>
          <w:rFonts w:cs="Times New Roman"/>
          <w:sz w:val="22"/>
        </w:rPr>
        <w:t>a, b</w:t>
      </w:r>
      <w:r w:rsidR="005953D7" w:rsidRPr="00CA07C3">
        <w:rPr>
          <w:rFonts w:cs="Times New Roman"/>
          <w:sz w:val="22"/>
        </w:rPr>
        <w:t>)</w:t>
      </w:r>
      <w:r w:rsidR="00EF6C83" w:rsidRPr="00CA07C3">
        <w:rPr>
          <w:rFonts w:cs="Times New Roman"/>
          <w:sz w:val="22"/>
        </w:rPr>
        <w:t xml:space="preserve">. </w:t>
      </w:r>
      <w:r w:rsidR="00A60CD2" w:rsidRPr="00CA07C3">
        <w:rPr>
          <w:rFonts w:cs="Times New Roman"/>
          <w:sz w:val="22"/>
        </w:rPr>
        <w:t>The aggregate mean scores range from a minimum of 1.39</w:t>
      </w:r>
      <w:r w:rsidR="005953D7">
        <w:rPr>
          <w:rFonts w:cs="Times New Roman"/>
          <w:sz w:val="22"/>
        </w:rPr>
        <w:t>%</w:t>
      </w:r>
      <w:r w:rsidR="00A60CD2" w:rsidRPr="00CA07C3">
        <w:rPr>
          <w:rFonts w:cs="Times New Roman"/>
          <w:sz w:val="22"/>
        </w:rPr>
        <w:t xml:space="preserve"> to a maximum of 88.89</w:t>
      </w:r>
      <w:r w:rsidR="005953D7">
        <w:rPr>
          <w:rFonts w:cs="Times New Roman"/>
          <w:sz w:val="22"/>
        </w:rPr>
        <w:t>%</w:t>
      </w:r>
      <w:r w:rsidR="00A60CD2" w:rsidRPr="00CA07C3">
        <w:rPr>
          <w:rFonts w:cs="Times New Roman"/>
          <w:sz w:val="22"/>
        </w:rPr>
        <w:t xml:space="preserve">, with </w:t>
      </w:r>
      <w:r w:rsidR="005953D7">
        <w:rPr>
          <w:rFonts w:cs="Times New Roman"/>
          <w:sz w:val="22"/>
        </w:rPr>
        <w:t xml:space="preserve">the average Omani firm complying with </w:t>
      </w:r>
      <w:r w:rsidR="00A60CD2" w:rsidRPr="00CA07C3">
        <w:rPr>
          <w:rFonts w:eastAsiaTheme="minorEastAsia" w:cs="Times New Roman"/>
          <w:sz w:val="22"/>
        </w:rPr>
        <w:t>47.89</w:t>
      </w:r>
      <w:r w:rsidR="005953D7">
        <w:rPr>
          <w:rFonts w:eastAsiaTheme="minorEastAsia" w:cs="Times New Roman"/>
          <w:sz w:val="22"/>
        </w:rPr>
        <w:t>%</w:t>
      </w:r>
      <w:r w:rsidR="00A60CD2" w:rsidRPr="00CA07C3">
        <w:rPr>
          <w:rFonts w:eastAsiaTheme="minorEastAsia" w:cs="Times New Roman"/>
          <w:sz w:val="22"/>
        </w:rPr>
        <w:t xml:space="preserve"> </w:t>
      </w:r>
      <w:r w:rsidR="005953D7">
        <w:rPr>
          <w:rFonts w:cs="Times New Roman"/>
          <w:sz w:val="22"/>
        </w:rPr>
        <w:t xml:space="preserve">of the </w:t>
      </w:r>
      <w:r w:rsidR="00A60CD2" w:rsidRPr="00CA07C3">
        <w:rPr>
          <w:rFonts w:cs="Times New Roman"/>
          <w:sz w:val="22"/>
        </w:rPr>
        <w:t xml:space="preserve">72 </w:t>
      </w:r>
      <w:r w:rsidR="005953D7">
        <w:rPr>
          <w:rFonts w:cs="Times New Roman"/>
          <w:sz w:val="22"/>
        </w:rPr>
        <w:t xml:space="preserve">individual </w:t>
      </w:r>
      <w:r w:rsidR="00A60CD2" w:rsidRPr="00CA07C3">
        <w:rPr>
          <w:rFonts w:cs="Times New Roman"/>
          <w:sz w:val="22"/>
        </w:rPr>
        <w:t>CG provisions</w:t>
      </w:r>
      <w:r w:rsidR="005953D7">
        <w:rPr>
          <w:rFonts w:eastAsiaTheme="minorEastAsia" w:cs="Times New Roman"/>
          <w:sz w:val="22"/>
        </w:rPr>
        <w:t xml:space="preserve"> examined over the </w:t>
      </w:r>
      <w:r w:rsidR="00A60CD2" w:rsidRPr="00CA07C3">
        <w:rPr>
          <w:rFonts w:eastAsiaTheme="minorEastAsia" w:cs="Times New Roman"/>
          <w:sz w:val="22"/>
        </w:rPr>
        <w:t>2001 to 2011</w:t>
      </w:r>
      <w:r w:rsidR="005953D7">
        <w:rPr>
          <w:rFonts w:eastAsiaTheme="minorEastAsia" w:cs="Times New Roman"/>
          <w:sz w:val="22"/>
        </w:rPr>
        <w:t xml:space="preserve"> period</w:t>
      </w:r>
      <w:r w:rsidR="00A60CD2" w:rsidRPr="00CA07C3">
        <w:rPr>
          <w:rFonts w:eastAsiaTheme="minorEastAsia" w:cs="Times New Roman"/>
          <w:sz w:val="22"/>
        </w:rPr>
        <w:t xml:space="preserve">. </w:t>
      </w:r>
    </w:p>
    <w:p w:rsidR="00EF43E7" w:rsidRPr="00B27DB1" w:rsidRDefault="009733A3" w:rsidP="00D26E59">
      <w:pPr>
        <w:spacing w:line="360" w:lineRule="auto"/>
        <w:ind w:firstLine="720"/>
        <w:jc w:val="both"/>
        <w:rPr>
          <w:rFonts w:eastAsiaTheme="minorEastAsia" w:cs="Times New Roman"/>
          <w:sz w:val="22"/>
        </w:rPr>
      </w:pPr>
      <w:r w:rsidRPr="00CA07C3">
        <w:rPr>
          <w:rFonts w:cs="Times New Roman"/>
          <w:sz w:val="22"/>
        </w:rPr>
        <w:t xml:space="preserve">Similarly, </w:t>
      </w:r>
      <w:r w:rsidRPr="00CA07C3">
        <w:rPr>
          <w:rFonts w:cs="Times New Roman"/>
          <w:bCs/>
          <w:sz w:val="22"/>
        </w:rPr>
        <w:t xml:space="preserve">the statistics in Panels </w:t>
      </w:r>
      <w:r w:rsidRPr="00CA07C3">
        <w:rPr>
          <w:rFonts w:cs="Times New Roman"/>
          <w:bCs/>
          <w:i/>
          <w:sz w:val="22"/>
        </w:rPr>
        <w:t>B, C, D</w:t>
      </w:r>
      <w:r w:rsidRPr="00CA07C3">
        <w:rPr>
          <w:rFonts w:cs="Times New Roman"/>
          <w:bCs/>
          <w:sz w:val="22"/>
        </w:rPr>
        <w:t xml:space="preserve"> and </w:t>
      </w:r>
      <w:r w:rsidRPr="00CA07C3">
        <w:rPr>
          <w:rFonts w:cs="Times New Roman"/>
          <w:bCs/>
          <w:i/>
          <w:sz w:val="22"/>
        </w:rPr>
        <w:t>E</w:t>
      </w:r>
      <w:r w:rsidRPr="00CA07C3">
        <w:rPr>
          <w:rFonts w:cs="Times New Roman"/>
          <w:bCs/>
          <w:sz w:val="22"/>
        </w:rPr>
        <w:t xml:space="preserve"> of Table 3 suggest that there is substantial degree of dispersion in the distribution of each sub-index</w:t>
      </w:r>
      <w:r w:rsidR="002C5083" w:rsidRPr="00CA07C3">
        <w:rPr>
          <w:rFonts w:cs="Times New Roman"/>
          <w:bCs/>
          <w:sz w:val="22"/>
        </w:rPr>
        <w:t xml:space="preserve">, as well as similar increasing levels of compliance with respect to each sub-index over </w:t>
      </w:r>
      <w:r w:rsidR="005953D7">
        <w:rPr>
          <w:rFonts w:cs="Times New Roman"/>
          <w:bCs/>
          <w:sz w:val="22"/>
        </w:rPr>
        <w:t>the period of our examination</w:t>
      </w:r>
      <w:r w:rsidRPr="00CA07C3">
        <w:rPr>
          <w:rFonts w:cs="Times New Roman"/>
          <w:bCs/>
          <w:sz w:val="22"/>
        </w:rPr>
        <w:t xml:space="preserve">. For instance, </w:t>
      </w:r>
      <w:r w:rsidRPr="00CA07C3">
        <w:rPr>
          <w:rFonts w:cs="Times New Roman"/>
          <w:sz w:val="22"/>
        </w:rPr>
        <w:t xml:space="preserve">the </w:t>
      </w:r>
      <w:r w:rsidRPr="00CA07C3">
        <w:rPr>
          <w:rFonts w:cs="Times New Roman"/>
          <w:iCs/>
          <w:sz w:val="22"/>
        </w:rPr>
        <w:t>board and directors’ sub-index</w:t>
      </w:r>
      <w:r w:rsidRPr="00CA07C3">
        <w:rPr>
          <w:rFonts w:cs="Times New Roman"/>
          <w:sz w:val="22"/>
        </w:rPr>
        <w:t xml:space="preserve"> ranges from 0% to 97.44% with the average corporations complying with 38.59%.</w:t>
      </w:r>
      <w:r w:rsidR="002D5AFD" w:rsidRPr="00CA07C3">
        <w:rPr>
          <w:rFonts w:cs="Times New Roman"/>
          <w:sz w:val="22"/>
        </w:rPr>
        <w:t xml:space="preserve"> Omani firms appear to have</w:t>
      </w:r>
      <w:r w:rsidR="00FB65C3">
        <w:rPr>
          <w:rFonts w:cs="Times New Roman"/>
          <w:sz w:val="22"/>
        </w:rPr>
        <w:t xml:space="preserve"> relatively</w:t>
      </w:r>
      <w:r w:rsidR="002D5AFD" w:rsidRPr="00CA07C3">
        <w:rPr>
          <w:rFonts w:cs="Times New Roman"/>
          <w:sz w:val="22"/>
        </w:rPr>
        <w:t xml:space="preserve"> h</w:t>
      </w:r>
      <w:r w:rsidR="00B27DB1">
        <w:rPr>
          <w:rFonts w:cs="Times New Roman"/>
          <w:sz w:val="22"/>
        </w:rPr>
        <w:t>i</w:t>
      </w:r>
      <w:r w:rsidR="002D5AFD" w:rsidRPr="00CA07C3">
        <w:rPr>
          <w:rFonts w:cs="Times New Roman"/>
          <w:sz w:val="22"/>
        </w:rPr>
        <w:t xml:space="preserve">gher compliance with both </w:t>
      </w:r>
      <w:r w:rsidR="001F6774" w:rsidRPr="00CA07C3">
        <w:rPr>
          <w:rFonts w:cs="Times New Roman"/>
          <w:sz w:val="22"/>
        </w:rPr>
        <w:t>accounting and auditing</w:t>
      </w:r>
      <w:r w:rsidR="002D5AFD" w:rsidRPr="00CA07C3">
        <w:rPr>
          <w:rFonts w:cs="Times New Roman"/>
          <w:sz w:val="22"/>
        </w:rPr>
        <w:t xml:space="preserve"> </w:t>
      </w:r>
      <w:r w:rsidR="00FB65C3">
        <w:rPr>
          <w:rFonts w:cs="Times New Roman"/>
          <w:sz w:val="22"/>
        </w:rPr>
        <w:t xml:space="preserve">provisions </w:t>
      </w:r>
      <w:r w:rsidR="001F6774" w:rsidRPr="00CA07C3">
        <w:rPr>
          <w:rFonts w:cs="Times New Roman"/>
          <w:sz w:val="22"/>
        </w:rPr>
        <w:t>(</w:t>
      </w:r>
      <w:r w:rsidR="002D5AFD" w:rsidRPr="00CA07C3">
        <w:rPr>
          <w:rFonts w:cs="Times New Roman"/>
          <w:sz w:val="22"/>
        </w:rPr>
        <w:t>75.37%</w:t>
      </w:r>
      <w:r w:rsidR="001F6774" w:rsidRPr="00CA07C3">
        <w:rPr>
          <w:rFonts w:cs="Times New Roman"/>
          <w:sz w:val="22"/>
        </w:rPr>
        <w:t>)</w:t>
      </w:r>
      <w:r w:rsidR="00290614" w:rsidRPr="00CA07C3">
        <w:rPr>
          <w:rFonts w:cs="Times New Roman"/>
          <w:sz w:val="22"/>
        </w:rPr>
        <w:t>,</w:t>
      </w:r>
      <w:r w:rsidR="002D5AFD" w:rsidRPr="00CA07C3">
        <w:rPr>
          <w:rFonts w:cs="Times New Roman"/>
          <w:sz w:val="22"/>
        </w:rPr>
        <w:t xml:space="preserve"> and disclosure and transparency </w:t>
      </w:r>
      <w:r w:rsidR="00FB65C3">
        <w:rPr>
          <w:rFonts w:cs="Times New Roman"/>
          <w:sz w:val="22"/>
        </w:rPr>
        <w:t xml:space="preserve">provisions </w:t>
      </w:r>
      <w:r w:rsidR="001F6774" w:rsidRPr="00CA07C3">
        <w:rPr>
          <w:rFonts w:cs="Times New Roman"/>
          <w:sz w:val="22"/>
        </w:rPr>
        <w:t>(</w:t>
      </w:r>
      <w:r w:rsidR="002D5AFD" w:rsidRPr="00CA07C3">
        <w:rPr>
          <w:rFonts w:cs="Times New Roman"/>
          <w:sz w:val="22"/>
        </w:rPr>
        <w:t>64.04%</w:t>
      </w:r>
      <w:r w:rsidR="001F6774" w:rsidRPr="00CA07C3">
        <w:rPr>
          <w:rFonts w:cs="Times New Roman"/>
          <w:sz w:val="22"/>
        </w:rPr>
        <w:t>)</w:t>
      </w:r>
      <w:r w:rsidR="002D5AFD" w:rsidRPr="00CA07C3">
        <w:rPr>
          <w:rFonts w:cs="Times New Roman"/>
          <w:sz w:val="22"/>
        </w:rPr>
        <w:t>, intermediate level of compliance with the boar</w:t>
      </w:r>
      <w:r w:rsidR="001F6774" w:rsidRPr="00CA07C3">
        <w:rPr>
          <w:rFonts w:cs="Times New Roman"/>
          <w:sz w:val="22"/>
        </w:rPr>
        <w:t>d and directors</w:t>
      </w:r>
      <w:r w:rsidR="002D5AFD" w:rsidRPr="00CA07C3">
        <w:rPr>
          <w:rFonts w:cs="Times New Roman"/>
          <w:sz w:val="22"/>
        </w:rPr>
        <w:t xml:space="preserve"> </w:t>
      </w:r>
      <w:r w:rsidR="00FB65C3">
        <w:rPr>
          <w:rFonts w:cs="Times New Roman"/>
          <w:sz w:val="22"/>
        </w:rPr>
        <w:t xml:space="preserve">provisions </w:t>
      </w:r>
      <w:r w:rsidR="001F6774" w:rsidRPr="00CA07C3">
        <w:rPr>
          <w:rFonts w:cs="Times New Roman"/>
          <w:sz w:val="22"/>
        </w:rPr>
        <w:t>(</w:t>
      </w:r>
      <w:r w:rsidR="002D5AFD" w:rsidRPr="00CA07C3">
        <w:rPr>
          <w:rFonts w:cs="Times New Roman"/>
          <w:sz w:val="22"/>
        </w:rPr>
        <w:t>38.59%</w:t>
      </w:r>
      <w:r w:rsidR="00C90C4E" w:rsidRPr="00CA07C3">
        <w:rPr>
          <w:rFonts w:cs="Times New Roman"/>
          <w:sz w:val="22"/>
        </w:rPr>
        <w:t>)</w:t>
      </w:r>
      <w:r w:rsidR="00290614" w:rsidRPr="00CA07C3">
        <w:rPr>
          <w:rFonts w:cs="Times New Roman"/>
          <w:sz w:val="22"/>
        </w:rPr>
        <w:t>,</w:t>
      </w:r>
      <w:r w:rsidR="00C90C4E" w:rsidRPr="00CA07C3">
        <w:rPr>
          <w:rFonts w:cs="Times New Roman"/>
          <w:sz w:val="22"/>
        </w:rPr>
        <w:t xml:space="preserve"> and lower level of compliance with external auditors and internal control systems </w:t>
      </w:r>
      <w:r w:rsidR="00FB65C3">
        <w:rPr>
          <w:rFonts w:cs="Times New Roman"/>
          <w:sz w:val="22"/>
        </w:rPr>
        <w:t>provis</w:t>
      </w:r>
      <w:r w:rsidR="002F2BD1">
        <w:rPr>
          <w:rFonts w:cs="Times New Roman"/>
          <w:sz w:val="22"/>
        </w:rPr>
        <w:t>i</w:t>
      </w:r>
      <w:r w:rsidR="00FB65C3">
        <w:rPr>
          <w:rFonts w:cs="Times New Roman"/>
          <w:sz w:val="22"/>
        </w:rPr>
        <w:t xml:space="preserve">ons </w:t>
      </w:r>
      <w:r w:rsidR="00C90C4E" w:rsidRPr="00CA07C3">
        <w:rPr>
          <w:rFonts w:cs="Times New Roman"/>
          <w:sz w:val="22"/>
        </w:rPr>
        <w:t xml:space="preserve">(2.43%). </w:t>
      </w:r>
      <w:r w:rsidR="00C90C4E" w:rsidRPr="00CA07C3">
        <w:rPr>
          <w:rFonts w:eastAsiaTheme="minorEastAsia" w:cs="Times New Roman"/>
          <w:sz w:val="22"/>
        </w:rPr>
        <w:t>The key conclusion from examining the level of compliance</w:t>
      </w:r>
      <w:r w:rsidR="00515578">
        <w:rPr>
          <w:rFonts w:eastAsiaTheme="minorEastAsia" w:cs="Times New Roman"/>
          <w:sz w:val="22"/>
        </w:rPr>
        <w:t xml:space="preserve"> with the 72 individual CG provisions</w:t>
      </w:r>
      <w:r w:rsidR="00C90C4E" w:rsidRPr="00CA07C3">
        <w:rPr>
          <w:rFonts w:eastAsiaTheme="minorEastAsia" w:cs="Times New Roman"/>
          <w:sz w:val="22"/>
        </w:rPr>
        <w:t xml:space="preserve"> </w:t>
      </w:r>
      <w:r w:rsidR="00515578">
        <w:rPr>
          <w:rFonts w:eastAsiaTheme="minorEastAsia" w:cs="Times New Roman"/>
          <w:sz w:val="22"/>
        </w:rPr>
        <w:t xml:space="preserve">is </w:t>
      </w:r>
      <w:r w:rsidR="00C90C4E" w:rsidRPr="00CA07C3">
        <w:rPr>
          <w:rFonts w:eastAsiaTheme="minorEastAsia" w:cs="Times New Roman"/>
          <w:sz w:val="22"/>
        </w:rPr>
        <w:t>that despite the</w:t>
      </w:r>
      <w:r w:rsidR="00C90C4E" w:rsidRPr="00CA07C3">
        <w:rPr>
          <w:rFonts w:cs="Times New Roman"/>
          <w:sz w:val="22"/>
        </w:rPr>
        <w:t xml:space="preserve"> initial theoretical prediction that the issu</w:t>
      </w:r>
      <w:r w:rsidR="006E4A1E">
        <w:rPr>
          <w:rFonts w:cs="Times New Roman"/>
          <w:sz w:val="22"/>
        </w:rPr>
        <w:t>ance</w:t>
      </w:r>
      <w:r w:rsidR="00C90C4E" w:rsidRPr="00CA07C3">
        <w:rPr>
          <w:rFonts w:cs="Times New Roman"/>
          <w:sz w:val="22"/>
        </w:rPr>
        <w:t xml:space="preserve"> of </w:t>
      </w:r>
      <w:r w:rsidR="00D26E59">
        <w:rPr>
          <w:rFonts w:cs="Times New Roman"/>
          <w:sz w:val="22"/>
        </w:rPr>
        <w:t xml:space="preserve">the 2002 CG code </w:t>
      </w:r>
      <w:r w:rsidR="00C90C4E" w:rsidRPr="00CA07C3">
        <w:rPr>
          <w:rFonts w:cs="Times New Roman"/>
          <w:sz w:val="22"/>
        </w:rPr>
        <w:t xml:space="preserve">would effectively encourage firms to adopt better CG measures, CG compliance among Omani listed firms is still low. Further, the evidence that emerges from Table 3 suggests that contrary to the expectation that </w:t>
      </w:r>
      <w:r w:rsidR="00D26E59">
        <w:rPr>
          <w:rFonts w:cs="Times New Roman"/>
          <w:sz w:val="22"/>
        </w:rPr>
        <w:t xml:space="preserve">the 2002 CG </w:t>
      </w:r>
      <w:r w:rsidR="003C7615">
        <w:rPr>
          <w:rFonts w:cs="Times New Roman"/>
          <w:sz w:val="22"/>
        </w:rPr>
        <w:t>C</w:t>
      </w:r>
      <w:r w:rsidR="00D26E59">
        <w:rPr>
          <w:rFonts w:cs="Times New Roman"/>
          <w:sz w:val="22"/>
        </w:rPr>
        <w:t>ode</w:t>
      </w:r>
      <w:r w:rsidR="00C90C4E" w:rsidRPr="00CA07C3">
        <w:rPr>
          <w:rFonts w:cs="Times New Roman"/>
          <w:sz w:val="22"/>
        </w:rPr>
        <w:t>’s reliance on Anglo-American model may not lead to improve</w:t>
      </w:r>
      <w:r w:rsidR="006E4A1E">
        <w:rPr>
          <w:rFonts w:cs="Times New Roman"/>
          <w:sz w:val="22"/>
        </w:rPr>
        <w:t>ment in</w:t>
      </w:r>
      <w:r w:rsidR="00C90C4E" w:rsidRPr="00CA07C3">
        <w:rPr>
          <w:rFonts w:cs="Times New Roman"/>
          <w:sz w:val="22"/>
        </w:rPr>
        <w:t xml:space="preserve"> CG standards </w:t>
      </w:r>
      <w:r w:rsidR="006E4A1E">
        <w:rPr>
          <w:rFonts w:cs="Times New Roman"/>
          <w:sz w:val="22"/>
        </w:rPr>
        <w:t>among</w:t>
      </w:r>
      <w:r w:rsidR="00C90C4E" w:rsidRPr="00CA07C3">
        <w:rPr>
          <w:rFonts w:cs="Times New Roman"/>
          <w:sz w:val="22"/>
        </w:rPr>
        <w:t xml:space="preserve"> Oman</w:t>
      </w:r>
      <w:r w:rsidR="006E4A1E">
        <w:rPr>
          <w:rFonts w:cs="Times New Roman"/>
          <w:sz w:val="22"/>
        </w:rPr>
        <w:t>i listed firms</w:t>
      </w:r>
      <w:r w:rsidR="00C90C4E" w:rsidRPr="00CA07C3">
        <w:rPr>
          <w:rFonts w:cs="Times New Roman"/>
          <w:sz w:val="22"/>
        </w:rPr>
        <w:t xml:space="preserve"> due to the large di</w:t>
      </w:r>
      <w:r w:rsidR="00B27DB1">
        <w:rPr>
          <w:rFonts w:cs="Times New Roman"/>
          <w:sz w:val="22"/>
        </w:rPr>
        <w:t xml:space="preserve">fferences </w:t>
      </w:r>
      <w:r w:rsidR="006E4A1E">
        <w:rPr>
          <w:rFonts w:cs="Times New Roman"/>
          <w:sz w:val="22"/>
        </w:rPr>
        <w:t>in corporate contexts</w:t>
      </w:r>
      <w:r w:rsidR="00571802" w:rsidRPr="00CA07C3">
        <w:rPr>
          <w:rFonts w:cs="Times New Roman"/>
          <w:sz w:val="22"/>
        </w:rPr>
        <w:t xml:space="preserve">, </w:t>
      </w:r>
      <w:r w:rsidR="00D26E59">
        <w:rPr>
          <w:rFonts w:cs="Times New Roman"/>
          <w:sz w:val="22"/>
        </w:rPr>
        <w:t xml:space="preserve">the </w:t>
      </w:r>
      <w:r w:rsidR="006E4A1E">
        <w:rPr>
          <w:rFonts w:cs="Times New Roman"/>
          <w:sz w:val="22"/>
        </w:rPr>
        <w:t xml:space="preserve">2002 </w:t>
      </w:r>
      <w:r w:rsidR="00D8560D">
        <w:rPr>
          <w:rFonts w:cs="Times New Roman"/>
          <w:sz w:val="22"/>
        </w:rPr>
        <w:t xml:space="preserve">Omani </w:t>
      </w:r>
      <w:r w:rsidR="00D26E59">
        <w:rPr>
          <w:rFonts w:cs="Times New Roman"/>
          <w:sz w:val="22"/>
        </w:rPr>
        <w:t xml:space="preserve">voluntary CG </w:t>
      </w:r>
      <w:r w:rsidR="003C7615">
        <w:rPr>
          <w:rFonts w:cs="Times New Roman"/>
          <w:sz w:val="22"/>
        </w:rPr>
        <w:t>C</w:t>
      </w:r>
      <w:r w:rsidR="00D26E59">
        <w:rPr>
          <w:rFonts w:cs="Times New Roman"/>
          <w:sz w:val="22"/>
        </w:rPr>
        <w:t>ode</w:t>
      </w:r>
      <w:r w:rsidR="00571802" w:rsidRPr="00CA07C3">
        <w:rPr>
          <w:rFonts w:cs="Times New Roman"/>
          <w:sz w:val="22"/>
        </w:rPr>
        <w:t xml:space="preserve"> appears to </w:t>
      </w:r>
      <w:r w:rsidR="00D8560D">
        <w:rPr>
          <w:rFonts w:cs="Times New Roman"/>
          <w:sz w:val="22"/>
        </w:rPr>
        <w:t>have helped in promoting</w:t>
      </w:r>
      <w:r w:rsidR="00C90C4E" w:rsidRPr="00CA07C3">
        <w:rPr>
          <w:rFonts w:cs="Times New Roman"/>
          <w:sz w:val="22"/>
        </w:rPr>
        <w:t xml:space="preserve"> </w:t>
      </w:r>
      <w:r w:rsidR="00D8560D">
        <w:rPr>
          <w:rFonts w:cs="Times New Roman"/>
          <w:sz w:val="22"/>
        </w:rPr>
        <w:t xml:space="preserve">good </w:t>
      </w:r>
      <w:r w:rsidR="00C90C4E" w:rsidRPr="00CA07C3">
        <w:rPr>
          <w:rFonts w:cs="Times New Roman"/>
          <w:sz w:val="22"/>
        </w:rPr>
        <w:t xml:space="preserve">CG practices </w:t>
      </w:r>
      <w:r w:rsidR="00D8560D">
        <w:rPr>
          <w:rFonts w:cs="Times New Roman"/>
          <w:sz w:val="22"/>
        </w:rPr>
        <w:t>among</w:t>
      </w:r>
      <w:r w:rsidR="00C90C4E" w:rsidRPr="00CA07C3">
        <w:rPr>
          <w:rFonts w:cs="Times New Roman"/>
          <w:sz w:val="22"/>
        </w:rPr>
        <w:t xml:space="preserve"> Omani listed firms to some extent. The findings of this analysis are also consistent with </w:t>
      </w:r>
      <w:r w:rsidR="00D8560D">
        <w:rPr>
          <w:rFonts w:cs="Times New Roman"/>
          <w:sz w:val="22"/>
        </w:rPr>
        <w:t xml:space="preserve">those of </w:t>
      </w:r>
      <w:r w:rsidR="00C90C4E" w:rsidRPr="00CA07C3">
        <w:rPr>
          <w:rFonts w:cs="Times New Roman"/>
          <w:sz w:val="22"/>
        </w:rPr>
        <w:t xml:space="preserve">prior studies (e.g., Ntim </w:t>
      </w:r>
      <w:r w:rsidR="00C90C4E" w:rsidRPr="00BD0005">
        <w:rPr>
          <w:rFonts w:cs="Times New Roman"/>
          <w:iCs/>
          <w:sz w:val="22"/>
        </w:rPr>
        <w:t>et al</w:t>
      </w:r>
      <w:r w:rsidR="00C90C4E" w:rsidRPr="00CA07C3">
        <w:rPr>
          <w:rFonts w:cs="Times New Roman"/>
          <w:i/>
          <w:iCs/>
          <w:sz w:val="22"/>
        </w:rPr>
        <w:t>.</w:t>
      </w:r>
      <w:r w:rsidR="00C90C4E" w:rsidRPr="00CA07C3">
        <w:rPr>
          <w:rFonts w:cs="Times New Roman"/>
          <w:sz w:val="22"/>
        </w:rPr>
        <w:t>, 2012</w:t>
      </w:r>
      <w:r w:rsidR="00F06789">
        <w:rPr>
          <w:rFonts w:cs="Times New Roman"/>
          <w:sz w:val="22"/>
        </w:rPr>
        <w:t>a</w:t>
      </w:r>
      <w:r w:rsidR="00E00E8E">
        <w:rPr>
          <w:rFonts w:cs="Times New Roman"/>
          <w:sz w:val="22"/>
        </w:rPr>
        <w:t>, b</w:t>
      </w:r>
      <w:r w:rsidR="00C90C4E" w:rsidRPr="00CA07C3">
        <w:rPr>
          <w:rFonts w:cs="Times New Roman"/>
          <w:sz w:val="22"/>
        </w:rPr>
        <w:t xml:space="preserve">) that contrary to general concerns about the ability of voluntary </w:t>
      </w:r>
      <w:r w:rsidR="000F45CC">
        <w:rPr>
          <w:rFonts w:cs="Times New Roman"/>
          <w:sz w:val="22"/>
        </w:rPr>
        <w:tab/>
        <w:t xml:space="preserve">CG </w:t>
      </w:r>
      <w:r w:rsidR="004F202C">
        <w:rPr>
          <w:rFonts w:cs="Times New Roman"/>
          <w:sz w:val="22"/>
        </w:rPr>
        <w:t>C</w:t>
      </w:r>
      <w:r w:rsidR="00C90C4E" w:rsidRPr="00CA07C3">
        <w:rPr>
          <w:rFonts w:cs="Times New Roman"/>
          <w:sz w:val="22"/>
        </w:rPr>
        <w:t xml:space="preserve">odes to improve CG standards in a particular setting, Omani firms have shown some positive response to </w:t>
      </w:r>
      <w:r w:rsidR="000F45CC">
        <w:rPr>
          <w:rFonts w:cs="Times New Roman"/>
          <w:sz w:val="22"/>
        </w:rPr>
        <w:t xml:space="preserve">the best practice recommendations that are contained in the 2002 Omani CG Code. </w:t>
      </w:r>
    </w:p>
    <w:p w:rsidR="00EF43E7" w:rsidRDefault="00C90C4E" w:rsidP="009E582F">
      <w:pPr>
        <w:ind w:firstLine="720"/>
        <w:jc w:val="center"/>
        <w:rPr>
          <w:rFonts w:cs="Times New Roman"/>
          <w:sz w:val="22"/>
        </w:rPr>
      </w:pPr>
      <w:r w:rsidRPr="00CA07C3">
        <w:rPr>
          <w:rFonts w:cs="Times New Roman"/>
          <w:sz w:val="22"/>
        </w:rPr>
        <w:t>Insert Table 3 about here</w:t>
      </w:r>
    </w:p>
    <w:p w:rsidR="000E6FB7" w:rsidRPr="00CA07C3" w:rsidRDefault="000E6FB7" w:rsidP="009E582F">
      <w:pPr>
        <w:ind w:firstLine="720"/>
        <w:jc w:val="center"/>
        <w:rPr>
          <w:rFonts w:cs="Times New Roman"/>
          <w:bCs/>
          <w:sz w:val="22"/>
        </w:rPr>
      </w:pPr>
    </w:p>
    <w:p w:rsidR="00EF43E7" w:rsidRPr="00CA07C3" w:rsidRDefault="00AF6496" w:rsidP="004A34B3">
      <w:pPr>
        <w:spacing w:line="360" w:lineRule="auto"/>
        <w:jc w:val="both"/>
        <w:rPr>
          <w:rFonts w:cs="Times New Roman"/>
          <w:sz w:val="22"/>
        </w:rPr>
      </w:pPr>
      <w:r w:rsidRPr="00CA07C3">
        <w:rPr>
          <w:rFonts w:cs="Times New Roman"/>
          <w:sz w:val="22"/>
        </w:rPr>
        <w:t>Second, Table 4 presents descriptive statistics</w:t>
      </w:r>
      <w:r w:rsidR="006F10E2">
        <w:rPr>
          <w:rFonts w:cs="Times New Roman"/>
          <w:sz w:val="22"/>
        </w:rPr>
        <w:t xml:space="preserve"> relating to the</w:t>
      </w:r>
      <w:r w:rsidRPr="00CA07C3">
        <w:rPr>
          <w:rFonts w:cs="Times New Roman"/>
          <w:sz w:val="22"/>
        </w:rPr>
        <w:t xml:space="preserve"> EM</w:t>
      </w:r>
      <w:r w:rsidR="006F10E2">
        <w:rPr>
          <w:rFonts w:cs="Times New Roman"/>
          <w:sz w:val="22"/>
        </w:rPr>
        <w:t>, as well as</w:t>
      </w:r>
      <w:bookmarkStart w:id="20" w:name="_Toc383014557"/>
      <w:bookmarkStart w:id="21" w:name="_Toc383249615"/>
      <w:r w:rsidR="00C90C4E" w:rsidRPr="00CA07C3">
        <w:rPr>
          <w:rFonts w:cs="Times New Roman"/>
          <w:sz w:val="22"/>
        </w:rPr>
        <w:t xml:space="preserve"> the rest of </w:t>
      </w:r>
      <w:r w:rsidR="006F10E2">
        <w:rPr>
          <w:rFonts w:cs="Times New Roman"/>
          <w:sz w:val="22"/>
        </w:rPr>
        <w:t xml:space="preserve">the </w:t>
      </w:r>
      <w:r w:rsidR="00C90C4E" w:rsidRPr="00CA07C3">
        <w:rPr>
          <w:rFonts w:cs="Times New Roman"/>
          <w:sz w:val="22"/>
        </w:rPr>
        <w:t xml:space="preserve">explanatory variables. </w:t>
      </w:r>
      <w:r w:rsidR="006F10E2">
        <w:rPr>
          <w:rFonts w:cs="Times New Roman"/>
          <w:sz w:val="22"/>
        </w:rPr>
        <w:t>For example, i</w:t>
      </w:r>
      <w:r w:rsidR="00B27DB1">
        <w:rPr>
          <w:rFonts w:cs="Times New Roman"/>
          <w:sz w:val="22"/>
        </w:rPr>
        <w:t>t shows that EM</w:t>
      </w:r>
      <w:r w:rsidRPr="00CA07C3">
        <w:rPr>
          <w:rFonts w:cs="Times New Roman"/>
          <w:sz w:val="22"/>
        </w:rPr>
        <w:t>, denoted by the signed discretionary accruals (</w:t>
      </w:r>
      <w:r w:rsidR="00C34EB1" w:rsidRPr="00CA07C3">
        <w:rPr>
          <w:rFonts w:cs="Times New Roman"/>
          <w:i/>
          <w:sz w:val="22"/>
        </w:rPr>
        <w:t>DA</w:t>
      </w:r>
      <w:r w:rsidR="00C34EB1" w:rsidRPr="00CA07C3">
        <w:rPr>
          <w:rFonts w:cs="Times New Roman"/>
          <w:sz w:val="22"/>
        </w:rPr>
        <w:t xml:space="preserve">), ranges from a minimum of -0.1946 to a maximum of 0.3301, with an average of 0.0304 </w:t>
      </w:r>
      <w:r w:rsidR="00876C34">
        <w:rPr>
          <w:rFonts w:cs="Times New Roman"/>
          <w:sz w:val="22"/>
        </w:rPr>
        <w:t>over the p</w:t>
      </w:r>
      <w:r w:rsidR="004A34B3">
        <w:rPr>
          <w:rFonts w:cs="Times New Roman"/>
          <w:sz w:val="22"/>
        </w:rPr>
        <w:t>eriod of our examination</w:t>
      </w:r>
      <w:r w:rsidR="00C34EB1" w:rsidRPr="00CA07C3">
        <w:rPr>
          <w:rFonts w:cs="Times New Roman"/>
          <w:sz w:val="22"/>
        </w:rPr>
        <w:t>. This reveals that Omani listed firms, on average, appear to manage their earnings upward</w:t>
      </w:r>
      <w:r w:rsidR="004F202C">
        <w:rPr>
          <w:rFonts w:cs="Times New Roman"/>
          <w:sz w:val="22"/>
        </w:rPr>
        <w:t>s</w:t>
      </w:r>
      <w:r w:rsidR="00C34EB1" w:rsidRPr="00CA07C3">
        <w:rPr>
          <w:rFonts w:cs="Times New Roman"/>
          <w:sz w:val="22"/>
        </w:rPr>
        <w:t xml:space="preserve"> with average abnormal accruals equal to </w:t>
      </w:r>
      <w:r w:rsidR="00876C34">
        <w:rPr>
          <w:rFonts w:cs="Times New Roman"/>
          <w:sz w:val="22"/>
        </w:rPr>
        <w:t xml:space="preserve">about </w:t>
      </w:r>
      <w:r w:rsidR="00C34EB1" w:rsidRPr="00CA07C3">
        <w:rPr>
          <w:rFonts w:cs="Times New Roman"/>
          <w:sz w:val="22"/>
        </w:rPr>
        <w:t>3% of lagged total assets.</w:t>
      </w:r>
      <w:r w:rsidR="009856D5" w:rsidRPr="00CA07C3">
        <w:rPr>
          <w:rFonts w:cs="Times New Roman"/>
          <w:sz w:val="22"/>
        </w:rPr>
        <w:t xml:space="preserve"> </w:t>
      </w:r>
      <w:r w:rsidR="004A34B3" w:rsidRPr="004A34B3">
        <w:rPr>
          <w:rFonts w:cs="Times New Roman"/>
          <w:sz w:val="22"/>
        </w:rPr>
        <w:t xml:space="preserve">Overall, the average </w:t>
      </w:r>
      <w:r w:rsidR="004A34B3" w:rsidRPr="004A34B3">
        <w:rPr>
          <w:rFonts w:cs="Times New Roman"/>
          <w:i/>
          <w:iCs/>
          <w:sz w:val="22"/>
        </w:rPr>
        <w:t xml:space="preserve">DA </w:t>
      </w:r>
      <w:r w:rsidR="004A34B3" w:rsidRPr="004A34B3">
        <w:rPr>
          <w:rFonts w:cs="Times New Roman"/>
          <w:sz w:val="22"/>
        </w:rPr>
        <w:t xml:space="preserve">is consistent with </w:t>
      </w:r>
      <w:r w:rsidR="00F516DF">
        <w:rPr>
          <w:rFonts w:cs="Times New Roman"/>
          <w:sz w:val="22"/>
        </w:rPr>
        <w:t xml:space="preserve">the figures reported by </w:t>
      </w:r>
      <w:r w:rsidR="004A34B3" w:rsidRPr="004A34B3">
        <w:rPr>
          <w:rFonts w:cs="Times New Roman"/>
          <w:sz w:val="22"/>
        </w:rPr>
        <w:t xml:space="preserve">a number of past studies (e.g., Mitra and Cready, 2005; Jiang </w:t>
      </w:r>
      <w:r w:rsidR="004A34B3" w:rsidRPr="004A34B3">
        <w:rPr>
          <w:rFonts w:cs="Times New Roman"/>
          <w:i/>
          <w:iCs/>
          <w:sz w:val="22"/>
        </w:rPr>
        <w:t>et al.</w:t>
      </w:r>
      <w:r w:rsidR="004A34B3" w:rsidRPr="004A34B3">
        <w:rPr>
          <w:rFonts w:cs="Times New Roman"/>
          <w:sz w:val="22"/>
        </w:rPr>
        <w:t xml:space="preserve">, 2008; Lo </w:t>
      </w:r>
      <w:r w:rsidR="004A34B3" w:rsidRPr="004A34B3">
        <w:rPr>
          <w:rFonts w:cs="Times New Roman"/>
          <w:i/>
          <w:iCs/>
          <w:sz w:val="22"/>
        </w:rPr>
        <w:t>et al.</w:t>
      </w:r>
      <w:r w:rsidR="004A34B3" w:rsidRPr="004A34B3">
        <w:rPr>
          <w:rFonts w:cs="Times New Roman"/>
          <w:sz w:val="22"/>
        </w:rPr>
        <w:t xml:space="preserve">, 2010; Bekiris and Doukakis, 2011). </w:t>
      </w:r>
      <w:r w:rsidR="009856D5" w:rsidRPr="00CA07C3">
        <w:rPr>
          <w:rFonts w:cs="Times New Roman"/>
          <w:sz w:val="22"/>
        </w:rPr>
        <w:t xml:space="preserve">We observe  </w:t>
      </w:r>
      <w:r w:rsidR="004F202C">
        <w:rPr>
          <w:rFonts w:cs="Times New Roman"/>
          <w:sz w:val="22"/>
        </w:rPr>
        <w:t xml:space="preserve">similar </w:t>
      </w:r>
      <w:r w:rsidR="009856D5" w:rsidRPr="00CA07C3">
        <w:rPr>
          <w:rFonts w:cs="Times New Roman"/>
          <w:sz w:val="22"/>
        </w:rPr>
        <w:t xml:space="preserve">wide spreads </w:t>
      </w:r>
      <w:r w:rsidR="00876C34">
        <w:rPr>
          <w:rFonts w:cs="Times New Roman"/>
          <w:sz w:val="22"/>
        </w:rPr>
        <w:t>among the</w:t>
      </w:r>
      <w:r w:rsidR="009856D5" w:rsidRPr="00CA07C3">
        <w:rPr>
          <w:rFonts w:cs="Times New Roman"/>
          <w:sz w:val="22"/>
        </w:rPr>
        <w:t xml:space="preserve"> exp</w:t>
      </w:r>
      <w:r w:rsidR="004F202C">
        <w:rPr>
          <w:rFonts w:cs="Times New Roman"/>
          <w:sz w:val="22"/>
        </w:rPr>
        <w:t>l</w:t>
      </w:r>
      <w:r w:rsidR="009856D5" w:rsidRPr="00CA07C3">
        <w:rPr>
          <w:rFonts w:cs="Times New Roman"/>
          <w:sz w:val="22"/>
        </w:rPr>
        <w:t>an</w:t>
      </w:r>
      <w:r w:rsidR="004F202C">
        <w:rPr>
          <w:rFonts w:cs="Times New Roman"/>
          <w:sz w:val="22"/>
        </w:rPr>
        <w:t>a</w:t>
      </w:r>
      <w:r w:rsidR="009856D5" w:rsidRPr="00CA07C3">
        <w:rPr>
          <w:rFonts w:cs="Times New Roman"/>
          <w:sz w:val="22"/>
        </w:rPr>
        <w:t xml:space="preserve">tory </w:t>
      </w:r>
      <w:r w:rsidRPr="00CA07C3">
        <w:rPr>
          <w:rFonts w:cs="Times New Roman"/>
          <w:sz w:val="22"/>
        </w:rPr>
        <w:t xml:space="preserve">and control variables. For instance, block ownership, labelled as </w:t>
      </w:r>
      <w:r w:rsidR="00AD58C5" w:rsidRPr="00CA07C3">
        <w:rPr>
          <w:rFonts w:cs="Times New Roman"/>
          <w:i/>
          <w:sz w:val="22"/>
        </w:rPr>
        <w:t>BLKOWN</w:t>
      </w:r>
      <w:r w:rsidR="00B27DB1">
        <w:rPr>
          <w:rFonts w:cs="Times New Roman"/>
          <w:i/>
          <w:sz w:val="22"/>
        </w:rPr>
        <w:t xml:space="preserve"> </w:t>
      </w:r>
      <w:r w:rsidR="00AD58C5" w:rsidRPr="00CA07C3">
        <w:rPr>
          <w:rFonts w:cs="Times New Roman"/>
          <w:sz w:val="22"/>
        </w:rPr>
        <w:t xml:space="preserve"> ra</w:t>
      </w:r>
      <w:r w:rsidR="00876C34">
        <w:rPr>
          <w:rFonts w:cs="Times New Roman"/>
          <w:sz w:val="22"/>
        </w:rPr>
        <w:t>n</w:t>
      </w:r>
      <w:r w:rsidR="00AD58C5" w:rsidRPr="00CA07C3">
        <w:rPr>
          <w:rFonts w:cs="Times New Roman"/>
          <w:sz w:val="22"/>
        </w:rPr>
        <w:t>ges from 0.0000 to 0.9947 with an average of 55%</w:t>
      </w:r>
      <w:r w:rsidR="00AD58C5" w:rsidRPr="00CA07C3">
        <w:rPr>
          <w:rFonts w:eastAsiaTheme="minorEastAsia" w:cs="Times New Roman"/>
          <w:sz w:val="22"/>
        </w:rPr>
        <w:t xml:space="preserve">. </w:t>
      </w:r>
    </w:p>
    <w:p w:rsidR="0074006F" w:rsidRDefault="00AD58C5" w:rsidP="009E582F">
      <w:pPr>
        <w:ind w:firstLine="720"/>
        <w:jc w:val="center"/>
        <w:rPr>
          <w:rFonts w:cs="Times New Roman"/>
          <w:sz w:val="22"/>
        </w:rPr>
      </w:pPr>
      <w:r w:rsidRPr="00CA07C3">
        <w:rPr>
          <w:rFonts w:cs="Times New Roman"/>
          <w:sz w:val="22"/>
        </w:rPr>
        <w:t>Insert Table 4 about here</w:t>
      </w:r>
    </w:p>
    <w:p w:rsidR="004A34B3" w:rsidRPr="00CA07C3" w:rsidRDefault="004A34B3" w:rsidP="009E582F">
      <w:pPr>
        <w:ind w:firstLine="720"/>
        <w:jc w:val="center"/>
        <w:rPr>
          <w:rFonts w:cs="Times New Roman"/>
          <w:bCs/>
          <w:sz w:val="22"/>
        </w:rPr>
      </w:pPr>
    </w:p>
    <w:p w:rsidR="00EF43E7" w:rsidRPr="00437571" w:rsidRDefault="00AF6496" w:rsidP="009E582F">
      <w:pPr>
        <w:spacing w:line="360" w:lineRule="auto"/>
        <w:ind w:firstLine="720"/>
        <w:jc w:val="both"/>
        <w:rPr>
          <w:rFonts w:cs="Times New Roman"/>
          <w:sz w:val="22"/>
        </w:rPr>
      </w:pPr>
      <w:r w:rsidRPr="00CA07C3">
        <w:rPr>
          <w:rFonts w:cs="Times New Roman"/>
          <w:sz w:val="22"/>
        </w:rPr>
        <w:t xml:space="preserve">In addition to the statistical </w:t>
      </w:r>
      <w:r w:rsidR="005C6C02">
        <w:rPr>
          <w:rFonts w:cs="Times New Roman"/>
          <w:sz w:val="22"/>
        </w:rPr>
        <w:t>analysis</w:t>
      </w:r>
      <w:r w:rsidRPr="00CA07C3">
        <w:rPr>
          <w:rFonts w:cs="Times New Roman"/>
          <w:sz w:val="22"/>
        </w:rPr>
        <w:t xml:space="preserve"> that we </w:t>
      </w:r>
      <w:r w:rsidR="00876C34">
        <w:rPr>
          <w:rFonts w:cs="Times New Roman"/>
          <w:sz w:val="22"/>
        </w:rPr>
        <w:t>conduct</w:t>
      </w:r>
      <w:r w:rsidRPr="00CA07C3">
        <w:rPr>
          <w:rFonts w:cs="Times New Roman"/>
          <w:sz w:val="22"/>
        </w:rPr>
        <w:t xml:space="preserve"> before examining our </w:t>
      </w:r>
      <w:r w:rsidR="00424459">
        <w:rPr>
          <w:rFonts w:cs="Times New Roman"/>
          <w:sz w:val="22"/>
        </w:rPr>
        <w:t xml:space="preserve">main research </w:t>
      </w:r>
      <w:r w:rsidRPr="00CA07C3">
        <w:rPr>
          <w:rFonts w:cs="Times New Roman"/>
          <w:sz w:val="22"/>
        </w:rPr>
        <w:t xml:space="preserve">hypotheses, we </w:t>
      </w:r>
      <w:r w:rsidR="00424459">
        <w:rPr>
          <w:rFonts w:cs="Times New Roman"/>
          <w:sz w:val="22"/>
        </w:rPr>
        <w:t xml:space="preserve">test a number of OLS assumptions, including the presence of </w:t>
      </w:r>
      <w:r w:rsidR="00C90C4E" w:rsidRPr="00CA07C3">
        <w:rPr>
          <w:rFonts w:cs="Times New Roman"/>
          <w:sz w:val="22"/>
        </w:rPr>
        <w:t>multicollinearity</w:t>
      </w:r>
      <w:r w:rsidR="00424459">
        <w:rPr>
          <w:rFonts w:cs="Times New Roman"/>
          <w:sz w:val="22"/>
        </w:rPr>
        <w:t xml:space="preserve"> problems amon the</w:t>
      </w:r>
      <w:r w:rsidR="00C90C4E" w:rsidRPr="00CA07C3">
        <w:rPr>
          <w:rFonts w:cs="Times New Roman"/>
          <w:sz w:val="22"/>
        </w:rPr>
        <w:t xml:space="preserve"> variables. </w:t>
      </w:r>
      <w:r w:rsidRPr="00CA07C3">
        <w:rPr>
          <w:rFonts w:cs="Times New Roman"/>
          <w:sz w:val="22"/>
        </w:rPr>
        <w:t xml:space="preserve">Table 5 presents </w:t>
      </w:r>
      <w:r w:rsidR="00DC71D3" w:rsidRPr="00CA07C3">
        <w:rPr>
          <w:rFonts w:cs="Times New Roman"/>
          <w:sz w:val="22"/>
        </w:rPr>
        <w:t>the correlation matrix to test for multi-collinearity</w:t>
      </w:r>
      <w:r w:rsidR="00EF34C0">
        <w:rPr>
          <w:rFonts w:cs="Times New Roman"/>
          <w:sz w:val="22"/>
        </w:rPr>
        <w:t xml:space="preserve"> problems</w:t>
      </w:r>
      <w:r w:rsidR="00DC71D3" w:rsidRPr="00CA07C3">
        <w:rPr>
          <w:rFonts w:cs="Times New Roman"/>
          <w:sz w:val="22"/>
        </w:rPr>
        <w:t xml:space="preserve">. As a robustness check, we report </w:t>
      </w:r>
      <w:r w:rsidR="0054542A" w:rsidRPr="00CA07C3">
        <w:rPr>
          <w:rFonts w:cs="Times New Roman"/>
          <w:sz w:val="22"/>
        </w:rPr>
        <w:t xml:space="preserve">both the Pearson’s parametric and Spearman’s non-parametric </w:t>
      </w:r>
      <w:r w:rsidR="00DC71D3" w:rsidRPr="00CA07C3">
        <w:rPr>
          <w:rFonts w:cs="Times New Roman"/>
          <w:sz w:val="22"/>
        </w:rPr>
        <w:t xml:space="preserve">coefficients. Generally, the </w:t>
      </w:r>
      <w:r w:rsidR="0054542A" w:rsidRPr="00CA07C3">
        <w:rPr>
          <w:rFonts w:cs="Times New Roman"/>
          <w:sz w:val="22"/>
        </w:rPr>
        <w:t xml:space="preserve">coefficients </w:t>
      </w:r>
      <w:r w:rsidR="006C7E44" w:rsidRPr="00CA07C3">
        <w:rPr>
          <w:rFonts w:cs="Times New Roman"/>
          <w:sz w:val="22"/>
        </w:rPr>
        <w:t>indicat</w:t>
      </w:r>
      <w:r w:rsidR="00DC71D3" w:rsidRPr="00CA07C3">
        <w:rPr>
          <w:rFonts w:cs="Times New Roman"/>
          <w:sz w:val="22"/>
        </w:rPr>
        <w:t>e</w:t>
      </w:r>
      <w:r w:rsidR="0054542A" w:rsidRPr="00CA07C3">
        <w:rPr>
          <w:rFonts w:cs="Times New Roman"/>
          <w:sz w:val="22"/>
        </w:rPr>
        <w:t xml:space="preserve"> </w:t>
      </w:r>
      <w:r w:rsidR="00EF34C0">
        <w:rPr>
          <w:rFonts w:cs="Times New Roman"/>
          <w:sz w:val="22"/>
        </w:rPr>
        <w:t xml:space="preserve">that </w:t>
      </w:r>
      <w:r w:rsidR="0054542A" w:rsidRPr="00CA07C3">
        <w:rPr>
          <w:rFonts w:eastAsiaTheme="minorEastAsia" w:cs="Times New Roman"/>
          <w:sz w:val="22"/>
        </w:rPr>
        <w:t>no serious multicollinearit</w:t>
      </w:r>
      <w:r w:rsidR="006F14CB">
        <w:rPr>
          <w:rFonts w:eastAsiaTheme="minorEastAsia" w:cs="Times New Roman"/>
          <w:sz w:val="22"/>
        </w:rPr>
        <w:t>ies</w:t>
      </w:r>
      <w:r w:rsidR="0054542A" w:rsidRPr="00CA07C3">
        <w:rPr>
          <w:rFonts w:eastAsiaTheme="minorEastAsia" w:cs="Times New Roman"/>
          <w:sz w:val="22"/>
        </w:rPr>
        <w:t xml:space="preserve"> among all </w:t>
      </w:r>
      <w:r w:rsidR="006F14CB">
        <w:rPr>
          <w:rFonts w:eastAsiaTheme="minorEastAsia" w:cs="Times New Roman"/>
          <w:sz w:val="22"/>
        </w:rPr>
        <w:t xml:space="preserve">the </w:t>
      </w:r>
      <w:r w:rsidR="0054542A" w:rsidRPr="00CA07C3">
        <w:rPr>
          <w:rFonts w:eastAsiaTheme="minorEastAsia" w:cs="Times New Roman"/>
          <w:sz w:val="22"/>
        </w:rPr>
        <w:t>variables</w:t>
      </w:r>
      <w:r w:rsidR="006F14CB">
        <w:rPr>
          <w:rFonts w:eastAsiaTheme="minorEastAsia" w:cs="Times New Roman"/>
          <w:sz w:val="22"/>
        </w:rPr>
        <w:t xml:space="preserve"> used</w:t>
      </w:r>
      <w:r w:rsidR="00B27DB1">
        <w:rPr>
          <w:rFonts w:eastAsiaTheme="minorEastAsia" w:cs="Times New Roman"/>
          <w:sz w:val="22"/>
        </w:rPr>
        <w:t>.</w:t>
      </w:r>
      <w:r w:rsidR="0054542A" w:rsidRPr="00CA07C3">
        <w:rPr>
          <w:rFonts w:eastAsiaTheme="minorEastAsia" w:cs="Times New Roman"/>
          <w:sz w:val="22"/>
        </w:rPr>
        <w:t xml:space="preserve"> </w:t>
      </w:r>
      <w:r w:rsidR="00DF7F7E" w:rsidRPr="00CA07C3">
        <w:rPr>
          <w:rFonts w:cs="Times New Roman"/>
          <w:sz w:val="22"/>
        </w:rPr>
        <w:t xml:space="preserve">Further, a number of statistical </w:t>
      </w:r>
      <w:r w:rsidR="005C6C02">
        <w:rPr>
          <w:rFonts w:cs="Times New Roman"/>
          <w:sz w:val="22"/>
        </w:rPr>
        <w:t>analysis</w:t>
      </w:r>
      <w:r w:rsidR="00DF7F7E" w:rsidRPr="00CA07C3">
        <w:rPr>
          <w:rFonts w:cs="Times New Roman"/>
          <w:sz w:val="22"/>
        </w:rPr>
        <w:t xml:space="preserve"> were carried out (</w:t>
      </w:r>
      <w:r w:rsidR="006F14CB">
        <w:rPr>
          <w:rFonts w:cs="Times New Roman"/>
          <w:sz w:val="22"/>
        </w:rPr>
        <w:t xml:space="preserve">which </w:t>
      </w:r>
      <w:r w:rsidR="00DF7F7E" w:rsidRPr="00CA07C3">
        <w:rPr>
          <w:rFonts w:cs="Times New Roman"/>
          <w:sz w:val="22"/>
        </w:rPr>
        <w:t>for brevity</w:t>
      </w:r>
      <w:r w:rsidR="006F14CB">
        <w:rPr>
          <w:rFonts w:cs="Times New Roman"/>
          <w:sz w:val="22"/>
        </w:rPr>
        <w:t xml:space="preserve"> </w:t>
      </w:r>
      <w:r w:rsidR="00DF7F7E" w:rsidRPr="00CA07C3">
        <w:rPr>
          <w:rFonts w:cs="Times New Roman"/>
          <w:sz w:val="22"/>
        </w:rPr>
        <w:t>are not reported here,</w:t>
      </w:r>
      <w:r w:rsidR="00571802" w:rsidRPr="00CA07C3">
        <w:rPr>
          <w:rFonts w:cs="Times New Roman"/>
          <w:sz w:val="22"/>
        </w:rPr>
        <w:t xml:space="preserve"> </w:t>
      </w:r>
      <w:r w:rsidR="00DF7F7E" w:rsidRPr="00CA07C3">
        <w:rPr>
          <w:rFonts w:cs="Times New Roman"/>
          <w:sz w:val="22"/>
        </w:rPr>
        <w:t xml:space="preserve">but </w:t>
      </w:r>
      <w:r w:rsidR="00EF34C0">
        <w:rPr>
          <w:rFonts w:cs="Times New Roman"/>
          <w:sz w:val="22"/>
        </w:rPr>
        <w:t xml:space="preserve">wiil be </w:t>
      </w:r>
      <w:r w:rsidR="00DF7F7E" w:rsidRPr="00CA07C3">
        <w:rPr>
          <w:rFonts w:cs="Times New Roman"/>
          <w:sz w:val="22"/>
        </w:rPr>
        <w:t>available on request)</w:t>
      </w:r>
      <w:r w:rsidR="006F14CB">
        <w:rPr>
          <w:rFonts w:cs="Times New Roman"/>
          <w:sz w:val="22"/>
        </w:rPr>
        <w:t xml:space="preserve"> in order to test for other OLS assumptions</w:t>
      </w:r>
      <w:r w:rsidR="00DF7F7E" w:rsidRPr="00CA07C3">
        <w:rPr>
          <w:rFonts w:cs="Times New Roman"/>
          <w:sz w:val="22"/>
        </w:rPr>
        <w:t xml:space="preserve"> before examining our hypotheses.</w:t>
      </w:r>
      <w:r w:rsidR="00B27DB1">
        <w:rPr>
          <w:rStyle w:val="FootnoteReference"/>
        </w:rPr>
        <w:footnoteReference w:id="4"/>
      </w:r>
      <w:r w:rsidR="00DF7F7E" w:rsidRPr="00CA07C3">
        <w:rPr>
          <w:rFonts w:cs="Times New Roman"/>
          <w:sz w:val="22"/>
        </w:rPr>
        <w:t xml:space="preserve"> </w:t>
      </w:r>
    </w:p>
    <w:p w:rsidR="009E582F" w:rsidRDefault="009E582F" w:rsidP="009E582F">
      <w:pPr>
        <w:ind w:firstLine="720"/>
        <w:jc w:val="center"/>
        <w:rPr>
          <w:rFonts w:cs="Times New Roman"/>
          <w:sz w:val="22"/>
        </w:rPr>
      </w:pPr>
    </w:p>
    <w:p w:rsidR="00EF43E7" w:rsidRPr="00CA07C3" w:rsidRDefault="00030CE5" w:rsidP="009E582F">
      <w:pPr>
        <w:ind w:firstLine="720"/>
        <w:jc w:val="center"/>
        <w:rPr>
          <w:rFonts w:cs="Times New Roman"/>
          <w:sz w:val="22"/>
        </w:rPr>
      </w:pPr>
      <w:r w:rsidRPr="00CA07C3">
        <w:rPr>
          <w:rFonts w:cs="Times New Roman"/>
          <w:sz w:val="22"/>
        </w:rPr>
        <w:t>Insert Table 5 about here</w:t>
      </w:r>
    </w:p>
    <w:bookmarkEnd w:id="20"/>
    <w:bookmarkEnd w:id="21"/>
    <w:p w:rsidR="00DF4E28" w:rsidRPr="00CA07C3" w:rsidRDefault="00DF4E28" w:rsidP="009E582F">
      <w:pPr>
        <w:jc w:val="both"/>
        <w:rPr>
          <w:rFonts w:cs="Times New Roman"/>
          <w:sz w:val="22"/>
        </w:rPr>
      </w:pPr>
    </w:p>
    <w:p w:rsidR="00A10607" w:rsidRPr="00952D49" w:rsidRDefault="00952D49" w:rsidP="00952D49">
      <w:pPr>
        <w:rPr>
          <w:i/>
          <w:sz w:val="22"/>
        </w:rPr>
      </w:pPr>
      <w:r w:rsidRPr="00952D49">
        <w:rPr>
          <w:i/>
          <w:sz w:val="22"/>
        </w:rPr>
        <w:t xml:space="preserve">6.2 </w:t>
      </w:r>
      <w:r w:rsidR="006C7E44" w:rsidRPr="00952D49">
        <w:rPr>
          <w:i/>
          <w:sz w:val="22"/>
        </w:rPr>
        <w:t>Empirical results: OLS (multivariate) regression analysis</w:t>
      </w:r>
      <w:r w:rsidR="009078E8" w:rsidRPr="00952D49">
        <w:rPr>
          <w:i/>
          <w:sz w:val="22"/>
        </w:rPr>
        <w:t xml:space="preserve"> </w:t>
      </w:r>
    </w:p>
    <w:p w:rsidR="00A10607" w:rsidRDefault="00A10607" w:rsidP="00A10607">
      <w:pPr>
        <w:ind w:firstLine="720"/>
        <w:jc w:val="both"/>
        <w:rPr>
          <w:rFonts w:cs="Times New Roman"/>
          <w:sz w:val="22"/>
        </w:rPr>
      </w:pPr>
    </w:p>
    <w:p w:rsidR="00B657EE" w:rsidRDefault="003530D8" w:rsidP="00A10607">
      <w:pPr>
        <w:spacing w:line="360" w:lineRule="auto"/>
        <w:ind w:firstLine="720"/>
        <w:jc w:val="both"/>
        <w:rPr>
          <w:rFonts w:cs="Times New Roman"/>
          <w:sz w:val="22"/>
        </w:rPr>
      </w:pPr>
      <w:r w:rsidRPr="00CA07C3">
        <w:rPr>
          <w:rFonts w:cs="Times New Roman"/>
          <w:sz w:val="22"/>
        </w:rPr>
        <w:t xml:space="preserve">Table 6 reports the effect of </w:t>
      </w:r>
      <w:r w:rsidR="00BB4901">
        <w:rPr>
          <w:rFonts w:cs="Times New Roman"/>
          <w:sz w:val="22"/>
        </w:rPr>
        <w:t xml:space="preserve">the </w:t>
      </w:r>
      <w:r w:rsidR="00010F55" w:rsidRPr="00CA07C3">
        <w:rPr>
          <w:rFonts w:cs="Times New Roman"/>
          <w:i/>
          <w:sz w:val="22"/>
        </w:rPr>
        <w:t>O</w:t>
      </w:r>
      <w:r w:rsidRPr="00CA07C3">
        <w:rPr>
          <w:rFonts w:cs="Times New Roman"/>
          <w:i/>
          <w:sz w:val="22"/>
        </w:rPr>
        <w:t>CG</w:t>
      </w:r>
      <w:r w:rsidR="00010F55" w:rsidRPr="00CA07C3">
        <w:rPr>
          <w:rFonts w:cs="Times New Roman"/>
          <w:i/>
          <w:sz w:val="22"/>
        </w:rPr>
        <w:t>I</w:t>
      </w:r>
      <w:r w:rsidR="00010F55" w:rsidRPr="00CA07C3">
        <w:rPr>
          <w:rFonts w:cs="Times New Roman"/>
          <w:sz w:val="22"/>
        </w:rPr>
        <w:t xml:space="preserve">, </w:t>
      </w:r>
      <w:r w:rsidR="003C0FD2">
        <w:rPr>
          <w:rFonts w:cs="Times New Roman"/>
          <w:sz w:val="22"/>
        </w:rPr>
        <w:t>IG committee (</w:t>
      </w:r>
      <w:r w:rsidR="00BB565D">
        <w:rPr>
          <w:rFonts w:cs="Times New Roman"/>
          <w:i/>
          <w:iCs/>
          <w:sz w:val="22"/>
        </w:rPr>
        <w:t>I</w:t>
      </w:r>
      <w:r w:rsidR="00437571" w:rsidRPr="00437571">
        <w:rPr>
          <w:rFonts w:cs="Times New Roman"/>
          <w:i/>
          <w:iCs/>
          <w:sz w:val="22"/>
        </w:rPr>
        <w:t>GC</w:t>
      </w:r>
      <w:r w:rsidR="003C0FD2">
        <w:rPr>
          <w:rFonts w:cs="Times New Roman"/>
          <w:iCs/>
          <w:sz w:val="22"/>
        </w:rPr>
        <w:t>)</w:t>
      </w:r>
      <w:r w:rsidR="00010F55" w:rsidRPr="00CA07C3">
        <w:rPr>
          <w:rFonts w:cs="Times New Roman"/>
          <w:sz w:val="22"/>
        </w:rPr>
        <w:t xml:space="preserve"> and </w:t>
      </w:r>
      <w:r w:rsidR="00BB4901">
        <w:rPr>
          <w:rFonts w:cs="Times New Roman"/>
          <w:sz w:val="22"/>
        </w:rPr>
        <w:t xml:space="preserve">other CG variables (board size - </w:t>
      </w:r>
      <w:r w:rsidR="00BB4901">
        <w:rPr>
          <w:rFonts w:cs="Times New Roman"/>
          <w:i/>
          <w:sz w:val="22"/>
        </w:rPr>
        <w:t>BSIZE</w:t>
      </w:r>
      <w:r w:rsidR="00BB4901">
        <w:rPr>
          <w:rFonts w:cs="Times New Roman"/>
          <w:sz w:val="22"/>
        </w:rPr>
        <w:t xml:space="preserve">; audit firm size – </w:t>
      </w:r>
      <w:r w:rsidR="00BB4901">
        <w:rPr>
          <w:rFonts w:cs="Times New Roman"/>
          <w:i/>
          <w:sz w:val="22"/>
        </w:rPr>
        <w:t>BIG4</w:t>
      </w:r>
      <w:r w:rsidR="00BB4901">
        <w:rPr>
          <w:rFonts w:cs="Times New Roman"/>
          <w:sz w:val="22"/>
        </w:rPr>
        <w:t xml:space="preserve">; the presence of a CG committee – </w:t>
      </w:r>
      <w:r w:rsidR="00BB4901">
        <w:rPr>
          <w:rFonts w:cs="Times New Roman"/>
          <w:i/>
          <w:sz w:val="22"/>
        </w:rPr>
        <w:t>CGCOM;</w:t>
      </w:r>
      <w:r w:rsidR="00BB4901">
        <w:rPr>
          <w:rFonts w:cs="Times New Roman"/>
          <w:sz w:val="22"/>
        </w:rPr>
        <w:t xml:space="preserve"> and board gender diversity - </w:t>
      </w:r>
      <w:r w:rsidR="00BB4901">
        <w:rPr>
          <w:rFonts w:cs="Times New Roman"/>
          <w:i/>
          <w:sz w:val="22"/>
        </w:rPr>
        <w:t>GNDR</w:t>
      </w:r>
      <w:r w:rsidR="00971F27">
        <w:rPr>
          <w:rFonts w:cs="Times New Roman"/>
          <w:sz w:val="22"/>
        </w:rPr>
        <w:t>)</w:t>
      </w:r>
      <w:r w:rsidR="00437571">
        <w:rPr>
          <w:rFonts w:cs="Times New Roman"/>
          <w:sz w:val="22"/>
        </w:rPr>
        <w:t xml:space="preserve"> on EM</w:t>
      </w:r>
      <w:r w:rsidRPr="00CA07C3">
        <w:rPr>
          <w:rFonts w:cs="Times New Roman"/>
          <w:sz w:val="22"/>
        </w:rPr>
        <w:t xml:space="preserve">. </w:t>
      </w:r>
      <w:r w:rsidR="00010F55" w:rsidRPr="00CA07C3">
        <w:rPr>
          <w:rFonts w:cs="Times New Roman"/>
          <w:sz w:val="22"/>
        </w:rPr>
        <w:t xml:space="preserve">Generally, Columns 2 and 3 of Table 6 present the findings of the </w:t>
      </w:r>
      <w:r w:rsidR="00CE3CD3" w:rsidRPr="00CA07C3">
        <w:rPr>
          <w:rFonts w:cs="Times New Roman"/>
          <w:sz w:val="22"/>
        </w:rPr>
        <w:t xml:space="preserve">main Model related to the </w:t>
      </w:r>
      <w:r w:rsidR="00437571">
        <w:rPr>
          <w:rFonts w:cs="Times New Roman"/>
          <w:sz w:val="22"/>
        </w:rPr>
        <w:t>effect of CG on EM</w:t>
      </w:r>
      <w:r w:rsidR="00D4766D">
        <w:rPr>
          <w:rFonts w:cs="Times New Roman"/>
          <w:sz w:val="22"/>
        </w:rPr>
        <w:t xml:space="preserve">. </w:t>
      </w:r>
      <w:r w:rsidR="00D24773" w:rsidRPr="00CA07C3">
        <w:rPr>
          <w:rFonts w:cs="Times New Roman"/>
          <w:sz w:val="22"/>
        </w:rPr>
        <w:t>T</w:t>
      </w:r>
      <w:r w:rsidR="00CE3CD3" w:rsidRPr="00CA07C3">
        <w:rPr>
          <w:rFonts w:cs="Times New Roman"/>
          <w:sz w:val="22"/>
        </w:rPr>
        <w:t>hese findings</w:t>
      </w:r>
      <w:r w:rsidR="00010F55" w:rsidRPr="00CA07C3">
        <w:rPr>
          <w:rFonts w:cs="Times New Roman"/>
          <w:sz w:val="22"/>
        </w:rPr>
        <w:t xml:space="preserve"> indicate that </w:t>
      </w:r>
      <w:r w:rsidR="00010F55" w:rsidRPr="00CA07C3">
        <w:rPr>
          <w:rFonts w:cs="Times New Roman"/>
          <w:i/>
          <w:sz w:val="22"/>
        </w:rPr>
        <w:t>OCGI</w:t>
      </w:r>
      <w:r w:rsidR="00F20CE4">
        <w:rPr>
          <w:rFonts w:cs="Times New Roman"/>
          <w:sz w:val="22"/>
        </w:rPr>
        <w:t xml:space="preserve"> and</w:t>
      </w:r>
      <w:r w:rsidR="00437571">
        <w:rPr>
          <w:rFonts w:cs="Times New Roman"/>
          <w:sz w:val="22"/>
        </w:rPr>
        <w:t xml:space="preserve"> </w:t>
      </w:r>
      <w:r w:rsidR="00BB565D">
        <w:rPr>
          <w:rFonts w:cs="Times New Roman"/>
          <w:i/>
          <w:iCs/>
          <w:sz w:val="22"/>
        </w:rPr>
        <w:t>I</w:t>
      </w:r>
      <w:r w:rsidR="00437571" w:rsidRPr="00437571">
        <w:rPr>
          <w:rFonts w:cs="Times New Roman"/>
          <w:i/>
          <w:iCs/>
          <w:sz w:val="22"/>
        </w:rPr>
        <w:t>GC</w:t>
      </w:r>
      <w:r w:rsidR="00437571">
        <w:rPr>
          <w:rFonts w:cs="Times New Roman"/>
          <w:sz w:val="22"/>
        </w:rPr>
        <w:t xml:space="preserve"> </w:t>
      </w:r>
      <w:r w:rsidR="00010F55" w:rsidRPr="00CA07C3">
        <w:rPr>
          <w:rFonts w:cs="Times New Roman"/>
          <w:sz w:val="22"/>
        </w:rPr>
        <w:t xml:space="preserve">are significant in explaining cross-sectional differences in the </w:t>
      </w:r>
      <w:r w:rsidR="00010F55" w:rsidRPr="00CA07C3">
        <w:rPr>
          <w:rFonts w:cs="Times New Roman"/>
          <w:i/>
          <w:iCs/>
          <w:sz w:val="22"/>
        </w:rPr>
        <w:t>DA</w:t>
      </w:r>
      <w:r w:rsidR="00010F55" w:rsidRPr="00CA07C3">
        <w:rPr>
          <w:rFonts w:cs="Times New Roman"/>
          <w:sz w:val="22"/>
        </w:rPr>
        <w:t xml:space="preserve">. </w:t>
      </w:r>
      <w:r w:rsidR="006F4513" w:rsidRPr="00CA07C3">
        <w:rPr>
          <w:rFonts w:cs="Times New Roman"/>
          <w:sz w:val="22"/>
        </w:rPr>
        <w:t>First</w:t>
      </w:r>
      <w:r w:rsidR="00010F55" w:rsidRPr="00CA07C3">
        <w:rPr>
          <w:rFonts w:cs="Times New Roman"/>
          <w:sz w:val="22"/>
        </w:rPr>
        <w:t xml:space="preserve">, </w:t>
      </w:r>
      <w:r w:rsidR="00D24773" w:rsidRPr="00CA07C3">
        <w:rPr>
          <w:rFonts w:cs="Times New Roman"/>
          <w:sz w:val="22"/>
        </w:rPr>
        <w:t xml:space="preserve">the </w:t>
      </w:r>
      <w:r w:rsidR="00D24773" w:rsidRPr="00CA07C3">
        <w:rPr>
          <w:rFonts w:eastAsiaTheme="minorEastAsia" w:cs="Times New Roman"/>
          <w:sz w:val="22"/>
        </w:rPr>
        <w:t xml:space="preserve">negative </w:t>
      </w:r>
      <w:r w:rsidR="00D24773" w:rsidRPr="00CA07C3">
        <w:rPr>
          <w:rFonts w:cs="Times New Roman"/>
          <w:sz w:val="22"/>
        </w:rPr>
        <w:t xml:space="preserve">coefficient on </w:t>
      </w:r>
      <w:r w:rsidR="00971F27">
        <w:rPr>
          <w:rFonts w:cs="Times New Roman"/>
          <w:sz w:val="22"/>
        </w:rPr>
        <w:t xml:space="preserve">the </w:t>
      </w:r>
      <w:r w:rsidR="00D24773" w:rsidRPr="00CA07C3">
        <w:rPr>
          <w:rFonts w:cs="Times New Roman"/>
          <w:i/>
          <w:sz w:val="22"/>
        </w:rPr>
        <w:t>OCGI</w:t>
      </w:r>
      <w:r w:rsidR="00D24773" w:rsidRPr="00CA07C3">
        <w:rPr>
          <w:rFonts w:cs="Times New Roman"/>
          <w:sz w:val="22"/>
        </w:rPr>
        <w:t xml:space="preserve"> is </w:t>
      </w:r>
      <w:r w:rsidR="00D24773" w:rsidRPr="00CA07C3">
        <w:rPr>
          <w:rFonts w:eastAsiaTheme="minorEastAsia" w:cs="Times New Roman"/>
          <w:sz w:val="22"/>
        </w:rPr>
        <w:t xml:space="preserve">in line with </w:t>
      </w:r>
      <w:r w:rsidR="00CE69F4">
        <w:rPr>
          <w:rFonts w:cs="Times New Roman"/>
          <w:sz w:val="22"/>
        </w:rPr>
        <w:t xml:space="preserve"> our behavioural theoretical framework, which suggests that the capacity of managers and corporate boards to think, process complex information and decide rationally is cognitively limited (bounded rationality)</w:t>
      </w:r>
      <w:r w:rsidR="00E0340D">
        <w:rPr>
          <w:rFonts w:cs="Times New Roman"/>
          <w:sz w:val="22"/>
        </w:rPr>
        <w:t xml:space="preserve"> </w:t>
      </w:r>
      <w:r w:rsidR="00E0340D" w:rsidRPr="004671E5">
        <w:rPr>
          <w:rFonts w:cs="Times New Roman"/>
        </w:rPr>
        <w:t>(Gabrielsson &amp; Huse, 2004; van Ees et al., 2009; Huse et al., 2011)</w:t>
      </w:r>
      <w:r w:rsidR="00D24773" w:rsidRPr="00CA07C3">
        <w:rPr>
          <w:rFonts w:cs="Times New Roman"/>
          <w:sz w:val="22"/>
        </w:rPr>
        <w:t>.</w:t>
      </w:r>
      <w:r w:rsidR="00E0340D">
        <w:rPr>
          <w:rFonts w:cs="Times New Roman"/>
          <w:sz w:val="22"/>
        </w:rPr>
        <w:t xml:space="preserve"> Therefore, managers tend to take pragmatic steps that are often aimed </w:t>
      </w:r>
      <w:r w:rsidR="00971F27">
        <w:rPr>
          <w:rFonts w:cs="Times New Roman"/>
          <w:sz w:val="22"/>
        </w:rPr>
        <w:t xml:space="preserve">at </w:t>
      </w:r>
      <w:r w:rsidR="00E0340D">
        <w:rPr>
          <w:rFonts w:cs="Times New Roman"/>
          <w:sz w:val="22"/>
        </w:rPr>
        <w:t xml:space="preserve">securing satisficing </w:t>
      </w:r>
      <w:r w:rsidR="00777B2C">
        <w:rPr>
          <w:rFonts w:cs="Times New Roman"/>
          <w:sz w:val="22"/>
        </w:rPr>
        <w:t xml:space="preserve">(“satisficing behaviour and problemistic search”) </w:t>
      </w:r>
      <w:r w:rsidR="00E0340D">
        <w:rPr>
          <w:rFonts w:cs="Times New Roman"/>
          <w:sz w:val="22"/>
        </w:rPr>
        <w:t xml:space="preserve">rather </w:t>
      </w:r>
      <w:r w:rsidR="00971F27">
        <w:rPr>
          <w:rFonts w:cs="Times New Roman"/>
          <w:sz w:val="22"/>
        </w:rPr>
        <w:t xml:space="preserve">than </w:t>
      </w:r>
      <w:r w:rsidR="00E0340D">
        <w:rPr>
          <w:rFonts w:cs="Times New Roman"/>
          <w:sz w:val="22"/>
        </w:rPr>
        <w:t xml:space="preserve">optimising </w:t>
      </w:r>
      <w:r w:rsidR="00777B2C">
        <w:rPr>
          <w:rFonts w:cs="Times New Roman"/>
          <w:sz w:val="22"/>
        </w:rPr>
        <w:t xml:space="preserve">(rational economic behaviour) </w:t>
      </w:r>
      <w:r w:rsidR="00E0340D">
        <w:rPr>
          <w:rFonts w:cs="Times New Roman"/>
          <w:sz w:val="22"/>
        </w:rPr>
        <w:t xml:space="preserve">solutions by following well-established </w:t>
      </w:r>
      <w:r w:rsidR="001D66F5">
        <w:rPr>
          <w:rFonts w:cs="Times New Roman"/>
          <w:sz w:val="22"/>
        </w:rPr>
        <w:t>corporate</w:t>
      </w:r>
      <w:r w:rsidR="00FB0FB5">
        <w:rPr>
          <w:rFonts w:cs="Times New Roman"/>
          <w:sz w:val="22"/>
        </w:rPr>
        <w:t xml:space="preserve"> beliefs, knowledge, values, rules, procedures, processes and</w:t>
      </w:r>
      <w:r w:rsidR="001D66F5">
        <w:rPr>
          <w:rFonts w:cs="Times New Roman"/>
          <w:sz w:val="22"/>
        </w:rPr>
        <w:t xml:space="preserve"> </w:t>
      </w:r>
      <w:r w:rsidR="00E0340D">
        <w:rPr>
          <w:rFonts w:cs="Times New Roman"/>
          <w:sz w:val="22"/>
        </w:rPr>
        <w:t>routines</w:t>
      </w:r>
      <w:r w:rsidR="00777B2C">
        <w:rPr>
          <w:rFonts w:cs="Times New Roman"/>
          <w:sz w:val="22"/>
        </w:rPr>
        <w:t xml:space="preserve"> (“routinisation of decision-making”)</w:t>
      </w:r>
      <w:r w:rsidR="001D66F5">
        <w:rPr>
          <w:rFonts w:cs="Times New Roman"/>
          <w:sz w:val="22"/>
        </w:rPr>
        <w:t xml:space="preserve"> that have us</w:t>
      </w:r>
      <w:r w:rsidR="00971F27">
        <w:rPr>
          <w:rFonts w:cs="Times New Roman"/>
          <w:sz w:val="22"/>
        </w:rPr>
        <w:t xml:space="preserve">ually been developed based on </w:t>
      </w:r>
      <w:r w:rsidR="001D66F5">
        <w:rPr>
          <w:rFonts w:cs="Times New Roman"/>
          <w:sz w:val="22"/>
        </w:rPr>
        <w:t>careful negotiations and political bargaining</w:t>
      </w:r>
      <w:r w:rsidR="00777B2C">
        <w:rPr>
          <w:rFonts w:cs="Times New Roman"/>
          <w:sz w:val="22"/>
        </w:rPr>
        <w:t xml:space="preserve"> (“political bargaining in the context of corporations as coalitions of stakeholders”)</w:t>
      </w:r>
      <w:r w:rsidR="001D66F5">
        <w:rPr>
          <w:rFonts w:cs="Times New Roman"/>
          <w:sz w:val="22"/>
        </w:rPr>
        <w:t xml:space="preserve"> among a coalition of cor</w:t>
      </w:r>
      <w:r w:rsidR="00777B2C">
        <w:rPr>
          <w:rFonts w:cs="Times New Roman"/>
          <w:sz w:val="22"/>
        </w:rPr>
        <w:t>p</w:t>
      </w:r>
      <w:r w:rsidR="001D66F5">
        <w:rPr>
          <w:rFonts w:cs="Times New Roman"/>
          <w:sz w:val="22"/>
        </w:rPr>
        <w:t>orate stakeholders</w:t>
      </w:r>
      <w:r w:rsidR="00777B2C">
        <w:rPr>
          <w:rFonts w:cs="Times New Roman"/>
          <w:sz w:val="22"/>
        </w:rPr>
        <w:t xml:space="preserve"> (</w:t>
      </w:r>
      <w:r w:rsidR="00777B2C" w:rsidRPr="004671E5">
        <w:rPr>
          <w:rFonts w:cs="Times New Roman"/>
        </w:rPr>
        <w:t>van Ees et al., 2009</w:t>
      </w:r>
      <w:r w:rsidR="00777B2C">
        <w:rPr>
          <w:rFonts w:cs="Times New Roman"/>
        </w:rPr>
        <w:t>, pp.311-312)</w:t>
      </w:r>
      <w:r w:rsidR="001D66F5">
        <w:rPr>
          <w:rFonts w:cs="Times New Roman"/>
          <w:sz w:val="22"/>
        </w:rPr>
        <w:t>.</w:t>
      </w:r>
      <w:r w:rsidR="00E0340D">
        <w:rPr>
          <w:rFonts w:cs="Times New Roman"/>
          <w:sz w:val="22"/>
        </w:rPr>
        <w:t xml:space="preserve"> </w:t>
      </w:r>
      <w:r w:rsidR="00D24773" w:rsidRPr="00CA07C3">
        <w:rPr>
          <w:rFonts w:cs="Times New Roman"/>
          <w:sz w:val="22"/>
        </w:rPr>
        <w:t xml:space="preserve"> </w:t>
      </w:r>
      <w:r w:rsidR="00133A34">
        <w:rPr>
          <w:rFonts w:cs="Times New Roman"/>
          <w:sz w:val="22"/>
        </w:rPr>
        <w:t>Thus, deviations from optimal solution</w:t>
      </w:r>
      <w:r w:rsidR="00DA25C3">
        <w:rPr>
          <w:rFonts w:cs="Times New Roman"/>
          <w:sz w:val="22"/>
        </w:rPr>
        <w:t>s</w:t>
      </w:r>
      <w:r w:rsidR="00133A34">
        <w:rPr>
          <w:rFonts w:cs="Times New Roman"/>
          <w:sz w:val="22"/>
        </w:rPr>
        <w:t xml:space="preserve"> and in this case, evidence of EM behaviour may not necess</w:t>
      </w:r>
      <w:r w:rsidR="00DA25C3">
        <w:rPr>
          <w:rFonts w:cs="Times New Roman"/>
          <w:sz w:val="22"/>
        </w:rPr>
        <w:t>arily be explained by</w:t>
      </w:r>
      <w:r w:rsidR="00133A34">
        <w:rPr>
          <w:rFonts w:cs="Times New Roman"/>
          <w:sz w:val="22"/>
        </w:rPr>
        <w:t xml:space="preserve"> incentive</w:t>
      </w:r>
      <w:r w:rsidR="005C00C2">
        <w:rPr>
          <w:rFonts w:cs="Times New Roman"/>
          <w:sz w:val="22"/>
        </w:rPr>
        <w:t>s</w:t>
      </w:r>
      <w:r w:rsidR="00DA25C3">
        <w:rPr>
          <w:rFonts w:cs="Times New Roman"/>
          <w:sz w:val="22"/>
        </w:rPr>
        <w:t xml:space="preserve"> of managers</w:t>
      </w:r>
      <w:r w:rsidR="00133A34">
        <w:rPr>
          <w:rFonts w:cs="Times New Roman"/>
          <w:sz w:val="22"/>
        </w:rPr>
        <w:t xml:space="preserve"> to self-serve their rational economic interests (e.g., to increase executive pay by managing earnings upwards and thereby expropriating corporate resources), but </w:t>
      </w:r>
      <w:r w:rsidR="00DA25C3">
        <w:rPr>
          <w:rFonts w:cs="Times New Roman"/>
          <w:sz w:val="22"/>
        </w:rPr>
        <w:t xml:space="preserve">instead due to cognitive </w:t>
      </w:r>
      <w:r w:rsidR="005C00C2">
        <w:rPr>
          <w:rFonts w:cs="Times New Roman"/>
          <w:sz w:val="22"/>
        </w:rPr>
        <w:t xml:space="preserve">biases </w:t>
      </w:r>
      <w:r w:rsidR="00DA25C3">
        <w:rPr>
          <w:rFonts w:cs="Times New Roman"/>
          <w:sz w:val="22"/>
        </w:rPr>
        <w:t xml:space="preserve">(bounded rationality) and pratical (complex information collection and processing challenges) limitations </w:t>
      </w:r>
      <w:r w:rsidR="005C00C2">
        <w:rPr>
          <w:rFonts w:cs="Times New Roman"/>
          <w:sz w:val="22"/>
        </w:rPr>
        <w:t>that may motivate managers</w:t>
      </w:r>
      <w:r w:rsidR="00DA25C3">
        <w:rPr>
          <w:rFonts w:cs="Times New Roman"/>
          <w:sz w:val="22"/>
        </w:rPr>
        <w:t xml:space="preserve"> to pragmatically seek satsisficing solutions to current problems.</w:t>
      </w:r>
      <w:r w:rsidR="00AF2B3B">
        <w:rPr>
          <w:rFonts w:cs="Times New Roman"/>
          <w:sz w:val="22"/>
        </w:rPr>
        <w:t xml:space="preserve"> The findings offer further support to the behavioural theory’</w:t>
      </w:r>
      <w:r w:rsidR="00555742">
        <w:rPr>
          <w:rFonts w:cs="Times New Roman"/>
          <w:sz w:val="22"/>
        </w:rPr>
        <w:t>s suggestions that</w:t>
      </w:r>
      <w:r w:rsidR="00AF2B3B">
        <w:rPr>
          <w:rFonts w:cs="Times New Roman"/>
          <w:sz w:val="22"/>
        </w:rPr>
        <w:t xml:space="preserve"> informal interactions, relationships, discussions, </w:t>
      </w:r>
      <w:r w:rsidR="00CF34A2">
        <w:rPr>
          <w:rFonts w:cs="Times New Roman"/>
          <w:sz w:val="22"/>
        </w:rPr>
        <w:t xml:space="preserve">emotions, </w:t>
      </w:r>
      <w:r w:rsidR="00AF2B3B">
        <w:rPr>
          <w:rFonts w:cs="Times New Roman"/>
          <w:sz w:val="22"/>
        </w:rPr>
        <w:t xml:space="preserve">experiences, beliefs and values </w:t>
      </w:r>
      <w:r w:rsidR="00555742">
        <w:rPr>
          <w:rFonts w:cs="Times New Roman"/>
          <w:sz w:val="22"/>
        </w:rPr>
        <w:t>are equally important in determining the effectiveness of CG structures.</w:t>
      </w:r>
      <w:r w:rsidR="00133A34">
        <w:rPr>
          <w:rFonts w:cs="Times New Roman"/>
          <w:sz w:val="22"/>
        </w:rPr>
        <w:t xml:space="preserve"> </w:t>
      </w:r>
      <w:r w:rsidR="00AF2B3B">
        <w:rPr>
          <w:rFonts w:cs="Times New Roman"/>
          <w:sz w:val="22"/>
        </w:rPr>
        <w:t>Empirially, t</w:t>
      </w:r>
      <w:r w:rsidR="00D24773" w:rsidRPr="00CA07C3">
        <w:rPr>
          <w:rFonts w:cs="Times New Roman"/>
          <w:sz w:val="22"/>
        </w:rPr>
        <w:t xml:space="preserve">he negative association between </w:t>
      </w:r>
      <w:r w:rsidR="00D24773" w:rsidRPr="00CA07C3">
        <w:rPr>
          <w:rFonts w:cs="Times New Roman"/>
          <w:i/>
          <w:sz w:val="22"/>
        </w:rPr>
        <w:t xml:space="preserve">DA </w:t>
      </w:r>
      <w:r w:rsidR="00D24773" w:rsidRPr="00CA07C3">
        <w:rPr>
          <w:rFonts w:cs="Times New Roman"/>
          <w:sz w:val="22"/>
        </w:rPr>
        <w:t xml:space="preserve">and </w:t>
      </w:r>
      <w:r w:rsidR="002B031D" w:rsidRPr="004A34B3">
        <w:rPr>
          <w:rFonts w:cs="Times New Roman"/>
          <w:sz w:val="22"/>
        </w:rPr>
        <w:t>the</w:t>
      </w:r>
      <w:r w:rsidR="002B031D">
        <w:rPr>
          <w:rFonts w:cs="Times New Roman"/>
          <w:sz w:val="22"/>
        </w:rPr>
        <w:t xml:space="preserve"> </w:t>
      </w:r>
      <w:r w:rsidR="00D24773" w:rsidRPr="00CA07C3">
        <w:rPr>
          <w:rFonts w:cs="Times New Roman"/>
          <w:i/>
          <w:sz w:val="22"/>
        </w:rPr>
        <w:t xml:space="preserve">OCGI </w:t>
      </w:r>
      <w:r w:rsidR="00D24773" w:rsidRPr="00CA07C3">
        <w:rPr>
          <w:rFonts w:cs="Times New Roman"/>
          <w:sz w:val="22"/>
        </w:rPr>
        <w:t>provide</w:t>
      </w:r>
      <w:r w:rsidR="00AF2B3B">
        <w:rPr>
          <w:rFonts w:cs="Times New Roman"/>
          <w:sz w:val="22"/>
        </w:rPr>
        <w:t xml:space="preserve">s </w:t>
      </w:r>
      <w:r w:rsidR="00D24773" w:rsidRPr="00CA07C3">
        <w:rPr>
          <w:rFonts w:cs="Times New Roman"/>
          <w:sz w:val="22"/>
        </w:rPr>
        <w:t xml:space="preserve">support for </w:t>
      </w:r>
      <w:r w:rsidR="00D24773" w:rsidRPr="00CA07C3">
        <w:rPr>
          <w:rFonts w:cs="Times New Roman"/>
          <w:i/>
          <w:sz w:val="22"/>
        </w:rPr>
        <w:t>H</w:t>
      </w:r>
      <w:r w:rsidR="00437571">
        <w:rPr>
          <w:rFonts w:cs="Times New Roman"/>
          <w:i/>
          <w:sz w:val="22"/>
        </w:rPr>
        <w:t>1</w:t>
      </w:r>
      <w:r w:rsidR="00D24773" w:rsidRPr="00CA07C3">
        <w:rPr>
          <w:rFonts w:cs="Times New Roman"/>
          <w:sz w:val="22"/>
        </w:rPr>
        <w:t xml:space="preserve"> and the findings of past studies (e.g., Mitra</w:t>
      </w:r>
      <w:r w:rsidR="00136F5D">
        <w:rPr>
          <w:rFonts w:cs="Times New Roman"/>
          <w:sz w:val="22"/>
        </w:rPr>
        <w:t xml:space="preserve"> &amp;</w:t>
      </w:r>
      <w:r w:rsidR="00D24773" w:rsidRPr="00CA07C3">
        <w:rPr>
          <w:rFonts w:cs="Times New Roman"/>
          <w:sz w:val="22"/>
        </w:rPr>
        <w:t xml:space="preserve"> Credy, 2005; Jiraporn </w:t>
      </w:r>
      <w:r w:rsidR="00136F5D">
        <w:rPr>
          <w:rFonts w:cs="Times New Roman"/>
          <w:sz w:val="22"/>
        </w:rPr>
        <w:t>&amp;</w:t>
      </w:r>
      <w:r w:rsidR="00D24773" w:rsidRPr="00CA07C3">
        <w:rPr>
          <w:rFonts w:cs="Times New Roman"/>
          <w:sz w:val="22"/>
        </w:rPr>
        <w:t xml:space="preserve"> Gleason, 2007; Cornett </w:t>
      </w:r>
      <w:r w:rsidR="00D24773" w:rsidRPr="00BD0005">
        <w:rPr>
          <w:rFonts w:cs="Times New Roman"/>
          <w:iCs/>
          <w:sz w:val="22"/>
        </w:rPr>
        <w:t>et al</w:t>
      </w:r>
      <w:r w:rsidR="00D24773" w:rsidRPr="00CA07C3">
        <w:rPr>
          <w:rFonts w:cs="Times New Roman"/>
          <w:iCs/>
          <w:sz w:val="22"/>
        </w:rPr>
        <w:t>.</w:t>
      </w:r>
      <w:r w:rsidR="00D24773" w:rsidRPr="00CA07C3">
        <w:rPr>
          <w:rFonts w:cs="Times New Roman"/>
          <w:sz w:val="22"/>
        </w:rPr>
        <w:t>, 2008; Wang, 201</w:t>
      </w:r>
      <w:r w:rsidR="00B8508C" w:rsidRPr="00CA07C3">
        <w:rPr>
          <w:rFonts w:cs="Times New Roman"/>
          <w:sz w:val="22"/>
        </w:rPr>
        <w:t>4</w:t>
      </w:r>
      <w:r w:rsidR="00D24773" w:rsidRPr="00CA07C3">
        <w:rPr>
          <w:rFonts w:cs="Times New Roman"/>
          <w:sz w:val="22"/>
        </w:rPr>
        <w:t>)</w:t>
      </w:r>
      <w:r w:rsidR="00CF34A2">
        <w:rPr>
          <w:rFonts w:cs="Times New Roman"/>
          <w:sz w:val="22"/>
        </w:rPr>
        <w:t>,</w:t>
      </w:r>
      <w:r w:rsidR="00D24773" w:rsidRPr="00CA07C3">
        <w:rPr>
          <w:rFonts w:cs="Times New Roman"/>
          <w:sz w:val="22"/>
        </w:rPr>
        <w:t xml:space="preserve"> who report evidence th</w:t>
      </w:r>
      <w:r w:rsidR="00AF2B3B">
        <w:rPr>
          <w:rFonts w:cs="Times New Roman"/>
          <w:sz w:val="22"/>
        </w:rPr>
        <w:t xml:space="preserve">at suggests </w:t>
      </w:r>
      <w:r w:rsidR="003516A6">
        <w:rPr>
          <w:rFonts w:cs="Times New Roman"/>
          <w:sz w:val="22"/>
        </w:rPr>
        <w:t xml:space="preserve">that </w:t>
      </w:r>
      <w:r w:rsidR="00D24773" w:rsidRPr="00CA07C3">
        <w:rPr>
          <w:rFonts w:cs="Times New Roman"/>
          <w:sz w:val="22"/>
        </w:rPr>
        <w:t xml:space="preserve">companies </w:t>
      </w:r>
      <w:r w:rsidR="00AF2B3B">
        <w:rPr>
          <w:rFonts w:cs="Times New Roman"/>
          <w:sz w:val="22"/>
        </w:rPr>
        <w:t xml:space="preserve">with good CG practices </w:t>
      </w:r>
      <w:r w:rsidR="00D24773" w:rsidRPr="00CA07C3">
        <w:rPr>
          <w:rFonts w:cs="Times New Roman"/>
          <w:sz w:val="22"/>
        </w:rPr>
        <w:t>ten</w:t>
      </w:r>
      <w:r w:rsidR="00437571">
        <w:rPr>
          <w:rFonts w:cs="Times New Roman"/>
          <w:sz w:val="22"/>
        </w:rPr>
        <w:t>d to engage less in EM</w:t>
      </w:r>
      <w:r w:rsidR="00D24773" w:rsidRPr="00CA07C3">
        <w:rPr>
          <w:rFonts w:cs="Times New Roman"/>
          <w:sz w:val="22"/>
        </w:rPr>
        <w:t xml:space="preserve"> compared with those </w:t>
      </w:r>
      <w:r w:rsidR="00AF2B3B">
        <w:rPr>
          <w:rFonts w:cs="Times New Roman"/>
          <w:sz w:val="22"/>
        </w:rPr>
        <w:t>with</w:t>
      </w:r>
      <w:r w:rsidR="00D24773" w:rsidRPr="00CA07C3">
        <w:rPr>
          <w:rFonts w:cs="Times New Roman"/>
          <w:sz w:val="22"/>
        </w:rPr>
        <w:t xml:space="preserve"> poor CG structures. </w:t>
      </w:r>
    </w:p>
    <w:p w:rsidR="00726E35" w:rsidRDefault="00437571" w:rsidP="00D42203">
      <w:pPr>
        <w:spacing w:line="360" w:lineRule="auto"/>
        <w:ind w:firstLine="720"/>
        <w:jc w:val="both"/>
        <w:rPr>
          <w:sz w:val="23"/>
          <w:szCs w:val="23"/>
        </w:rPr>
      </w:pPr>
      <w:r>
        <w:rPr>
          <w:rFonts w:cs="Times New Roman"/>
          <w:sz w:val="22"/>
        </w:rPr>
        <w:t xml:space="preserve">Second, </w:t>
      </w:r>
      <w:r w:rsidR="002B2866" w:rsidRPr="002B2866">
        <w:rPr>
          <w:rFonts w:cs="Times New Roman"/>
          <w:sz w:val="22"/>
        </w:rPr>
        <w:t>our</w:t>
      </w:r>
      <w:r w:rsidR="002B2866">
        <w:rPr>
          <w:rFonts w:cs="Times New Roman"/>
          <w:i/>
          <w:iCs/>
          <w:sz w:val="22"/>
        </w:rPr>
        <w:t xml:space="preserve"> </w:t>
      </w:r>
      <w:r>
        <w:rPr>
          <w:sz w:val="23"/>
          <w:szCs w:val="23"/>
        </w:rPr>
        <w:t xml:space="preserve">model shows that </w:t>
      </w:r>
      <w:r w:rsidR="00BB565D">
        <w:rPr>
          <w:rFonts w:cs="Times New Roman"/>
          <w:i/>
          <w:iCs/>
          <w:sz w:val="22"/>
        </w:rPr>
        <w:t>I</w:t>
      </w:r>
      <w:r w:rsidR="002B2866" w:rsidRPr="00437571">
        <w:rPr>
          <w:rFonts w:cs="Times New Roman"/>
          <w:i/>
          <w:iCs/>
          <w:sz w:val="22"/>
        </w:rPr>
        <w:t>GC</w:t>
      </w:r>
      <w:r w:rsidR="002B2866">
        <w:rPr>
          <w:sz w:val="23"/>
          <w:szCs w:val="23"/>
        </w:rPr>
        <w:t xml:space="preserve"> is negative and statistically significant at the 1% level of significance, suggesting that </w:t>
      </w:r>
      <w:r w:rsidR="002B2866">
        <w:rPr>
          <w:i/>
          <w:iCs/>
          <w:sz w:val="23"/>
          <w:szCs w:val="23"/>
        </w:rPr>
        <w:t xml:space="preserve">H2 </w:t>
      </w:r>
      <w:r w:rsidR="002B2866">
        <w:rPr>
          <w:sz w:val="23"/>
          <w:szCs w:val="23"/>
        </w:rPr>
        <w:t xml:space="preserve">is </w:t>
      </w:r>
      <w:r w:rsidR="00B75CF0">
        <w:rPr>
          <w:sz w:val="23"/>
          <w:szCs w:val="23"/>
        </w:rPr>
        <w:t xml:space="preserve">also </w:t>
      </w:r>
      <w:r w:rsidR="002B2866">
        <w:rPr>
          <w:sz w:val="23"/>
          <w:szCs w:val="23"/>
        </w:rPr>
        <w:t xml:space="preserve">empirically supported. </w:t>
      </w:r>
      <w:r w:rsidR="00B75CF0">
        <w:rPr>
          <w:sz w:val="23"/>
          <w:szCs w:val="23"/>
        </w:rPr>
        <w:t>The evidence is</w:t>
      </w:r>
      <w:r w:rsidR="00981C4C">
        <w:rPr>
          <w:sz w:val="23"/>
          <w:szCs w:val="23"/>
        </w:rPr>
        <w:t xml:space="preserve"> largely in line with the predictions of our behavioural theoretical framework. </w:t>
      </w:r>
      <w:r w:rsidR="00A06BD3">
        <w:rPr>
          <w:sz w:val="23"/>
          <w:szCs w:val="23"/>
        </w:rPr>
        <w:t xml:space="preserve">Specfically and </w:t>
      </w:r>
      <w:r w:rsidR="00A06BD3">
        <w:rPr>
          <w:rFonts w:cs="Times New Roman"/>
          <w:sz w:val="22"/>
        </w:rPr>
        <w:t>f</w:t>
      </w:r>
      <w:r w:rsidR="00981C4C" w:rsidRPr="00B31ACF">
        <w:rPr>
          <w:rFonts w:cs="Times New Roman"/>
          <w:sz w:val="22"/>
        </w:rPr>
        <w:t>rom b</w:t>
      </w:r>
      <w:r w:rsidR="00981C4C" w:rsidRPr="00154BB8">
        <w:rPr>
          <w:rFonts w:cs="Times New Roman"/>
          <w:sz w:val="22"/>
        </w:rPr>
        <w:t>ehavioural theoretical perspective</w:t>
      </w:r>
      <w:r w:rsidR="00981C4C" w:rsidRPr="00F54566">
        <w:rPr>
          <w:rFonts w:cs="Times New Roman"/>
          <w:sz w:val="22"/>
        </w:rPr>
        <w:t xml:space="preserve"> (</w:t>
      </w:r>
      <w:r w:rsidR="00981C4C" w:rsidRPr="00E73770">
        <w:rPr>
          <w:rFonts w:cs="Times New Roman"/>
          <w:sz w:val="22"/>
        </w:rPr>
        <w:t xml:space="preserve">Gabrielsson &amp; Huse, 2004; van Ees et al., 2009; Huse et al., 2011), </w:t>
      </w:r>
      <w:r w:rsidR="00A06BD3">
        <w:rPr>
          <w:rFonts w:cs="Times New Roman"/>
          <w:sz w:val="22"/>
        </w:rPr>
        <w:t xml:space="preserve">we argue that the </w:t>
      </w:r>
      <w:r w:rsidR="00981C4C" w:rsidRPr="00E73770">
        <w:rPr>
          <w:rFonts w:cs="Times New Roman"/>
          <w:sz w:val="22"/>
        </w:rPr>
        <w:t>ability of corporate agents to reach optimal decisions is limited by cognitive</w:t>
      </w:r>
      <w:r w:rsidR="00654E05">
        <w:rPr>
          <w:rFonts w:cs="Times New Roman"/>
          <w:sz w:val="22"/>
        </w:rPr>
        <w:t xml:space="preserve"> biases</w:t>
      </w:r>
      <w:r w:rsidR="00981C4C" w:rsidRPr="00E73770">
        <w:rPr>
          <w:rFonts w:cs="Times New Roman"/>
          <w:sz w:val="22"/>
        </w:rPr>
        <w:t xml:space="preserve"> and complex information processing weaknesses. Managerial decision-making process will, therefore, be dominated by pragmatic attempts at reaching satisficing rather than optimising outcomes through continuous negotiations and political bargaining among coalitions of stakeholders within routines and heuristics arising from well-established standard operating rules and procedures. Decision-making in this context will be influenced by prior managerial beliefs, emotions, experiences, intuitions/feelings and values rather than rational thought</w:t>
      </w:r>
      <w:r w:rsidR="00654E05">
        <w:rPr>
          <w:rFonts w:cs="Times New Roman"/>
          <w:sz w:val="22"/>
        </w:rPr>
        <w:t xml:space="preserve"> and </w:t>
      </w:r>
      <w:r w:rsidR="001336E7">
        <w:rPr>
          <w:rFonts w:cs="Times New Roman"/>
          <w:sz w:val="22"/>
        </w:rPr>
        <w:t xml:space="preserve">economic </w:t>
      </w:r>
      <w:r w:rsidR="00654E05">
        <w:rPr>
          <w:rFonts w:cs="Times New Roman"/>
          <w:sz w:val="22"/>
        </w:rPr>
        <w:t>opportunism only</w:t>
      </w:r>
      <w:r w:rsidR="00981C4C" w:rsidRPr="00E73770">
        <w:rPr>
          <w:rFonts w:cs="Times New Roman"/>
          <w:sz w:val="22"/>
        </w:rPr>
        <w:t xml:space="preserve">. Arguably, this will be particularly important in the case of Oman, whereby the corporate context is characterised by corporate commitment to incorporate Islamic religious beliefs and </w:t>
      </w:r>
      <w:r w:rsidR="0092652F">
        <w:rPr>
          <w:rFonts w:cs="Times New Roman"/>
          <w:sz w:val="22"/>
        </w:rPr>
        <w:t>values into business</w:t>
      </w:r>
      <w:r w:rsidR="00981C4C" w:rsidRPr="00823F8F">
        <w:rPr>
          <w:rFonts w:cs="Times New Roman"/>
          <w:sz w:val="22"/>
        </w:rPr>
        <w:t xml:space="preserve"> operations (Archer et al., 1998; Rahman, 1998; </w:t>
      </w:r>
      <w:r w:rsidR="00D42203" w:rsidRPr="00823F8F">
        <w:rPr>
          <w:rFonts w:cs="Times New Roman"/>
          <w:sz w:val="22"/>
        </w:rPr>
        <w:t>Lewis, 2005</w:t>
      </w:r>
      <w:r w:rsidR="00D42203">
        <w:rPr>
          <w:rFonts w:cs="Times New Roman"/>
          <w:sz w:val="22"/>
        </w:rPr>
        <w:t xml:space="preserve">; </w:t>
      </w:r>
      <w:r w:rsidR="00981C4C" w:rsidRPr="00823F8F">
        <w:rPr>
          <w:rFonts w:cs="Times New Roman"/>
          <w:sz w:val="22"/>
        </w:rPr>
        <w:t xml:space="preserve">Choudhury &amp; </w:t>
      </w:r>
      <w:r w:rsidR="00981C4C" w:rsidRPr="00E73770">
        <w:rPr>
          <w:rFonts w:cs="Times New Roman"/>
          <w:sz w:val="22"/>
        </w:rPr>
        <w:t>Hoque, 2006; Kamla et al., 2006; Abu-Tapanjeh, 2009; Williams &amp; Zinkin, 2010</w:t>
      </w:r>
      <w:r w:rsidR="00FC6E34">
        <w:rPr>
          <w:rFonts w:cs="Times New Roman"/>
          <w:sz w:val="22"/>
        </w:rPr>
        <w:t>; Mollah &amp; Zaman, 2015</w:t>
      </w:r>
      <w:r w:rsidR="00981C4C" w:rsidRPr="00E73770">
        <w:rPr>
          <w:rFonts w:cs="Times New Roman"/>
          <w:sz w:val="22"/>
        </w:rPr>
        <w:t>)</w:t>
      </w:r>
      <w:r w:rsidR="00981C4C" w:rsidRPr="00823F8F">
        <w:rPr>
          <w:rFonts w:cs="Times New Roman"/>
          <w:sz w:val="22"/>
        </w:rPr>
        <w:t>. A prominent way by which</w:t>
      </w:r>
      <w:r w:rsidR="00370C73">
        <w:rPr>
          <w:rFonts w:cs="Times New Roman"/>
          <w:sz w:val="22"/>
        </w:rPr>
        <w:t xml:space="preserve"> the</w:t>
      </w:r>
      <w:r w:rsidR="00981C4C" w:rsidRPr="00823F8F">
        <w:rPr>
          <w:rFonts w:cs="Times New Roman"/>
          <w:sz w:val="22"/>
        </w:rPr>
        <w:t xml:space="preserve"> </w:t>
      </w:r>
      <w:r w:rsidR="00981C4C" w:rsidRPr="00B31ACF">
        <w:rPr>
          <w:rFonts w:cs="Times New Roman"/>
          <w:sz w:val="22"/>
        </w:rPr>
        <w:t xml:space="preserve">Omani corporate decision-making process can be guided by Islamic religious beliefs and values is through the establishment of the </w:t>
      </w:r>
      <w:r w:rsidR="00981C4C" w:rsidRPr="00F54566">
        <w:rPr>
          <w:rFonts w:cs="Times New Roman"/>
          <w:sz w:val="22"/>
        </w:rPr>
        <w:t>IGC in the form of the SSB. As previously noted, the main role of SSB is to offer guidance</w:t>
      </w:r>
      <w:r w:rsidR="00981C4C" w:rsidRPr="00E30B51">
        <w:rPr>
          <w:rFonts w:cs="Times New Roman"/>
          <w:sz w:val="22"/>
        </w:rPr>
        <w:t xml:space="preserve"> as to whether corporate investments, operations and activities are in lines with rules, beliefs, tenets</w:t>
      </w:r>
      <w:r w:rsidR="00981C4C" w:rsidRPr="00095C52">
        <w:rPr>
          <w:rFonts w:cs="Times New Roman"/>
          <w:sz w:val="22"/>
        </w:rPr>
        <w:t xml:space="preserve"> and values of </w:t>
      </w:r>
      <w:r w:rsidR="00981C4C" w:rsidRPr="00B768C9">
        <w:rPr>
          <w:rFonts w:cs="Times New Roman"/>
          <w:sz w:val="22"/>
        </w:rPr>
        <w:t>Islamic Shariah law.</w:t>
      </w:r>
      <w:r w:rsidR="00981C4C" w:rsidRPr="00EC28EC">
        <w:rPr>
          <w:rFonts w:cs="Times New Roman"/>
          <w:sz w:val="22"/>
        </w:rPr>
        <w:t xml:space="preserve"> </w:t>
      </w:r>
      <w:r w:rsidR="00981C4C" w:rsidRPr="00823F8F">
        <w:rPr>
          <w:rFonts w:cs="Times New Roman"/>
          <w:sz w:val="22"/>
        </w:rPr>
        <w:t>In the context of EM,</w:t>
      </w:r>
      <w:r w:rsidR="00981C4C" w:rsidRPr="00E73770">
        <w:rPr>
          <w:rFonts w:cs="Times New Roman"/>
          <w:sz w:val="22"/>
        </w:rPr>
        <w:t xml:space="preserve"> the presence of the SSB may offer additional assurance to shareholders and other stakeholders that managers </w:t>
      </w:r>
      <w:r w:rsidR="00D42203">
        <w:rPr>
          <w:rFonts w:cs="Times New Roman"/>
          <w:sz w:val="22"/>
        </w:rPr>
        <w:t>of firms</w:t>
      </w:r>
      <w:r w:rsidR="00981C4C">
        <w:rPr>
          <w:rFonts w:cs="Times New Roman"/>
          <w:sz w:val="22"/>
        </w:rPr>
        <w:t xml:space="preserve"> with such a committee </w:t>
      </w:r>
      <w:r w:rsidR="00981C4C" w:rsidRPr="00E73770">
        <w:rPr>
          <w:rFonts w:cs="Times New Roman"/>
          <w:sz w:val="22"/>
        </w:rPr>
        <w:t xml:space="preserve">are less likely to engage in EM compared with those </w:t>
      </w:r>
      <w:r w:rsidR="00981C4C">
        <w:rPr>
          <w:rFonts w:cs="Times New Roman"/>
          <w:sz w:val="22"/>
        </w:rPr>
        <w:t>without it</w:t>
      </w:r>
      <w:r w:rsidR="00981C4C" w:rsidRPr="00E73770">
        <w:rPr>
          <w:rFonts w:cs="Times New Roman"/>
          <w:sz w:val="22"/>
        </w:rPr>
        <w:t>. For instance, Shariah principles</w:t>
      </w:r>
      <w:r w:rsidR="00981C4C">
        <w:rPr>
          <w:rFonts w:cs="Times New Roman"/>
          <w:sz w:val="22"/>
        </w:rPr>
        <w:t xml:space="preserve"> relating to accountability,</w:t>
      </w:r>
      <w:r w:rsidR="00981C4C" w:rsidRPr="00E73770">
        <w:rPr>
          <w:rFonts w:cs="Times New Roman"/>
          <w:sz w:val="22"/>
        </w:rPr>
        <w:t xml:space="preserve"> </w:t>
      </w:r>
      <w:r w:rsidR="00981C4C">
        <w:rPr>
          <w:rFonts w:cs="Times New Roman"/>
          <w:sz w:val="22"/>
        </w:rPr>
        <w:t xml:space="preserve">honesty, integrity, responsibility, </w:t>
      </w:r>
      <w:r w:rsidR="00981C4C" w:rsidRPr="00E73770">
        <w:rPr>
          <w:rFonts w:cs="Times New Roman"/>
          <w:sz w:val="22"/>
        </w:rPr>
        <w:t>transparency</w:t>
      </w:r>
      <w:r w:rsidR="00981C4C">
        <w:rPr>
          <w:rFonts w:cs="Times New Roman"/>
          <w:sz w:val="22"/>
        </w:rPr>
        <w:t xml:space="preserve"> and truthfulnes</w:t>
      </w:r>
      <w:r w:rsidR="00981C4C" w:rsidRPr="00E73770">
        <w:rPr>
          <w:rFonts w:cs="Times New Roman"/>
          <w:sz w:val="22"/>
        </w:rPr>
        <w:t xml:space="preserve"> directly prohibit managers from engaging in</w:t>
      </w:r>
      <w:r w:rsidR="00981C4C">
        <w:rPr>
          <w:rFonts w:cs="Times New Roman"/>
          <w:sz w:val="22"/>
        </w:rPr>
        <w:t xml:space="preserve"> fraudulent activities, such as</w:t>
      </w:r>
      <w:r w:rsidR="00981C4C" w:rsidRPr="00E73770">
        <w:rPr>
          <w:rFonts w:cs="Times New Roman"/>
          <w:sz w:val="22"/>
        </w:rPr>
        <w:t xml:space="preserve"> EM. </w:t>
      </w:r>
      <w:r w:rsidR="00981C4C">
        <w:rPr>
          <w:sz w:val="23"/>
          <w:szCs w:val="23"/>
        </w:rPr>
        <w:t xml:space="preserve">Empirically, </w:t>
      </w:r>
      <w:r w:rsidR="00A06BD3">
        <w:rPr>
          <w:sz w:val="23"/>
          <w:szCs w:val="23"/>
        </w:rPr>
        <w:t>it offers new</w:t>
      </w:r>
      <w:r w:rsidR="00981C4C">
        <w:rPr>
          <w:sz w:val="23"/>
          <w:szCs w:val="23"/>
        </w:rPr>
        <w:t xml:space="preserve"> insights on </w:t>
      </w:r>
      <w:r w:rsidR="00A06BD3">
        <w:rPr>
          <w:sz w:val="23"/>
          <w:szCs w:val="23"/>
        </w:rPr>
        <w:t xml:space="preserve">the </w:t>
      </w:r>
      <w:r w:rsidR="00981C4C">
        <w:rPr>
          <w:sz w:val="23"/>
          <w:szCs w:val="23"/>
        </w:rPr>
        <w:t>effect of IG on EM, as well as</w:t>
      </w:r>
      <w:r w:rsidR="00F20CE4">
        <w:rPr>
          <w:sz w:val="23"/>
          <w:szCs w:val="23"/>
        </w:rPr>
        <w:t xml:space="preserve"> lends support to the result of </w:t>
      </w:r>
      <w:r w:rsidR="00F20CE4">
        <w:rPr>
          <w:sz w:val="22"/>
        </w:rPr>
        <w:t>Hamdi and Zarai (2014).</w:t>
      </w:r>
      <w:r w:rsidR="00F20CE4">
        <w:rPr>
          <w:sz w:val="23"/>
          <w:szCs w:val="23"/>
        </w:rPr>
        <w:t xml:space="preserve"> </w:t>
      </w:r>
    </w:p>
    <w:p w:rsidR="00F26ADF" w:rsidRPr="00064F33" w:rsidRDefault="00064F33" w:rsidP="00A10607">
      <w:pPr>
        <w:spacing w:line="360" w:lineRule="auto"/>
        <w:ind w:firstLine="720"/>
        <w:jc w:val="both"/>
        <w:rPr>
          <w:rFonts w:eastAsiaTheme="minorEastAsia" w:cs="Times New Roman"/>
          <w:sz w:val="22"/>
        </w:rPr>
      </w:pPr>
      <w:r>
        <w:rPr>
          <w:rFonts w:cs="Times New Roman"/>
          <w:sz w:val="22"/>
        </w:rPr>
        <w:t>Third</w:t>
      </w:r>
      <w:r w:rsidR="00F26ADF">
        <w:rPr>
          <w:rFonts w:cs="Times New Roman"/>
          <w:sz w:val="22"/>
        </w:rPr>
        <w:t xml:space="preserve">, </w:t>
      </w:r>
      <w:r w:rsidR="001F4A1A" w:rsidRPr="00CA07C3">
        <w:rPr>
          <w:rFonts w:cs="Times New Roman"/>
          <w:sz w:val="22"/>
        </w:rPr>
        <w:t xml:space="preserve">our </w:t>
      </w:r>
      <w:r w:rsidR="00DC71D3" w:rsidRPr="00CA07C3">
        <w:rPr>
          <w:rFonts w:cs="Times New Roman"/>
          <w:sz w:val="22"/>
        </w:rPr>
        <w:t>m</w:t>
      </w:r>
      <w:r w:rsidR="00895FFA" w:rsidRPr="00CA07C3">
        <w:rPr>
          <w:rFonts w:cs="Times New Roman"/>
          <w:sz w:val="22"/>
        </w:rPr>
        <w:t>odel predicts no significant relationship between</w:t>
      </w:r>
      <w:r w:rsidR="00D068C3" w:rsidRPr="00CA07C3">
        <w:rPr>
          <w:rFonts w:cs="Times New Roman"/>
          <w:sz w:val="22"/>
        </w:rPr>
        <w:t xml:space="preserve"> </w:t>
      </w:r>
      <w:r w:rsidR="00856157" w:rsidRPr="00CA07C3">
        <w:rPr>
          <w:rFonts w:cs="Times New Roman"/>
          <w:sz w:val="22"/>
        </w:rPr>
        <w:t>each of</w:t>
      </w:r>
      <w:r w:rsidR="001B4A8A" w:rsidRPr="00CA07C3">
        <w:rPr>
          <w:rFonts w:cs="Times New Roman"/>
          <w:sz w:val="22"/>
        </w:rPr>
        <w:t xml:space="preserve"> </w:t>
      </w:r>
      <w:r w:rsidR="003C0FD2">
        <w:rPr>
          <w:rFonts w:cs="Times New Roman"/>
          <w:sz w:val="22"/>
        </w:rPr>
        <w:t>board size (</w:t>
      </w:r>
      <w:r w:rsidR="005358E5" w:rsidRPr="00CA07C3">
        <w:rPr>
          <w:rFonts w:cs="Times New Roman"/>
          <w:i/>
          <w:sz w:val="22"/>
        </w:rPr>
        <w:t>BSIZE</w:t>
      </w:r>
      <w:r w:rsidR="003C0FD2">
        <w:rPr>
          <w:rFonts w:cs="Times New Roman"/>
          <w:sz w:val="22"/>
        </w:rPr>
        <w:t>)</w:t>
      </w:r>
      <w:r w:rsidR="00895FFA" w:rsidRPr="00CA07C3">
        <w:rPr>
          <w:rFonts w:cs="Times New Roman"/>
          <w:i/>
          <w:sz w:val="22"/>
        </w:rPr>
        <w:t xml:space="preserve">, </w:t>
      </w:r>
      <w:r w:rsidR="003C0FD2">
        <w:rPr>
          <w:rFonts w:cs="Times New Roman"/>
          <w:sz w:val="22"/>
        </w:rPr>
        <w:t>audit firm size (</w:t>
      </w:r>
      <w:r w:rsidR="005358E5" w:rsidRPr="00CA07C3">
        <w:rPr>
          <w:rFonts w:cs="Times New Roman"/>
          <w:i/>
          <w:sz w:val="22"/>
        </w:rPr>
        <w:t>BIG4</w:t>
      </w:r>
      <w:r w:rsidR="003C0FD2">
        <w:rPr>
          <w:rFonts w:cs="Times New Roman"/>
          <w:sz w:val="22"/>
        </w:rPr>
        <w:t>)</w:t>
      </w:r>
      <w:r w:rsidR="00895FFA" w:rsidRPr="00CA07C3">
        <w:rPr>
          <w:rFonts w:cs="Times New Roman"/>
          <w:i/>
          <w:sz w:val="22"/>
        </w:rPr>
        <w:t xml:space="preserve">, </w:t>
      </w:r>
      <w:r w:rsidR="003C0FD2">
        <w:rPr>
          <w:rFonts w:cs="Times New Roman"/>
          <w:sz w:val="22"/>
        </w:rPr>
        <w:t>the presence of a CG committee (</w:t>
      </w:r>
      <w:r w:rsidR="005358E5" w:rsidRPr="00CA07C3">
        <w:rPr>
          <w:rFonts w:cs="Times New Roman"/>
          <w:i/>
          <w:sz w:val="22"/>
        </w:rPr>
        <w:t>CGCOM</w:t>
      </w:r>
      <w:r w:rsidR="003C0FD2">
        <w:rPr>
          <w:rFonts w:cs="Times New Roman"/>
          <w:sz w:val="22"/>
        </w:rPr>
        <w:t>)</w:t>
      </w:r>
      <w:r w:rsidR="001B4A8A" w:rsidRPr="00CA07C3">
        <w:rPr>
          <w:rFonts w:cs="Times New Roman"/>
          <w:sz w:val="22"/>
        </w:rPr>
        <w:t xml:space="preserve">, </w:t>
      </w:r>
      <w:r w:rsidR="00895FFA" w:rsidRPr="00CA07C3">
        <w:rPr>
          <w:rFonts w:cs="Times New Roman"/>
          <w:sz w:val="22"/>
        </w:rPr>
        <w:t xml:space="preserve">and </w:t>
      </w:r>
      <w:r w:rsidR="003C0FD2">
        <w:rPr>
          <w:rFonts w:cs="Times New Roman"/>
          <w:sz w:val="22"/>
        </w:rPr>
        <w:t>board gender diversity (</w:t>
      </w:r>
      <w:r w:rsidR="005358E5" w:rsidRPr="00CA07C3">
        <w:rPr>
          <w:rFonts w:cs="Times New Roman"/>
          <w:i/>
          <w:sz w:val="22"/>
        </w:rPr>
        <w:t>GNDR</w:t>
      </w:r>
      <w:r w:rsidR="003C0FD2">
        <w:rPr>
          <w:rFonts w:cs="Times New Roman"/>
          <w:sz w:val="22"/>
        </w:rPr>
        <w:t>)</w:t>
      </w:r>
      <w:r w:rsidR="002E23B9" w:rsidRPr="00CA07C3">
        <w:rPr>
          <w:rFonts w:cs="Times New Roman"/>
          <w:i/>
          <w:sz w:val="22"/>
        </w:rPr>
        <w:t>,</w:t>
      </w:r>
      <w:r w:rsidR="00856157" w:rsidRPr="00CA07C3">
        <w:rPr>
          <w:rFonts w:cs="Times New Roman"/>
          <w:i/>
          <w:sz w:val="22"/>
        </w:rPr>
        <w:t xml:space="preserve"> </w:t>
      </w:r>
      <w:r w:rsidR="00856157" w:rsidRPr="00CA07C3">
        <w:rPr>
          <w:rFonts w:cs="Times New Roman"/>
          <w:sz w:val="22"/>
        </w:rPr>
        <w:t xml:space="preserve">and </w:t>
      </w:r>
      <w:r w:rsidR="00856157" w:rsidRPr="00CA07C3">
        <w:rPr>
          <w:rFonts w:cs="Times New Roman"/>
          <w:i/>
          <w:sz w:val="22"/>
        </w:rPr>
        <w:t>DA</w:t>
      </w:r>
      <w:r w:rsidR="001B4A8A" w:rsidRPr="00CA07C3">
        <w:rPr>
          <w:rFonts w:cs="Times New Roman"/>
          <w:sz w:val="22"/>
        </w:rPr>
        <w:t xml:space="preserve">, implying that </w:t>
      </w:r>
      <w:r w:rsidR="0041252A" w:rsidRPr="00CA07C3">
        <w:rPr>
          <w:rFonts w:cs="Times New Roman"/>
          <w:i/>
          <w:sz w:val="22"/>
        </w:rPr>
        <w:t>H3</w:t>
      </w:r>
      <w:r w:rsidR="002B2866">
        <w:rPr>
          <w:rFonts w:cs="Times New Roman"/>
          <w:sz w:val="22"/>
        </w:rPr>
        <w:t>,</w:t>
      </w:r>
      <w:r w:rsidR="0041252A" w:rsidRPr="00CA07C3">
        <w:rPr>
          <w:rFonts w:cs="Times New Roman"/>
          <w:sz w:val="22"/>
        </w:rPr>
        <w:t xml:space="preserve"> </w:t>
      </w:r>
      <w:r w:rsidR="001B4A8A" w:rsidRPr="00CA07C3">
        <w:rPr>
          <w:rFonts w:cs="Times New Roman"/>
          <w:i/>
          <w:sz w:val="22"/>
        </w:rPr>
        <w:t>H</w:t>
      </w:r>
      <w:r w:rsidR="002B2866">
        <w:rPr>
          <w:rFonts w:cs="Times New Roman"/>
          <w:i/>
          <w:sz w:val="22"/>
        </w:rPr>
        <w:t xml:space="preserve">4, </w:t>
      </w:r>
      <w:r w:rsidR="002B2866" w:rsidRPr="00CA07C3">
        <w:rPr>
          <w:rFonts w:cs="Times New Roman"/>
          <w:i/>
          <w:sz w:val="22"/>
        </w:rPr>
        <w:t>H</w:t>
      </w:r>
      <w:r w:rsidR="002B2866">
        <w:rPr>
          <w:rFonts w:cs="Times New Roman"/>
          <w:i/>
          <w:sz w:val="22"/>
        </w:rPr>
        <w:t xml:space="preserve">5 </w:t>
      </w:r>
      <w:r w:rsidR="001B4A8A" w:rsidRPr="00CA07C3">
        <w:rPr>
          <w:rFonts w:cs="Times New Roman"/>
          <w:sz w:val="22"/>
        </w:rPr>
        <w:t xml:space="preserve"> </w:t>
      </w:r>
      <w:r w:rsidR="00A06BD3">
        <w:rPr>
          <w:rFonts w:cs="Times New Roman"/>
          <w:sz w:val="22"/>
        </w:rPr>
        <w:t>and</w:t>
      </w:r>
      <w:r w:rsidR="001B4A8A" w:rsidRPr="00CA07C3">
        <w:rPr>
          <w:rFonts w:cs="Times New Roman"/>
          <w:sz w:val="22"/>
        </w:rPr>
        <w:t xml:space="preserve"> </w:t>
      </w:r>
      <w:r w:rsidR="001B4A8A" w:rsidRPr="00CA07C3">
        <w:rPr>
          <w:rFonts w:cs="Times New Roman"/>
          <w:i/>
          <w:sz w:val="22"/>
        </w:rPr>
        <w:t>H</w:t>
      </w:r>
      <w:r w:rsidR="002B2866">
        <w:rPr>
          <w:rFonts w:cs="Times New Roman"/>
          <w:i/>
          <w:sz w:val="22"/>
        </w:rPr>
        <w:t>6</w:t>
      </w:r>
      <w:r w:rsidR="001B4A8A" w:rsidRPr="00CA07C3">
        <w:rPr>
          <w:rFonts w:cs="Times New Roman"/>
          <w:sz w:val="22"/>
        </w:rPr>
        <w:t xml:space="preserve"> are</w:t>
      </w:r>
      <w:r w:rsidR="00A06BD3">
        <w:rPr>
          <w:rFonts w:cs="Times New Roman"/>
          <w:sz w:val="22"/>
        </w:rPr>
        <w:t>, respectively,</w:t>
      </w:r>
      <w:r w:rsidR="001B4A8A" w:rsidRPr="00CA07C3">
        <w:rPr>
          <w:rFonts w:cs="Times New Roman"/>
          <w:sz w:val="22"/>
        </w:rPr>
        <w:t xml:space="preserve"> not empirically supported</w:t>
      </w:r>
      <w:r w:rsidR="00895FFA" w:rsidRPr="00CA07C3">
        <w:rPr>
          <w:rFonts w:cs="Times New Roman"/>
          <w:sz w:val="22"/>
        </w:rPr>
        <w:t xml:space="preserve">. </w:t>
      </w:r>
      <w:r w:rsidRPr="00CA07C3">
        <w:rPr>
          <w:rFonts w:cs="Times New Roman"/>
          <w:sz w:val="22"/>
        </w:rPr>
        <w:t xml:space="preserve">Finally, </w:t>
      </w:r>
      <w:r w:rsidR="00D97D97">
        <w:rPr>
          <w:rFonts w:cs="Times New Roman"/>
          <w:sz w:val="22"/>
        </w:rPr>
        <w:t>to</w:t>
      </w:r>
      <w:r w:rsidR="00602CB6">
        <w:rPr>
          <w:rFonts w:cs="Times New Roman"/>
          <w:sz w:val="22"/>
        </w:rPr>
        <w:t xml:space="preserve"> ascertain </w:t>
      </w:r>
      <w:r w:rsidR="00A06BD3">
        <w:rPr>
          <w:rFonts w:cs="Times New Roman"/>
          <w:sz w:val="22"/>
        </w:rPr>
        <w:t xml:space="preserve">how </w:t>
      </w:r>
      <w:r w:rsidR="00B7255C">
        <w:rPr>
          <w:rFonts w:cs="Times New Roman"/>
          <w:sz w:val="22"/>
        </w:rPr>
        <w:t>sensitie the findings are to our</w:t>
      </w:r>
      <w:r w:rsidR="00A06BD3">
        <w:rPr>
          <w:rFonts w:cs="Times New Roman"/>
          <w:sz w:val="22"/>
        </w:rPr>
        <w:t xml:space="preserve"> </w:t>
      </w:r>
      <w:r w:rsidR="00A06BD3">
        <w:rPr>
          <w:rFonts w:cs="Times New Roman"/>
          <w:i/>
          <w:sz w:val="22"/>
        </w:rPr>
        <w:t xml:space="preserve">DA </w:t>
      </w:r>
      <w:r w:rsidR="00B7255C">
        <w:rPr>
          <w:rFonts w:cs="Times New Roman"/>
          <w:sz w:val="22"/>
        </w:rPr>
        <w:t>measure</w:t>
      </w:r>
      <w:r w:rsidR="00A06BD3">
        <w:rPr>
          <w:rFonts w:cs="Times New Roman"/>
          <w:sz w:val="22"/>
        </w:rPr>
        <w:t xml:space="preserve">, we include several control </w:t>
      </w:r>
      <w:r w:rsidR="008527D2">
        <w:rPr>
          <w:rFonts w:cs="Times New Roman"/>
          <w:sz w:val="22"/>
        </w:rPr>
        <w:t xml:space="preserve">(ownership and other firm-specific characteristics) </w:t>
      </w:r>
      <w:r w:rsidR="00A06BD3">
        <w:rPr>
          <w:rFonts w:cs="Times New Roman"/>
          <w:sz w:val="22"/>
        </w:rPr>
        <w:t xml:space="preserve">variables in </w:t>
      </w:r>
      <w:r w:rsidRPr="00CA07C3">
        <w:rPr>
          <w:rFonts w:eastAsiaTheme="minorEastAsia" w:cs="Times New Roman"/>
          <w:sz w:val="22"/>
        </w:rPr>
        <w:t>Models 1 to 8</w:t>
      </w:r>
      <w:r w:rsidR="00A06BD3">
        <w:rPr>
          <w:rFonts w:eastAsiaTheme="minorEastAsia" w:cs="Times New Roman"/>
          <w:sz w:val="22"/>
        </w:rPr>
        <w:t xml:space="preserve"> with</w:t>
      </w:r>
      <w:r w:rsidRPr="00CA07C3">
        <w:rPr>
          <w:rFonts w:eastAsiaTheme="minorEastAsia" w:cs="Times New Roman"/>
          <w:sz w:val="22"/>
        </w:rPr>
        <w:t xml:space="preserve"> </w:t>
      </w:r>
      <w:r w:rsidR="00A06BD3">
        <w:rPr>
          <w:rFonts w:eastAsiaTheme="minorEastAsia" w:cs="Times New Roman"/>
          <w:sz w:val="22"/>
        </w:rPr>
        <w:t>a</w:t>
      </w:r>
      <w:r w:rsidRPr="00CA07C3">
        <w:rPr>
          <w:rFonts w:eastAsiaTheme="minorEastAsia" w:cs="Times New Roman"/>
          <w:sz w:val="22"/>
        </w:rPr>
        <w:t>ll</w:t>
      </w:r>
      <w:r w:rsidR="00A06BD3">
        <w:rPr>
          <w:rFonts w:eastAsiaTheme="minorEastAsia" w:cs="Times New Roman"/>
          <w:sz w:val="22"/>
        </w:rPr>
        <w:t xml:space="preserve"> the</w:t>
      </w:r>
      <w:r w:rsidRPr="00CA07C3">
        <w:rPr>
          <w:rFonts w:eastAsiaTheme="minorEastAsia" w:cs="Times New Roman"/>
          <w:sz w:val="22"/>
        </w:rPr>
        <w:t xml:space="preserve"> findings </w:t>
      </w:r>
      <w:r w:rsidR="00A06BD3">
        <w:rPr>
          <w:rFonts w:eastAsiaTheme="minorEastAsia" w:cs="Times New Roman"/>
          <w:sz w:val="22"/>
        </w:rPr>
        <w:t>being</w:t>
      </w:r>
      <w:r w:rsidRPr="00CA07C3">
        <w:rPr>
          <w:rFonts w:eastAsiaTheme="minorEastAsia" w:cs="Times New Roman"/>
          <w:sz w:val="22"/>
        </w:rPr>
        <w:t xml:space="preserve"> </w:t>
      </w:r>
      <w:r>
        <w:rPr>
          <w:rFonts w:eastAsiaTheme="minorEastAsia" w:cs="Times New Roman"/>
          <w:sz w:val="22"/>
        </w:rPr>
        <w:t xml:space="preserve">largely </w:t>
      </w:r>
      <w:r w:rsidRPr="00CA07C3">
        <w:rPr>
          <w:rFonts w:eastAsiaTheme="minorEastAsia" w:cs="Times New Roman"/>
          <w:sz w:val="22"/>
        </w:rPr>
        <w:t>consistent across the eight Models</w:t>
      </w:r>
      <w:r w:rsidR="008D50FB">
        <w:rPr>
          <w:rFonts w:eastAsiaTheme="minorEastAsia" w:cs="Times New Roman"/>
          <w:sz w:val="22"/>
        </w:rPr>
        <w:t>. With specific reference to the control variables, our findings</w:t>
      </w:r>
      <w:r w:rsidRPr="00CA07C3">
        <w:rPr>
          <w:rFonts w:eastAsiaTheme="minorEastAsia" w:cs="Times New Roman"/>
          <w:sz w:val="22"/>
        </w:rPr>
        <w:t xml:space="preserve"> sugges</w:t>
      </w:r>
      <w:r w:rsidR="008D50FB">
        <w:rPr>
          <w:rFonts w:eastAsiaTheme="minorEastAsia" w:cs="Times New Roman"/>
          <w:sz w:val="22"/>
        </w:rPr>
        <w:t>t</w:t>
      </w:r>
      <w:r w:rsidRPr="00CA07C3">
        <w:rPr>
          <w:rFonts w:eastAsiaTheme="minorEastAsia" w:cs="Times New Roman"/>
          <w:sz w:val="22"/>
        </w:rPr>
        <w:t xml:space="preserve"> that firms with high growth</w:t>
      </w:r>
      <w:r w:rsidR="008D50FB">
        <w:rPr>
          <w:rFonts w:eastAsiaTheme="minorEastAsia" w:cs="Times New Roman"/>
          <w:sz w:val="22"/>
        </w:rPr>
        <w:t xml:space="preserve"> (</w:t>
      </w:r>
      <w:r w:rsidR="008D50FB">
        <w:rPr>
          <w:rFonts w:eastAsiaTheme="minorEastAsia" w:cs="Times New Roman"/>
          <w:i/>
          <w:sz w:val="22"/>
        </w:rPr>
        <w:t>GROWTH</w:t>
      </w:r>
      <w:r w:rsidR="008D50FB">
        <w:rPr>
          <w:rFonts w:eastAsiaTheme="minorEastAsia" w:cs="Times New Roman"/>
          <w:sz w:val="22"/>
        </w:rPr>
        <w:t>)</w:t>
      </w:r>
      <w:r w:rsidRPr="00CA07C3">
        <w:rPr>
          <w:rFonts w:eastAsiaTheme="minorEastAsia" w:cs="Times New Roman"/>
          <w:sz w:val="22"/>
        </w:rPr>
        <w:t>, leverage</w:t>
      </w:r>
      <w:r w:rsidR="008D50FB">
        <w:rPr>
          <w:rFonts w:eastAsiaTheme="minorEastAsia" w:cs="Times New Roman"/>
          <w:sz w:val="22"/>
        </w:rPr>
        <w:t xml:space="preserve"> (</w:t>
      </w:r>
      <w:r w:rsidR="008D50FB">
        <w:rPr>
          <w:rFonts w:eastAsiaTheme="minorEastAsia" w:cs="Times New Roman"/>
          <w:i/>
          <w:sz w:val="22"/>
        </w:rPr>
        <w:t>LVRG</w:t>
      </w:r>
      <w:r w:rsidR="008D50FB">
        <w:rPr>
          <w:rFonts w:eastAsiaTheme="minorEastAsia" w:cs="Times New Roman"/>
          <w:sz w:val="22"/>
        </w:rPr>
        <w:t>),</w:t>
      </w:r>
      <w:r w:rsidRPr="00CA07C3">
        <w:rPr>
          <w:rFonts w:eastAsiaTheme="minorEastAsia" w:cs="Times New Roman"/>
          <w:sz w:val="22"/>
        </w:rPr>
        <w:t xml:space="preserve"> profitability</w:t>
      </w:r>
      <w:r w:rsidR="008D50FB">
        <w:rPr>
          <w:rFonts w:eastAsiaTheme="minorEastAsia" w:cs="Times New Roman"/>
          <w:sz w:val="22"/>
        </w:rPr>
        <w:t xml:space="preserve"> (</w:t>
      </w:r>
      <w:r w:rsidR="008D50FB">
        <w:rPr>
          <w:rFonts w:eastAsiaTheme="minorEastAsia" w:cs="Times New Roman"/>
          <w:i/>
          <w:sz w:val="22"/>
        </w:rPr>
        <w:t>ROA</w:t>
      </w:r>
      <w:r w:rsidR="008D50FB">
        <w:rPr>
          <w:rFonts w:eastAsiaTheme="minorEastAsia" w:cs="Times New Roman"/>
          <w:sz w:val="22"/>
        </w:rPr>
        <w:t>)</w:t>
      </w:r>
      <w:r>
        <w:rPr>
          <w:rFonts w:eastAsiaTheme="minorEastAsia" w:cs="Times New Roman"/>
          <w:sz w:val="22"/>
        </w:rPr>
        <w:t xml:space="preserve"> and block ownership</w:t>
      </w:r>
      <w:r w:rsidR="008D50FB">
        <w:rPr>
          <w:rFonts w:eastAsiaTheme="minorEastAsia" w:cs="Times New Roman"/>
          <w:sz w:val="22"/>
        </w:rPr>
        <w:t xml:space="preserve"> (</w:t>
      </w:r>
      <w:r w:rsidR="008D50FB">
        <w:rPr>
          <w:rFonts w:eastAsiaTheme="minorEastAsia" w:cs="Times New Roman"/>
          <w:i/>
          <w:sz w:val="22"/>
        </w:rPr>
        <w:t>BLKOWN</w:t>
      </w:r>
      <w:r w:rsidR="008D50FB">
        <w:rPr>
          <w:rFonts w:eastAsiaTheme="minorEastAsia" w:cs="Times New Roman"/>
          <w:sz w:val="22"/>
        </w:rPr>
        <w:t>)</w:t>
      </w:r>
      <w:r w:rsidRPr="00CA07C3">
        <w:rPr>
          <w:rFonts w:eastAsiaTheme="minorEastAsia" w:cs="Times New Roman"/>
          <w:sz w:val="22"/>
        </w:rPr>
        <w:t xml:space="preserve"> tend to engage significantly more</w:t>
      </w:r>
      <w:r>
        <w:rPr>
          <w:rFonts w:eastAsiaTheme="minorEastAsia" w:cs="Times New Roman"/>
          <w:sz w:val="22"/>
        </w:rPr>
        <w:t xml:space="preserve"> in EM</w:t>
      </w:r>
      <w:r w:rsidRPr="00CA07C3">
        <w:rPr>
          <w:rFonts w:eastAsiaTheme="minorEastAsia" w:cs="Times New Roman"/>
          <w:sz w:val="22"/>
        </w:rPr>
        <w:t xml:space="preserve">, whereas </w:t>
      </w:r>
      <w:r w:rsidR="008D50FB">
        <w:rPr>
          <w:rFonts w:eastAsiaTheme="minorEastAsia" w:cs="Times New Roman"/>
          <w:sz w:val="22"/>
        </w:rPr>
        <w:t xml:space="preserve">those with high </w:t>
      </w:r>
      <w:r>
        <w:rPr>
          <w:rFonts w:eastAsiaTheme="minorEastAsia" w:cs="Times New Roman"/>
          <w:sz w:val="22"/>
        </w:rPr>
        <w:t>government ownership</w:t>
      </w:r>
      <w:r w:rsidR="008D50FB">
        <w:rPr>
          <w:rFonts w:eastAsiaTheme="minorEastAsia" w:cs="Times New Roman"/>
          <w:sz w:val="22"/>
        </w:rPr>
        <w:t xml:space="preserve"> (</w:t>
      </w:r>
      <w:r w:rsidR="008D50FB">
        <w:rPr>
          <w:rFonts w:eastAsiaTheme="minorEastAsia" w:cs="Times New Roman"/>
          <w:i/>
          <w:sz w:val="22"/>
        </w:rPr>
        <w:t>GOVOWN</w:t>
      </w:r>
      <w:r w:rsidR="008D50FB">
        <w:rPr>
          <w:rFonts w:eastAsiaTheme="minorEastAsia" w:cs="Times New Roman"/>
          <w:sz w:val="22"/>
        </w:rPr>
        <w:t>)</w:t>
      </w:r>
      <w:r>
        <w:rPr>
          <w:rFonts w:eastAsiaTheme="minorEastAsia" w:cs="Times New Roman"/>
          <w:sz w:val="22"/>
        </w:rPr>
        <w:t xml:space="preserve"> and institutional ownership</w:t>
      </w:r>
      <w:r w:rsidR="008D50FB">
        <w:rPr>
          <w:rFonts w:eastAsiaTheme="minorEastAsia" w:cs="Times New Roman"/>
          <w:sz w:val="22"/>
        </w:rPr>
        <w:t xml:space="preserve"> (</w:t>
      </w:r>
      <w:r w:rsidR="008D50FB">
        <w:rPr>
          <w:rFonts w:eastAsiaTheme="minorEastAsia" w:cs="Times New Roman"/>
          <w:i/>
          <w:sz w:val="22"/>
        </w:rPr>
        <w:t>INSOWN</w:t>
      </w:r>
      <w:r w:rsidR="008D50FB">
        <w:rPr>
          <w:rFonts w:eastAsiaTheme="minorEastAsia" w:cs="Times New Roman"/>
          <w:sz w:val="22"/>
        </w:rPr>
        <w:t>)</w:t>
      </w:r>
      <w:r>
        <w:rPr>
          <w:rFonts w:eastAsiaTheme="minorEastAsia" w:cs="Times New Roman"/>
          <w:sz w:val="22"/>
        </w:rPr>
        <w:t xml:space="preserve"> </w:t>
      </w:r>
      <w:r w:rsidRPr="00CA07C3">
        <w:rPr>
          <w:rFonts w:eastAsiaTheme="minorEastAsia" w:cs="Times New Roman"/>
          <w:sz w:val="22"/>
        </w:rPr>
        <w:t>t</w:t>
      </w:r>
      <w:r w:rsidR="00321DB3">
        <w:rPr>
          <w:rFonts w:eastAsiaTheme="minorEastAsia" w:cs="Times New Roman"/>
          <w:sz w:val="22"/>
        </w:rPr>
        <w:t>end to engage significantly less</w:t>
      </w:r>
      <w:r w:rsidRPr="00CA07C3">
        <w:rPr>
          <w:rFonts w:eastAsiaTheme="minorEastAsia" w:cs="Times New Roman"/>
          <w:sz w:val="22"/>
        </w:rPr>
        <w:t xml:space="preserve"> in EM</w:t>
      </w:r>
      <w:r w:rsidR="008527D2">
        <w:rPr>
          <w:rFonts w:eastAsiaTheme="minorEastAsia" w:cs="Times New Roman"/>
          <w:sz w:val="22"/>
        </w:rPr>
        <w:t>, and thereby offering additional new insights and contributions regarding the effect of CG, ownership and other firm-specific variables on the extent of corporate EM.</w:t>
      </w:r>
    </w:p>
    <w:p w:rsidR="00CC2369" w:rsidRDefault="0000328A" w:rsidP="0000328A">
      <w:pPr>
        <w:spacing w:line="360" w:lineRule="auto"/>
        <w:ind w:firstLine="720"/>
        <w:jc w:val="both"/>
        <w:rPr>
          <w:rFonts w:cs="Times New Roman"/>
          <w:sz w:val="22"/>
        </w:rPr>
      </w:pPr>
      <w:r>
        <w:rPr>
          <w:sz w:val="23"/>
          <w:szCs w:val="23"/>
        </w:rPr>
        <w:t xml:space="preserve">Furthermore, </w:t>
      </w:r>
      <w:r w:rsidR="00064F33">
        <w:rPr>
          <w:sz w:val="23"/>
          <w:szCs w:val="23"/>
        </w:rPr>
        <w:t xml:space="preserve">Models 2 to 4 present the effect </w:t>
      </w:r>
      <w:r w:rsidR="00B7255C">
        <w:rPr>
          <w:sz w:val="23"/>
          <w:szCs w:val="23"/>
        </w:rPr>
        <w:t>of</w:t>
      </w:r>
      <w:r w:rsidR="00064F33">
        <w:rPr>
          <w:sz w:val="23"/>
          <w:szCs w:val="23"/>
        </w:rPr>
        <w:t xml:space="preserve"> each group of variables on EM.</w:t>
      </w:r>
      <w:r w:rsidR="00064F33">
        <w:rPr>
          <w:rFonts w:eastAsiaTheme="minorEastAsia" w:cs="Times New Roman"/>
          <w:sz w:val="22"/>
        </w:rPr>
        <w:t xml:space="preserve"> </w:t>
      </w:r>
      <w:r w:rsidR="00F26ADF">
        <w:rPr>
          <w:rFonts w:eastAsiaTheme="minorEastAsia" w:cs="Times New Roman"/>
          <w:sz w:val="22"/>
        </w:rPr>
        <w:t>I</w:t>
      </w:r>
      <w:r w:rsidR="00533AAB" w:rsidRPr="00CA07C3">
        <w:rPr>
          <w:rFonts w:eastAsiaTheme="minorEastAsia" w:cs="Times New Roman"/>
          <w:sz w:val="22"/>
        </w:rPr>
        <w:t xml:space="preserve">n </w:t>
      </w:r>
      <w:r>
        <w:rPr>
          <w:rFonts w:eastAsiaTheme="minorEastAsia" w:cs="Times New Roman"/>
          <w:sz w:val="22"/>
        </w:rPr>
        <w:t>doing so,</w:t>
      </w:r>
      <w:r w:rsidR="00533AAB" w:rsidRPr="00CA07C3">
        <w:rPr>
          <w:rFonts w:cs="Times New Roman"/>
          <w:sz w:val="22"/>
        </w:rPr>
        <w:t xml:space="preserve"> only the effect of </w:t>
      </w:r>
      <w:r w:rsidR="00B7255C">
        <w:rPr>
          <w:rFonts w:cs="Times New Roman"/>
          <w:sz w:val="22"/>
        </w:rPr>
        <w:t xml:space="preserve">the </w:t>
      </w:r>
      <w:r w:rsidR="00533AAB" w:rsidRPr="00CA07C3">
        <w:rPr>
          <w:rFonts w:cs="Times New Roman"/>
          <w:i/>
          <w:sz w:val="22"/>
        </w:rPr>
        <w:t>OCGI</w:t>
      </w:r>
      <w:r w:rsidR="00533AAB" w:rsidRPr="00CA07C3">
        <w:rPr>
          <w:rFonts w:cs="Times New Roman"/>
          <w:sz w:val="22"/>
        </w:rPr>
        <w:t xml:space="preserve"> as an i</w:t>
      </w:r>
      <w:r w:rsidR="00F26ADF">
        <w:rPr>
          <w:rFonts w:cs="Times New Roman"/>
          <w:sz w:val="22"/>
        </w:rPr>
        <w:t>ntegrated system on EM</w:t>
      </w:r>
      <w:r>
        <w:rPr>
          <w:rFonts w:cs="Times New Roman"/>
          <w:sz w:val="22"/>
        </w:rPr>
        <w:t xml:space="preserve"> </w:t>
      </w:r>
      <w:r w:rsidR="00533AAB" w:rsidRPr="00CA07C3">
        <w:rPr>
          <w:rFonts w:cs="Times New Roman"/>
          <w:sz w:val="22"/>
        </w:rPr>
        <w:t xml:space="preserve">in addition to control variables are included in </w:t>
      </w:r>
      <w:r w:rsidR="00964A88" w:rsidRPr="00CA07C3">
        <w:rPr>
          <w:rFonts w:cs="Times New Roman"/>
          <w:sz w:val="22"/>
        </w:rPr>
        <w:t>M</w:t>
      </w:r>
      <w:r w:rsidR="00533AAB" w:rsidRPr="00CA07C3">
        <w:rPr>
          <w:rFonts w:cs="Times New Roman"/>
          <w:sz w:val="22"/>
        </w:rPr>
        <w:t>odel 2 as reported by Column</w:t>
      </w:r>
      <w:r w:rsidR="00856157" w:rsidRPr="00CA07C3">
        <w:rPr>
          <w:rFonts w:cs="Times New Roman"/>
          <w:sz w:val="22"/>
        </w:rPr>
        <w:t>s</w:t>
      </w:r>
      <w:r w:rsidR="00533AAB" w:rsidRPr="00CA07C3">
        <w:rPr>
          <w:rFonts w:cs="Times New Roman"/>
          <w:sz w:val="22"/>
        </w:rPr>
        <w:t xml:space="preserve"> 4</w:t>
      </w:r>
      <w:r w:rsidR="00964A88" w:rsidRPr="00CA07C3">
        <w:rPr>
          <w:rFonts w:cs="Times New Roman"/>
          <w:sz w:val="22"/>
        </w:rPr>
        <w:t xml:space="preserve"> </w:t>
      </w:r>
      <w:r w:rsidR="00856157" w:rsidRPr="00CA07C3">
        <w:rPr>
          <w:rFonts w:cs="Times New Roman"/>
          <w:sz w:val="22"/>
        </w:rPr>
        <w:t xml:space="preserve">and 5 </w:t>
      </w:r>
      <w:r w:rsidR="00533AAB" w:rsidRPr="00CA07C3">
        <w:rPr>
          <w:rFonts w:cs="Times New Roman"/>
          <w:sz w:val="22"/>
        </w:rPr>
        <w:t xml:space="preserve">of Table 6. </w:t>
      </w:r>
      <w:r w:rsidR="00EB3334" w:rsidRPr="00CA07C3">
        <w:rPr>
          <w:rFonts w:cs="Times New Roman"/>
          <w:sz w:val="22"/>
        </w:rPr>
        <w:t>We f</w:t>
      </w:r>
      <w:r w:rsidR="00B7255C">
        <w:rPr>
          <w:rFonts w:cs="Times New Roman"/>
          <w:sz w:val="22"/>
        </w:rPr>
        <w:t>in</w:t>
      </w:r>
      <w:r w:rsidR="00EB3334" w:rsidRPr="00CA07C3">
        <w:rPr>
          <w:rFonts w:cs="Times New Roman"/>
          <w:sz w:val="22"/>
        </w:rPr>
        <w:t xml:space="preserve">d similar findings to those reported in </w:t>
      </w:r>
      <w:r w:rsidR="00964A88" w:rsidRPr="00CA07C3">
        <w:rPr>
          <w:rFonts w:cs="Times New Roman"/>
          <w:sz w:val="22"/>
        </w:rPr>
        <w:t>the main M</w:t>
      </w:r>
      <w:r w:rsidR="00EB3334" w:rsidRPr="00CA07C3">
        <w:rPr>
          <w:rFonts w:cs="Times New Roman"/>
          <w:sz w:val="22"/>
        </w:rPr>
        <w:t xml:space="preserve">odel indicating </w:t>
      </w:r>
      <w:r w:rsidR="00B7255C">
        <w:rPr>
          <w:rFonts w:cs="Times New Roman"/>
          <w:sz w:val="22"/>
        </w:rPr>
        <w:t xml:space="preserve">that the </w:t>
      </w:r>
      <w:r w:rsidR="00EB3334" w:rsidRPr="00CA07C3">
        <w:rPr>
          <w:rFonts w:cs="Times New Roman"/>
          <w:i/>
          <w:iCs/>
          <w:sz w:val="22"/>
        </w:rPr>
        <w:t>OCGI</w:t>
      </w:r>
      <w:r w:rsidR="00EB3334" w:rsidRPr="00CA07C3">
        <w:rPr>
          <w:rFonts w:cs="Times New Roman"/>
          <w:sz w:val="22"/>
        </w:rPr>
        <w:t xml:space="preserve"> is </w:t>
      </w:r>
      <w:r w:rsidR="00E80CB3">
        <w:rPr>
          <w:rFonts w:cs="Times New Roman"/>
          <w:sz w:val="22"/>
        </w:rPr>
        <w:t xml:space="preserve">statistically </w:t>
      </w:r>
      <w:r w:rsidR="00EB3334" w:rsidRPr="00CA07C3">
        <w:rPr>
          <w:rFonts w:cs="Times New Roman"/>
          <w:sz w:val="22"/>
        </w:rPr>
        <w:t xml:space="preserve">significant and negatively associated with </w:t>
      </w:r>
      <w:r w:rsidR="00EB3334" w:rsidRPr="00CA07C3">
        <w:rPr>
          <w:rFonts w:cs="Times New Roman"/>
          <w:i/>
          <w:iCs/>
          <w:sz w:val="22"/>
        </w:rPr>
        <w:t>DA</w:t>
      </w:r>
      <w:r w:rsidR="00F26ADF">
        <w:rPr>
          <w:rFonts w:cs="Times New Roman"/>
          <w:sz w:val="22"/>
        </w:rPr>
        <w:t xml:space="preserve"> at </w:t>
      </w:r>
      <w:r w:rsidR="00B7255C">
        <w:rPr>
          <w:rFonts w:cs="Times New Roman"/>
          <w:sz w:val="22"/>
        </w:rPr>
        <w:t xml:space="preserve">the </w:t>
      </w:r>
      <w:r w:rsidR="00F26ADF">
        <w:rPr>
          <w:rFonts w:cs="Times New Roman"/>
          <w:sz w:val="22"/>
        </w:rPr>
        <w:t>10</w:t>
      </w:r>
      <w:r w:rsidR="00964A88" w:rsidRPr="00CA07C3">
        <w:rPr>
          <w:rFonts w:cs="Times New Roman"/>
          <w:sz w:val="22"/>
        </w:rPr>
        <w:t>% level of significance</w:t>
      </w:r>
      <w:r w:rsidR="00E80CB3">
        <w:rPr>
          <w:rFonts w:cs="Times New Roman"/>
          <w:sz w:val="22"/>
        </w:rPr>
        <w:t xml:space="preserve">. Discernibly, the </w:t>
      </w:r>
      <w:r w:rsidR="00EB3334" w:rsidRPr="00CA07C3">
        <w:rPr>
          <w:rFonts w:cs="Times New Roman"/>
          <w:sz w:val="22"/>
        </w:rPr>
        <w:t>control variables</w:t>
      </w:r>
      <w:r w:rsidR="00E80CB3">
        <w:rPr>
          <w:rFonts w:cs="Times New Roman"/>
          <w:sz w:val="22"/>
        </w:rPr>
        <w:t xml:space="preserve"> also</w:t>
      </w:r>
      <w:r w:rsidR="00EB3334" w:rsidRPr="00CA07C3">
        <w:rPr>
          <w:rFonts w:cs="Times New Roman"/>
          <w:sz w:val="22"/>
        </w:rPr>
        <w:t xml:space="preserve"> show significant relationships with </w:t>
      </w:r>
      <w:r w:rsidR="00EB3334" w:rsidRPr="00F06789">
        <w:rPr>
          <w:rFonts w:cs="Times New Roman"/>
          <w:i/>
          <w:iCs/>
          <w:sz w:val="22"/>
        </w:rPr>
        <w:t>DA</w:t>
      </w:r>
      <w:r w:rsidR="00EB3334" w:rsidRPr="00CA07C3">
        <w:rPr>
          <w:rFonts w:cs="Times New Roman"/>
          <w:sz w:val="22"/>
        </w:rPr>
        <w:t xml:space="preserve">. </w:t>
      </w:r>
      <w:r w:rsidR="00571802" w:rsidRPr="00CA07C3">
        <w:rPr>
          <w:rFonts w:cs="Times New Roman"/>
          <w:sz w:val="22"/>
        </w:rPr>
        <w:t>In addition,</w:t>
      </w:r>
      <w:r w:rsidR="0064089B" w:rsidRPr="00CA07C3">
        <w:rPr>
          <w:rFonts w:cs="Times New Roman"/>
          <w:sz w:val="22"/>
        </w:rPr>
        <w:t xml:space="preserve"> to examine the effect of </w:t>
      </w:r>
      <w:r w:rsidR="00B7255C">
        <w:rPr>
          <w:rFonts w:cs="Times New Roman"/>
          <w:sz w:val="22"/>
        </w:rPr>
        <w:t xml:space="preserve">the </w:t>
      </w:r>
      <w:r w:rsidR="00BB565D">
        <w:rPr>
          <w:rFonts w:cs="Times New Roman"/>
          <w:i/>
          <w:iCs/>
          <w:sz w:val="22"/>
        </w:rPr>
        <w:t>I</w:t>
      </w:r>
      <w:r w:rsidR="00F26ADF" w:rsidRPr="00437571">
        <w:rPr>
          <w:rFonts w:cs="Times New Roman"/>
          <w:i/>
          <w:iCs/>
          <w:sz w:val="22"/>
        </w:rPr>
        <w:t>GC</w:t>
      </w:r>
      <w:r w:rsidR="00F26ADF" w:rsidRPr="00CA07C3">
        <w:rPr>
          <w:rFonts w:cs="Times New Roman"/>
          <w:sz w:val="22"/>
        </w:rPr>
        <w:t xml:space="preserve"> </w:t>
      </w:r>
      <w:r w:rsidR="0064089B" w:rsidRPr="00CA07C3">
        <w:rPr>
          <w:rFonts w:cs="Times New Roman"/>
          <w:sz w:val="22"/>
        </w:rPr>
        <w:t>separate</w:t>
      </w:r>
      <w:r w:rsidR="00E80CB3">
        <w:rPr>
          <w:rFonts w:cs="Times New Roman"/>
          <w:sz w:val="22"/>
        </w:rPr>
        <w:t>ly</w:t>
      </w:r>
      <w:r w:rsidR="0064089B" w:rsidRPr="00CA07C3">
        <w:rPr>
          <w:rFonts w:cs="Times New Roman"/>
          <w:sz w:val="22"/>
        </w:rPr>
        <w:t xml:space="preserve"> from </w:t>
      </w:r>
      <w:r w:rsidR="00E80CB3">
        <w:rPr>
          <w:rFonts w:cs="Times New Roman"/>
          <w:sz w:val="22"/>
        </w:rPr>
        <w:t xml:space="preserve">the </w:t>
      </w:r>
      <w:r w:rsidR="0064089B" w:rsidRPr="00CA07C3">
        <w:rPr>
          <w:rFonts w:cs="Times New Roman"/>
          <w:sz w:val="22"/>
        </w:rPr>
        <w:t xml:space="preserve">other explanatory variables, Column </w:t>
      </w:r>
      <w:r w:rsidR="00964A88" w:rsidRPr="00CA07C3">
        <w:rPr>
          <w:rFonts w:cs="Times New Roman"/>
          <w:sz w:val="22"/>
        </w:rPr>
        <w:t>6 and 7</w:t>
      </w:r>
      <w:r w:rsidR="0064089B" w:rsidRPr="00CA07C3">
        <w:rPr>
          <w:rFonts w:cs="Times New Roman"/>
          <w:sz w:val="22"/>
        </w:rPr>
        <w:t xml:space="preserve"> of Table 6 rep</w:t>
      </w:r>
      <w:r w:rsidR="00E80CB3">
        <w:rPr>
          <w:rFonts w:cs="Times New Roman"/>
          <w:sz w:val="22"/>
        </w:rPr>
        <w:t>eat</w:t>
      </w:r>
      <w:r w:rsidR="0064089B" w:rsidRPr="00CA07C3">
        <w:rPr>
          <w:rFonts w:cs="Times New Roman"/>
          <w:sz w:val="22"/>
        </w:rPr>
        <w:t xml:space="preserve"> </w:t>
      </w:r>
      <w:r w:rsidR="00964A88" w:rsidRPr="00CA07C3">
        <w:rPr>
          <w:rFonts w:cs="Times New Roman"/>
          <w:sz w:val="22"/>
        </w:rPr>
        <w:t>M</w:t>
      </w:r>
      <w:r w:rsidR="0064089B" w:rsidRPr="00CA07C3">
        <w:rPr>
          <w:rFonts w:cs="Times New Roman"/>
          <w:sz w:val="22"/>
        </w:rPr>
        <w:t xml:space="preserve">odel 3 findings of multivariate regression of </w:t>
      </w:r>
      <w:r w:rsidR="0064089B" w:rsidRPr="00CA07C3">
        <w:rPr>
          <w:rFonts w:cs="Times New Roman"/>
          <w:i/>
          <w:sz w:val="22"/>
        </w:rPr>
        <w:t>DA</w:t>
      </w:r>
      <w:r w:rsidR="0064089B" w:rsidRPr="00CA07C3">
        <w:rPr>
          <w:rFonts w:cs="Times New Roman"/>
          <w:sz w:val="22"/>
        </w:rPr>
        <w:t xml:space="preserve"> on </w:t>
      </w:r>
      <w:r w:rsidR="00E80CB3">
        <w:rPr>
          <w:rFonts w:cs="Times New Roman"/>
          <w:sz w:val="22"/>
        </w:rPr>
        <w:t xml:space="preserve">the </w:t>
      </w:r>
      <w:r w:rsidR="00E80CB3">
        <w:rPr>
          <w:rFonts w:cs="Times New Roman"/>
          <w:i/>
          <w:iCs/>
          <w:sz w:val="22"/>
        </w:rPr>
        <w:t>I</w:t>
      </w:r>
      <w:r w:rsidR="00F26ADF" w:rsidRPr="00437571">
        <w:rPr>
          <w:rFonts w:cs="Times New Roman"/>
          <w:i/>
          <w:iCs/>
          <w:sz w:val="22"/>
        </w:rPr>
        <w:t>GC</w:t>
      </w:r>
      <w:r w:rsidR="0064089B" w:rsidRPr="00CA07C3">
        <w:rPr>
          <w:rFonts w:cs="Times New Roman"/>
          <w:sz w:val="22"/>
        </w:rPr>
        <w:t xml:space="preserve"> and control variables</w:t>
      </w:r>
      <w:r w:rsidR="006079DA">
        <w:rPr>
          <w:rFonts w:cs="Times New Roman"/>
          <w:sz w:val="22"/>
        </w:rPr>
        <w:t xml:space="preserve"> with the findings contained in Colums 6 and 7 of Table 6 indicating</w:t>
      </w:r>
      <w:r w:rsidR="0064089B" w:rsidRPr="00CA07C3">
        <w:rPr>
          <w:rFonts w:cs="Times New Roman"/>
          <w:sz w:val="22"/>
        </w:rPr>
        <w:t xml:space="preserve"> that all </w:t>
      </w:r>
      <w:r w:rsidR="006079DA">
        <w:rPr>
          <w:rFonts w:cs="Times New Roman"/>
          <w:sz w:val="22"/>
        </w:rPr>
        <w:t xml:space="preserve">the </w:t>
      </w:r>
      <w:r w:rsidR="0064089B" w:rsidRPr="00CA07C3">
        <w:rPr>
          <w:rFonts w:cs="Times New Roman"/>
          <w:sz w:val="22"/>
        </w:rPr>
        <w:t>variables remain statistically</w:t>
      </w:r>
      <w:r w:rsidR="00211136" w:rsidRPr="00CA07C3">
        <w:rPr>
          <w:rFonts w:cs="Times New Roman"/>
          <w:sz w:val="22"/>
        </w:rPr>
        <w:t xml:space="preserve"> significant</w:t>
      </w:r>
      <w:r w:rsidR="00F26ADF">
        <w:rPr>
          <w:rFonts w:cs="Times New Roman"/>
          <w:sz w:val="22"/>
        </w:rPr>
        <w:t>.</w:t>
      </w:r>
      <w:r w:rsidR="0064089B" w:rsidRPr="00CA07C3">
        <w:rPr>
          <w:rFonts w:cs="Times New Roman"/>
          <w:sz w:val="22"/>
        </w:rPr>
        <w:t xml:space="preserve"> </w:t>
      </w:r>
      <w:r w:rsidR="006079DA">
        <w:rPr>
          <w:rFonts w:cs="Times New Roman"/>
          <w:sz w:val="22"/>
        </w:rPr>
        <w:t xml:space="preserve">Thus, our evidence that the presence of </w:t>
      </w:r>
      <w:r w:rsidR="00B7255C">
        <w:rPr>
          <w:rFonts w:cs="Times New Roman"/>
          <w:sz w:val="22"/>
        </w:rPr>
        <w:t xml:space="preserve">an </w:t>
      </w:r>
      <w:r w:rsidR="006079DA">
        <w:rPr>
          <w:rFonts w:cs="Times New Roman"/>
          <w:sz w:val="22"/>
        </w:rPr>
        <w:t xml:space="preserve">IG committee tend </w:t>
      </w:r>
      <w:r w:rsidR="00B7255C">
        <w:rPr>
          <w:rFonts w:cs="Times New Roman"/>
          <w:sz w:val="22"/>
        </w:rPr>
        <w:t xml:space="preserve">to </w:t>
      </w:r>
      <w:r w:rsidR="006079DA">
        <w:rPr>
          <w:rFonts w:cs="Times New Roman"/>
          <w:sz w:val="22"/>
        </w:rPr>
        <w:t xml:space="preserve">constrain the extent of EM is robust to the inclusion of the other control variables. </w:t>
      </w:r>
      <w:r w:rsidR="00F26ADF">
        <w:rPr>
          <w:rFonts w:cs="Times New Roman"/>
          <w:sz w:val="22"/>
        </w:rPr>
        <w:t xml:space="preserve">Similarly, </w:t>
      </w:r>
      <w:r w:rsidR="006079DA">
        <w:rPr>
          <w:rFonts w:cs="Times New Roman"/>
          <w:sz w:val="22"/>
        </w:rPr>
        <w:t>the other CG variables (</w:t>
      </w:r>
      <w:r w:rsidR="006079DA">
        <w:rPr>
          <w:rFonts w:cs="Times New Roman"/>
          <w:i/>
          <w:sz w:val="22"/>
        </w:rPr>
        <w:t xml:space="preserve">BSIZE, BIG4, CGCOM </w:t>
      </w:r>
      <w:r w:rsidR="006079DA">
        <w:rPr>
          <w:rFonts w:cs="Times New Roman"/>
          <w:sz w:val="22"/>
        </w:rPr>
        <w:t xml:space="preserve">and </w:t>
      </w:r>
      <w:r w:rsidR="006079DA">
        <w:rPr>
          <w:rFonts w:cs="Times New Roman"/>
          <w:i/>
          <w:sz w:val="22"/>
        </w:rPr>
        <w:t>GNDR)</w:t>
      </w:r>
      <w:r w:rsidR="00F26ADF">
        <w:rPr>
          <w:rFonts w:cs="Times New Roman"/>
          <w:sz w:val="22"/>
        </w:rPr>
        <w:t xml:space="preserve"> </w:t>
      </w:r>
      <w:r w:rsidR="002158D2">
        <w:rPr>
          <w:rFonts w:cs="Times New Roman"/>
          <w:sz w:val="22"/>
        </w:rPr>
        <w:t xml:space="preserve">along with </w:t>
      </w:r>
      <w:r w:rsidR="00B7255C">
        <w:rPr>
          <w:rFonts w:cs="Times New Roman"/>
          <w:sz w:val="22"/>
        </w:rPr>
        <w:t xml:space="preserve">the </w:t>
      </w:r>
      <w:r w:rsidR="002158D2">
        <w:rPr>
          <w:rFonts w:cs="Times New Roman"/>
          <w:sz w:val="22"/>
        </w:rPr>
        <w:t>control variables were examined separate</w:t>
      </w:r>
      <w:r w:rsidR="006079DA">
        <w:rPr>
          <w:rFonts w:cs="Times New Roman"/>
          <w:sz w:val="22"/>
        </w:rPr>
        <w:t>ly</w:t>
      </w:r>
      <w:r w:rsidR="002158D2">
        <w:rPr>
          <w:rFonts w:cs="Times New Roman"/>
          <w:sz w:val="22"/>
        </w:rPr>
        <w:t xml:space="preserve"> from</w:t>
      </w:r>
      <w:r w:rsidR="006079DA">
        <w:rPr>
          <w:rFonts w:cs="Times New Roman"/>
          <w:sz w:val="22"/>
        </w:rPr>
        <w:t xml:space="preserve"> the</w:t>
      </w:r>
      <w:r w:rsidR="002158D2">
        <w:rPr>
          <w:rFonts w:cs="Times New Roman"/>
          <w:sz w:val="22"/>
        </w:rPr>
        <w:t xml:space="preserve"> </w:t>
      </w:r>
      <w:r w:rsidR="002158D2" w:rsidRPr="002158D2">
        <w:rPr>
          <w:rFonts w:cs="Times New Roman"/>
          <w:i/>
          <w:iCs/>
          <w:sz w:val="22"/>
        </w:rPr>
        <w:t>OCGI</w:t>
      </w:r>
      <w:r w:rsidR="002158D2">
        <w:rPr>
          <w:rFonts w:cs="Times New Roman"/>
          <w:sz w:val="22"/>
        </w:rPr>
        <w:t xml:space="preserve"> and </w:t>
      </w:r>
      <w:r w:rsidR="00BB565D">
        <w:rPr>
          <w:rFonts w:cs="Times New Roman"/>
          <w:i/>
          <w:iCs/>
          <w:sz w:val="22"/>
        </w:rPr>
        <w:t>I</w:t>
      </w:r>
      <w:r w:rsidR="002158D2" w:rsidRPr="002158D2">
        <w:rPr>
          <w:rFonts w:cs="Times New Roman"/>
          <w:i/>
          <w:iCs/>
          <w:sz w:val="22"/>
        </w:rPr>
        <w:t>GC</w:t>
      </w:r>
      <w:r w:rsidR="002158D2">
        <w:rPr>
          <w:rFonts w:cs="Times New Roman"/>
          <w:sz w:val="22"/>
        </w:rPr>
        <w:t xml:space="preserve"> </w:t>
      </w:r>
      <w:r w:rsidR="006079DA">
        <w:rPr>
          <w:rFonts w:cs="Times New Roman"/>
          <w:sz w:val="22"/>
        </w:rPr>
        <w:t xml:space="preserve">in order </w:t>
      </w:r>
      <w:r w:rsidR="002158D2">
        <w:rPr>
          <w:rFonts w:cs="Times New Roman"/>
          <w:sz w:val="22"/>
        </w:rPr>
        <w:t xml:space="preserve">to observe their impact on EM. The findings </w:t>
      </w:r>
      <w:r w:rsidR="00CC2369">
        <w:rPr>
          <w:rFonts w:cs="Times New Roman"/>
          <w:sz w:val="22"/>
        </w:rPr>
        <w:t xml:space="preserve">of this analysis that are also largely consistent with those contained in the main model </w:t>
      </w:r>
      <w:r w:rsidR="002158D2">
        <w:rPr>
          <w:rFonts w:cs="Times New Roman"/>
          <w:sz w:val="22"/>
        </w:rPr>
        <w:t xml:space="preserve">are reported in </w:t>
      </w:r>
      <w:r w:rsidR="002158D2" w:rsidRPr="00CA07C3">
        <w:rPr>
          <w:rFonts w:cs="Times New Roman"/>
          <w:sz w:val="22"/>
        </w:rPr>
        <w:t>Column</w:t>
      </w:r>
      <w:r w:rsidR="00CC2369">
        <w:rPr>
          <w:rFonts w:cs="Times New Roman"/>
          <w:sz w:val="22"/>
        </w:rPr>
        <w:t>s</w:t>
      </w:r>
      <w:r w:rsidR="002158D2" w:rsidRPr="00CA07C3">
        <w:rPr>
          <w:rFonts w:cs="Times New Roman"/>
          <w:sz w:val="22"/>
        </w:rPr>
        <w:t xml:space="preserve"> </w:t>
      </w:r>
      <w:r w:rsidR="002158D2">
        <w:rPr>
          <w:rFonts w:cs="Times New Roman"/>
          <w:sz w:val="22"/>
        </w:rPr>
        <w:t>8</w:t>
      </w:r>
      <w:r w:rsidR="002158D2" w:rsidRPr="00CA07C3">
        <w:rPr>
          <w:rFonts w:cs="Times New Roman"/>
          <w:sz w:val="22"/>
        </w:rPr>
        <w:t xml:space="preserve"> and </w:t>
      </w:r>
      <w:r w:rsidR="002158D2">
        <w:rPr>
          <w:rFonts w:cs="Times New Roman"/>
          <w:sz w:val="22"/>
        </w:rPr>
        <w:t>9</w:t>
      </w:r>
      <w:r w:rsidR="002158D2" w:rsidRPr="00CA07C3">
        <w:rPr>
          <w:rFonts w:cs="Times New Roman"/>
          <w:sz w:val="22"/>
        </w:rPr>
        <w:t xml:space="preserve"> of Table 6</w:t>
      </w:r>
      <w:r w:rsidR="00CC2369">
        <w:rPr>
          <w:rFonts w:cs="Times New Roman"/>
          <w:sz w:val="22"/>
        </w:rPr>
        <w:t>.</w:t>
      </w:r>
    </w:p>
    <w:p w:rsidR="00EF43E7" w:rsidRPr="00CA07C3" w:rsidRDefault="00571802" w:rsidP="0000328A">
      <w:pPr>
        <w:spacing w:line="360" w:lineRule="auto"/>
        <w:ind w:firstLine="720"/>
        <w:jc w:val="both"/>
        <w:rPr>
          <w:rFonts w:cs="Times New Roman"/>
          <w:sz w:val="22"/>
        </w:rPr>
      </w:pPr>
      <w:r w:rsidRPr="00CA07C3">
        <w:rPr>
          <w:rFonts w:cs="Times New Roman"/>
          <w:sz w:val="22"/>
        </w:rPr>
        <w:t>Moreover</w:t>
      </w:r>
      <w:r w:rsidR="0074006F" w:rsidRPr="00CA07C3">
        <w:rPr>
          <w:rFonts w:cs="Times New Roman"/>
          <w:sz w:val="22"/>
        </w:rPr>
        <w:t xml:space="preserve">, </w:t>
      </w:r>
      <w:r w:rsidR="008C0F99" w:rsidRPr="00CA07C3">
        <w:rPr>
          <w:rFonts w:cs="Times New Roman"/>
          <w:sz w:val="22"/>
        </w:rPr>
        <w:t xml:space="preserve">in order to investigate which </w:t>
      </w:r>
      <w:r w:rsidR="00E37F44">
        <w:rPr>
          <w:rFonts w:cs="Times New Roman"/>
          <w:sz w:val="22"/>
        </w:rPr>
        <w:t xml:space="preserve">of </w:t>
      </w:r>
      <w:r w:rsidR="008C0F99" w:rsidRPr="00CA07C3">
        <w:rPr>
          <w:rFonts w:cs="Times New Roman"/>
          <w:sz w:val="22"/>
        </w:rPr>
        <w:t xml:space="preserve">the four </w:t>
      </w:r>
      <w:r w:rsidR="00CB6848" w:rsidRPr="00CA07C3">
        <w:rPr>
          <w:rFonts w:cs="Times New Roman"/>
          <w:sz w:val="22"/>
        </w:rPr>
        <w:t xml:space="preserve">sub-indies </w:t>
      </w:r>
      <w:r w:rsidR="008C0F99" w:rsidRPr="00CA07C3">
        <w:rPr>
          <w:rFonts w:cs="Times New Roman"/>
          <w:sz w:val="22"/>
        </w:rPr>
        <w:t xml:space="preserve">contributes more to </w:t>
      </w:r>
      <w:r w:rsidR="008C0F99" w:rsidRPr="00CA07C3">
        <w:rPr>
          <w:rFonts w:cs="Times New Roman"/>
          <w:i/>
          <w:sz w:val="22"/>
        </w:rPr>
        <w:t>DA</w:t>
      </w:r>
      <w:r w:rsidR="008C0F99" w:rsidRPr="00CA07C3">
        <w:rPr>
          <w:rFonts w:cs="Times New Roman"/>
          <w:sz w:val="22"/>
        </w:rPr>
        <w:t xml:space="preserve">, we re-regress equation (1) by replacing </w:t>
      </w:r>
      <w:r w:rsidR="00CC2369">
        <w:rPr>
          <w:rFonts w:cs="Times New Roman"/>
          <w:sz w:val="22"/>
        </w:rPr>
        <w:t xml:space="preserve">the </w:t>
      </w:r>
      <w:r w:rsidR="008C0F99" w:rsidRPr="00CA07C3">
        <w:rPr>
          <w:rFonts w:cs="Times New Roman"/>
          <w:i/>
          <w:sz w:val="22"/>
        </w:rPr>
        <w:t>OCGI</w:t>
      </w:r>
      <w:r w:rsidR="008C0F99" w:rsidRPr="00CA07C3">
        <w:rPr>
          <w:rFonts w:cs="Times New Roman"/>
          <w:sz w:val="22"/>
        </w:rPr>
        <w:t xml:space="preserve"> with each </w:t>
      </w:r>
      <w:r w:rsidR="00CB6848" w:rsidRPr="00CA07C3">
        <w:rPr>
          <w:rFonts w:cs="Times New Roman"/>
          <w:sz w:val="22"/>
        </w:rPr>
        <w:t>sub-index</w:t>
      </w:r>
      <w:r w:rsidR="008C0F99" w:rsidRPr="00CA07C3">
        <w:rPr>
          <w:rFonts w:cs="Times New Roman"/>
          <w:sz w:val="22"/>
        </w:rPr>
        <w:t xml:space="preserve"> one at a time. </w:t>
      </w:r>
      <w:r w:rsidR="00867571" w:rsidRPr="00CA07C3">
        <w:rPr>
          <w:rFonts w:cs="Times New Roman"/>
          <w:sz w:val="22"/>
        </w:rPr>
        <w:t xml:space="preserve">Statistically significant and negative effect of board and directors,  </w:t>
      </w:r>
      <w:r w:rsidR="00F13F4F" w:rsidRPr="00CA07C3">
        <w:rPr>
          <w:rFonts w:cs="Times New Roman"/>
          <w:sz w:val="22"/>
        </w:rPr>
        <w:t xml:space="preserve">and </w:t>
      </w:r>
      <w:r w:rsidR="00867571" w:rsidRPr="00CA07C3">
        <w:rPr>
          <w:rFonts w:cs="Times New Roman"/>
          <w:sz w:val="22"/>
        </w:rPr>
        <w:t xml:space="preserve">accounting and auditing on </w:t>
      </w:r>
      <w:r w:rsidR="00867571" w:rsidRPr="00CA07C3">
        <w:rPr>
          <w:rFonts w:cs="Times New Roman"/>
          <w:i/>
          <w:sz w:val="22"/>
        </w:rPr>
        <w:t>DA</w:t>
      </w:r>
      <w:r w:rsidR="00867571" w:rsidRPr="00CA07C3">
        <w:rPr>
          <w:rFonts w:cs="Times New Roman"/>
          <w:sz w:val="22"/>
        </w:rPr>
        <w:t xml:space="preserve"> is observable </w:t>
      </w:r>
      <w:r w:rsidR="00A35C24" w:rsidRPr="00CA07C3">
        <w:rPr>
          <w:rFonts w:cs="Times New Roman"/>
          <w:sz w:val="22"/>
        </w:rPr>
        <w:t xml:space="preserve">in Models 5 </w:t>
      </w:r>
      <w:r w:rsidR="00BA69FD">
        <w:rPr>
          <w:rFonts w:cs="Times New Roman"/>
          <w:sz w:val="22"/>
        </w:rPr>
        <w:t>and</w:t>
      </w:r>
      <w:r w:rsidR="00A35C24" w:rsidRPr="00CA07C3">
        <w:rPr>
          <w:rFonts w:cs="Times New Roman"/>
          <w:sz w:val="22"/>
        </w:rPr>
        <w:t xml:space="preserve"> 6 of Table 6, while Models 7 </w:t>
      </w:r>
      <w:r w:rsidR="00BA69FD">
        <w:rPr>
          <w:rFonts w:cs="Times New Roman"/>
          <w:sz w:val="22"/>
        </w:rPr>
        <w:t>and</w:t>
      </w:r>
      <w:r w:rsidR="00A35C24" w:rsidRPr="00CA07C3">
        <w:rPr>
          <w:rFonts w:cs="Times New Roman"/>
          <w:sz w:val="22"/>
        </w:rPr>
        <w:t xml:space="preserve"> 8 show that </w:t>
      </w:r>
      <w:r w:rsidR="002158D2">
        <w:rPr>
          <w:rFonts w:cs="Times New Roman"/>
          <w:sz w:val="22"/>
        </w:rPr>
        <w:t xml:space="preserve">external auditors and </w:t>
      </w:r>
      <w:r w:rsidR="00A35C24" w:rsidRPr="00CA07C3">
        <w:rPr>
          <w:rFonts w:cs="Times New Roman"/>
          <w:sz w:val="22"/>
        </w:rPr>
        <w:t>internal control systems and disclosure and transparency have negative effec</w:t>
      </w:r>
      <w:r w:rsidR="002158D2">
        <w:rPr>
          <w:rFonts w:cs="Times New Roman"/>
          <w:sz w:val="22"/>
        </w:rPr>
        <w:t>t</w:t>
      </w:r>
      <w:r w:rsidR="00CC2369">
        <w:rPr>
          <w:rFonts w:cs="Times New Roman"/>
          <w:sz w:val="22"/>
        </w:rPr>
        <w:t xml:space="preserve"> on </w:t>
      </w:r>
      <w:r w:rsidR="00CC2369">
        <w:rPr>
          <w:rFonts w:cs="Times New Roman"/>
          <w:i/>
          <w:sz w:val="22"/>
        </w:rPr>
        <w:t>DA</w:t>
      </w:r>
      <w:r w:rsidR="00A35C24" w:rsidRPr="00CA07C3">
        <w:rPr>
          <w:rFonts w:cs="Times New Roman"/>
          <w:sz w:val="22"/>
        </w:rPr>
        <w:t xml:space="preserve">, but statistically insignificant. </w:t>
      </w:r>
    </w:p>
    <w:p w:rsidR="00EF43E7" w:rsidRDefault="00CE3CD3">
      <w:pPr>
        <w:spacing w:line="360" w:lineRule="auto"/>
        <w:jc w:val="center"/>
        <w:rPr>
          <w:rFonts w:cs="Times New Roman"/>
          <w:sz w:val="22"/>
        </w:rPr>
      </w:pPr>
      <w:r w:rsidRPr="00CA07C3">
        <w:rPr>
          <w:rFonts w:cs="Times New Roman"/>
          <w:sz w:val="22"/>
        </w:rPr>
        <w:t>Insert Table 6 about here</w:t>
      </w:r>
    </w:p>
    <w:p w:rsidR="005E5447" w:rsidRPr="00CA07C3" w:rsidRDefault="005E5447" w:rsidP="005E5447">
      <w:pPr>
        <w:jc w:val="center"/>
        <w:rPr>
          <w:rFonts w:cs="Times New Roman"/>
          <w:sz w:val="22"/>
        </w:rPr>
      </w:pPr>
    </w:p>
    <w:p w:rsidR="005E5447" w:rsidRPr="00F76586" w:rsidRDefault="00330DD3" w:rsidP="00330DD3">
      <w:pPr>
        <w:rPr>
          <w:b/>
          <w:sz w:val="22"/>
        </w:rPr>
      </w:pPr>
      <w:r w:rsidRPr="00F76586">
        <w:rPr>
          <w:b/>
          <w:sz w:val="22"/>
        </w:rPr>
        <w:t xml:space="preserve">7. </w:t>
      </w:r>
      <w:r w:rsidR="0069777D" w:rsidRPr="00F76586">
        <w:rPr>
          <w:b/>
          <w:sz w:val="22"/>
        </w:rPr>
        <w:t xml:space="preserve">Robustness </w:t>
      </w:r>
      <w:r w:rsidR="005C6C02">
        <w:rPr>
          <w:b/>
          <w:sz w:val="22"/>
        </w:rPr>
        <w:t>analysis</w:t>
      </w:r>
      <w:r w:rsidR="001B597B" w:rsidRPr="00F76586">
        <w:rPr>
          <w:b/>
          <w:sz w:val="22"/>
        </w:rPr>
        <w:t xml:space="preserve"> </w:t>
      </w:r>
    </w:p>
    <w:p w:rsidR="005E5447" w:rsidRDefault="005E5447" w:rsidP="005E5447">
      <w:pPr>
        <w:autoSpaceDE w:val="0"/>
        <w:autoSpaceDN w:val="0"/>
        <w:adjustRightInd w:val="0"/>
        <w:ind w:firstLine="720"/>
        <w:jc w:val="both"/>
        <w:rPr>
          <w:rFonts w:cs="Times New Roman"/>
          <w:bCs/>
          <w:sz w:val="22"/>
        </w:rPr>
      </w:pPr>
    </w:p>
    <w:p w:rsidR="002E23B9" w:rsidRPr="00CA07C3" w:rsidRDefault="00E71C03" w:rsidP="00EE2DB2">
      <w:pPr>
        <w:autoSpaceDE w:val="0"/>
        <w:autoSpaceDN w:val="0"/>
        <w:adjustRightInd w:val="0"/>
        <w:spacing w:line="360" w:lineRule="auto"/>
        <w:ind w:firstLine="720"/>
        <w:jc w:val="both"/>
        <w:rPr>
          <w:rFonts w:cs="Times New Roman"/>
          <w:sz w:val="22"/>
        </w:rPr>
      </w:pPr>
      <w:r w:rsidRPr="00CA07C3">
        <w:rPr>
          <w:rFonts w:cs="Times New Roman"/>
          <w:bCs/>
          <w:sz w:val="22"/>
        </w:rPr>
        <w:t xml:space="preserve">We conduct a series of robustness </w:t>
      </w:r>
      <w:r w:rsidR="00913CA6">
        <w:rPr>
          <w:rFonts w:cs="Times New Roman"/>
          <w:bCs/>
          <w:sz w:val="22"/>
        </w:rPr>
        <w:t>estimations</w:t>
      </w:r>
      <w:r w:rsidRPr="00CA07C3">
        <w:rPr>
          <w:rFonts w:cs="Times New Roman"/>
          <w:bCs/>
          <w:sz w:val="22"/>
        </w:rPr>
        <w:t xml:space="preserve"> to examine the extent to which our </w:t>
      </w:r>
      <w:r w:rsidR="00856157" w:rsidRPr="00CA07C3">
        <w:rPr>
          <w:rFonts w:cs="Times New Roman"/>
          <w:bCs/>
          <w:sz w:val="22"/>
        </w:rPr>
        <w:t xml:space="preserve">main </w:t>
      </w:r>
      <w:r w:rsidRPr="00CA07C3">
        <w:rPr>
          <w:rFonts w:cs="Times New Roman"/>
          <w:bCs/>
          <w:sz w:val="22"/>
        </w:rPr>
        <w:t xml:space="preserve">findings are robust or sensitive </w:t>
      </w:r>
      <w:r w:rsidRPr="00CA07C3">
        <w:rPr>
          <w:rFonts w:cs="Times New Roman"/>
          <w:sz w:val="22"/>
        </w:rPr>
        <w:t>to the use of</w:t>
      </w:r>
      <w:r w:rsidR="00A1643B">
        <w:rPr>
          <w:rFonts w:cs="Times New Roman"/>
          <w:sz w:val="22"/>
        </w:rPr>
        <w:t>:</w:t>
      </w:r>
      <w:r w:rsidRPr="00CA07C3">
        <w:rPr>
          <w:rFonts w:cs="Times New Roman"/>
          <w:sz w:val="22"/>
        </w:rPr>
        <w:t xml:space="preserve"> </w:t>
      </w:r>
      <w:r w:rsidR="00A1643B">
        <w:rPr>
          <w:rFonts w:cs="Times New Roman"/>
          <w:sz w:val="22"/>
        </w:rPr>
        <w:t xml:space="preserve">(i) </w:t>
      </w:r>
      <w:r w:rsidRPr="00CA07C3">
        <w:rPr>
          <w:rFonts w:cs="Times New Roman"/>
          <w:sz w:val="22"/>
        </w:rPr>
        <w:t xml:space="preserve">alternative CG </w:t>
      </w:r>
      <w:r w:rsidR="00821591" w:rsidRPr="00CA07C3">
        <w:rPr>
          <w:rFonts w:cs="Times New Roman"/>
          <w:sz w:val="22"/>
        </w:rPr>
        <w:t xml:space="preserve">weighted </w:t>
      </w:r>
      <w:r w:rsidR="00AF6496" w:rsidRPr="00CA07C3">
        <w:rPr>
          <w:rFonts w:cs="Times New Roman"/>
          <w:sz w:val="22"/>
        </w:rPr>
        <w:t>index</w:t>
      </w:r>
      <w:r w:rsidR="00A1643B">
        <w:rPr>
          <w:rFonts w:cs="Times New Roman"/>
          <w:sz w:val="22"/>
        </w:rPr>
        <w:t>;</w:t>
      </w:r>
      <w:r w:rsidR="00AF6496" w:rsidRPr="00CA07C3">
        <w:rPr>
          <w:rFonts w:cs="Times New Roman"/>
          <w:sz w:val="22"/>
        </w:rPr>
        <w:t xml:space="preserve"> </w:t>
      </w:r>
      <w:r w:rsidR="00A1643B">
        <w:rPr>
          <w:rFonts w:cs="Times New Roman"/>
          <w:sz w:val="22"/>
        </w:rPr>
        <w:t xml:space="preserve">(ii) </w:t>
      </w:r>
      <w:r w:rsidR="00AF6496" w:rsidRPr="00CA07C3">
        <w:rPr>
          <w:rFonts w:cs="Times New Roman"/>
          <w:sz w:val="22"/>
        </w:rPr>
        <w:t>alternative EM’s proxy</w:t>
      </w:r>
      <w:r w:rsidR="00A1643B">
        <w:rPr>
          <w:rFonts w:cs="Times New Roman"/>
          <w:sz w:val="22"/>
        </w:rPr>
        <w:t>;</w:t>
      </w:r>
      <w:r w:rsidR="00AF6496" w:rsidRPr="00CA07C3">
        <w:rPr>
          <w:rFonts w:cs="Times New Roman"/>
          <w:sz w:val="22"/>
        </w:rPr>
        <w:t xml:space="preserve"> </w:t>
      </w:r>
      <w:r w:rsidR="00A1643B">
        <w:rPr>
          <w:rFonts w:cs="Times New Roman"/>
          <w:sz w:val="22"/>
        </w:rPr>
        <w:t xml:space="preserve">(iii) </w:t>
      </w:r>
      <w:r w:rsidR="00AF6496" w:rsidRPr="00CA07C3">
        <w:rPr>
          <w:rFonts w:cs="Times New Roman"/>
          <w:sz w:val="22"/>
        </w:rPr>
        <w:t>financial firms</w:t>
      </w:r>
      <w:r w:rsidR="00A1643B">
        <w:rPr>
          <w:rFonts w:cs="Times New Roman"/>
          <w:sz w:val="22"/>
        </w:rPr>
        <w:t xml:space="preserve"> inclusion;</w:t>
      </w:r>
      <w:r w:rsidR="00AF6496" w:rsidRPr="00CA07C3">
        <w:rPr>
          <w:rFonts w:cs="Times New Roman"/>
          <w:sz w:val="22"/>
        </w:rPr>
        <w:t xml:space="preserve"> </w:t>
      </w:r>
      <w:r w:rsidR="00A1643B">
        <w:rPr>
          <w:rFonts w:cs="Times New Roman"/>
          <w:sz w:val="22"/>
        </w:rPr>
        <w:t xml:space="preserve">(iv) </w:t>
      </w:r>
      <w:r w:rsidR="00AF6496" w:rsidRPr="00CA07C3">
        <w:rPr>
          <w:rFonts w:cs="Times New Roman"/>
          <w:sz w:val="22"/>
        </w:rPr>
        <w:t>the pre</w:t>
      </w:r>
      <w:r w:rsidR="00871611">
        <w:rPr>
          <w:rFonts w:cs="Times New Roman"/>
          <w:sz w:val="22"/>
        </w:rPr>
        <w:t>-</w:t>
      </w:r>
      <w:r w:rsidR="00A627DE">
        <w:rPr>
          <w:rFonts w:cs="Times New Roman"/>
          <w:sz w:val="22"/>
        </w:rPr>
        <w:t xml:space="preserve"> and </w:t>
      </w:r>
      <w:r w:rsidR="00321DB3">
        <w:rPr>
          <w:rFonts w:cs="Times New Roman"/>
          <w:sz w:val="22"/>
        </w:rPr>
        <w:t>post</w:t>
      </w:r>
      <w:r w:rsidR="00871611">
        <w:rPr>
          <w:rFonts w:cs="Times New Roman"/>
          <w:sz w:val="22"/>
        </w:rPr>
        <w:t>-</w:t>
      </w:r>
      <w:r w:rsidR="00A627DE">
        <w:rPr>
          <w:rFonts w:cs="Times New Roman"/>
          <w:sz w:val="22"/>
        </w:rPr>
        <w:t xml:space="preserve">2002 CG </w:t>
      </w:r>
      <w:r w:rsidR="005A4C2D">
        <w:rPr>
          <w:rFonts w:cs="Times New Roman"/>
          <w:sz w:val="22"/>
        </w:rPr>
        <w:t>C</w:t>
      </w:r>
      <w:r w:rsidR="00A627DE">
        <w:rPr>
          <w:rFonts w:cs="Times New Roman"/>
          <w:sz w:val="22"/>
        </w:rPr>
        <w:t xml:space="preserve">ode </w:t>
      </w:r>
      <w:r w:rsidR="00871611">
        <w:rPr>
          <w:rFonts w:cs="Times New Roman"/>
          <w:sz w:val="22"/>
        </w:rPr>
        <w:t>issuance</w:t>
      </w:r>
      <w:r w:rsidR="00A1643B">
        <w:rPr>
          <w:rFonts w:cs="Times New Roman"/>
          <w:sz w:val="22"/>
        </w:rPr>
        <w:t>;</w:t>
      </w:r>
      <w:r w:rsidR="00871611">
        <w:rPr>
          <w:rFonts w:cs="Times New Roman"/>
          <w:sz w:val="22"/>
        </w:rPr>
        <w:t xml:space="preserve"> </w:t>
      </w:r>
      <w:r w:rsidR="00A627DE">
        <w:rPr>
          <w:rFonts w:cs="Times New Roman"/>
          <w:sz w:val="22"/>
        </w:rPr>
        <w:t xml:space="preserve">and </w:t>
      </w:r>
      <w:r w:rsidR="00A1643B">
        <w:rPr>
          <w:rFonts w:cs="Times New Roman"/>
          <w:sz w:val="22"/>
        </w:rPr>
        <w:t xml:space="preserve">(v) </w:t>
      </w:r>
      <w:r w:rsidR="005A4C2D">
        <w:rPr>
          <w:rFonts w:cs="Times New Roman"/>
          <w:sz w:val="22"/>
        </w:rPr>
        <w:t xml:space="preserve">any </w:t>
      </w:r>
      <w:r w:rsidR="00871611">
        <w:rPr>
          <w:rFonts w:cs="Times New Roman"/>
          <w:sz w:val="22"/>
        </w:rPr>
        <w:t>potential</w:t>
      </w:r>
      <w:r w:rsidR="00A627DE">
        <w:rPr>
          <w:rFonts w:cs="Times New Roman"/>
          <w:sz w:val="22"/>
        </w:rPr>
        <w:t xml:space="preserve"> endogeneity problem</w:t>
      </w:r>
      <w:r w:rsidR="00871611">
        <w:rPr>
          <w:rFonts w:cs="Times New Roman"/>
          <w:sz w:val="22"/>
        </w:rPr>
        <w:t>s</w:t>
      </w:r>
      <w:r w:rsidR="00AF6496" w:rsidRPr="00CA07C3">
        <w:rPr>
          <w:rFonts w:cs="Times New Roman"/>
          <w:sz w:val="22"/>
        </w:rPr>
        <w:t>. The findings of these analyses are presented in Models 2 to 7 of Table 7</w:t>
      </w:r>
      <w:r w:rsidR="00F10114">
        <w:rPr>
          <w:rFonts w:cs="Times New Roman"/>
          <w:sz w:val="22"/>
        </w:rPr>
        <w:t xml:space="preserve"> with the findings contained in Model 1 repeating our previous main findings in order to facilitate easy comparative </w:t>
      </w:r>
      <w:r w:rsidR="005C6C02">
        <w:rPr>
          <w:rFonts w:cs="Times New Roman"/>
          <w:sz w:val="22"/>
        </w:rPr>
        <w:t>analysis</w:t>
      </w:r>
      <w:r w:rsidR="00AF6496" w:rsidRPr="00CA07C3">
        <w:rPr>
          <w:rFonts w:cs="Times New Roman"/>
          <w:sz w:val="22"/>
        </w:rPr>
        <w:t xml:space="preserve">. First, </w:t>
      </w:r>
      <w:r w:rsidR="00AF6496" w:rsidRPr="00CA07C3">
        <w:rPr>
          <w:rFonts w:cs="Times New Roman"/>
          <w:bCs/>
          <w:sz w:val="22"/>
        </w:rPr>
        <w:t xml:space="preserve">we account for the likelihood that using weighted CG index may result in different findings. As explained earlier, </w:t>
      </w:r>
      <w:r w:rsidR="00C90C4E" w:rsidRPr="00CA07C3">
        <w:rPr>
          <w:rFonts w:cs="Times New Roman"/>
          <w:sz w:val="22"/>
        </w:rPr>
        <w:t xml:space="preserve">un-weighted index was used to perform our main analysis where all 72 CG provisions constituting the four sub-indies of </w:t>
      </w:r>
      <w:r w:rsidR="00BE577C">
        <w:rPr>
          <w:rFonts w:cs="Times New Roman"/>
          <w:sz w:val="22"/>
        </w:rPr>
        <w:t xml:space="preserve">the </w:t>
      </w:r>
      <w:r w:rsidR="00665E50" w:rsidRPr="00CA07C3">
        <w:rPr>
          <w:rFonts w:cs="Times New Roman"/>
          <w:i/>
          <w:sz w:val="22"/>
        </w:rPr>
        <w:t>OCGI</w:t>
      </w:r>
      <w:r w:rsidR="00665E50" w:rsidRPr="00CA07C3">
        <w:rPr>
          <w:rFonts w:cs="Times New Roman"/>
          <w:sz w:val="22"/>
        </w:rPr>
        <w:t xml:space="preserve"> </w:t>
      </w:r>
      <w:r w:rsidR="006F0DFF" w:rsidRPr="00CA07C3">
        <w:rPr>
          <w:rFonts w:cs="Times New Roman"/>
          <w:sz w:val="22"/>
        </w:rPr>
        <w:t>have</w:t>
      </w:r>
      <w:r w:rsidR="00450B7D" w:rsidRPr="00CA07C3">
        <w:rPr>
          <w:rFonts w:cs="Times New Roman"/>
          <w:sz w:val="22"/>
        </w:rPr>
        <w:t xml:space="preserve"> </w:t>
      </w:r>
      <w:r w:rsidR="001B597B" w:rsidRPr="00CA07C3">
        <w:rPr>
          <w:rFonts w:cs="Times New Roman"/>
          <w:sz w:val="22"/>
        </w:rPr>
        <w:t>different</w:t>
      </w:r>
      <w:r w:rsidR="00450B7D" w:rsidRPr="00CA07C3">
        <w:rPr>
          <w:rFonts w:cs="Times New Roman"/>
          <w:sz w:val="22"/>
        </w:rPr>
        <w:t xml:space="preserve"> weightings. </w:t>
      </w:r>
      <w:r w:rsidR="008632DF" w:rsidRPr="00CA07C3">
        <w:rPr>
          <w:rFonts w:cs="Times New Roman"/>
          <w:sz w:val="22"/>
        </w:rPr>
        <w:t xml:space="preserve">The four sub-indies include 39, 7, 4, and 22 CG provisions contributing to </w:t>
      </w:r>
      <w:r w:rsidR="00BE577C">
        <w:rPr>
          <w:rFonts w:cs="Times New Roman"/>
          <w:sz w:val="22"/>
        </w:rPr>
        <w:t xml:space="preserve">the </w:t>
      </w:r>
      <w:r w:rsidR="008632DF" w:rsidRPr="00CD5438">
        <w:rPr>
          <w:rFonts w:cs="Times New Roman"/>
          <w:i/>
          <w:iCs/>
          <w:sz w:val="22"/>
        </w:rPr>
        <w:t>OCGI</w:t>
      </w:r>
      <w:r w:rsidR="008632DF" w:rsidRPr="00CA07C3">
        <w:rPr>
          <w:rFonts w:cs="Times New Roman"/>
          <w:sz w:val="22"/>
        </w:rPr>
        <w:t xml:space="preserve"> by 54%, 10%, 6% and 30%</w:t>
      </w:r>
      <w:r w:rsidR="00BE577C">
        <w:rPr>
          <w:rFonts w:cs="Times New Roman"/>
          <w:sz w:val="22"/>
        </w:rPr>
        <w:t>,</w:t>
      </w:r>
      <w:r w:rsidR="008632DF" w:rsidRPr="00CA07C3">
        <w:rPr>
          <w:rFonts w:cs="Times New Roman"/>
          <w:sz w:val="22"/>
        </w:rPr>
        <w:t xml:space="preserve"> respectively</w:t>
      </w:r>
      <w:r w:rsidR="00B15829" w:rsidRPr="00CA07C3">
        <w:rPr>
          <w:rFonts w:cs="Times New Roman"/>
          <w:sz w:val="22"/>
        </w:rPr>
        <w:t>.</w:t>
      </w:r>
      <w:r w:rsidR="008632DF" w:rsidRPr="00CA07C3">
        <w:rPr>
          <w:rFonts w:cs="Times New Roman"/>
          <w:sz w:val="22"/>
        </w:rPr>
        <w:t xml:space="preserve"> </w:t>
      </w:r>
      <w:r w:rsidR="001B597B" w:rsidRPr="00CA07C3">
        <w:rPr>
          <w:rFonts w:cs="Times New Roman"/>
          <w:bCs/>
          <w:sz w:val="22"/>
        </w:rPr>
        <w:t>F</w:t>
      </w:r>
      <w:r w:rsidR="00450B7D" w:rsidRPr="00CA07C3">
        <w:rPr>
          <w:rFonts w:cs="Times New Roman"/>
          <w:bCs/>
          <w:sz w:val="22"/>
        </w:rPr>
        <w:t xml:space="preserve">ollowing </w:t>
      </w:r>
      <w:r w:rsidR="001B597B" w:rsidRPr="00CA07C3">
        <w:rPr>
          <w:rFonts w:cs="Times New Roman"/>
          <w:bCs/>
          <w:sz w:val="22"/>
        </w:rPr>
        <w:t>prior studies</w:t>
      </w:r>
      <w:r w:rsidR="00AF6496" w:rsidRPr="00CA07C3">
        <w:rPr>
          <w:rFonts w:cs="Times New Roman"/>
          <w:bCs/>
          <w:sz w:val="22"/>
        </w:rPr>
        <w:t xml:space="preserve">’ procedure in constructing weighted CG index (e.g., Beiner </w:t>
      </w:r>
      <w:r w:rsidR="00AF6496" w:rsidRPr="00BD0005">
        <w:rPr>
          <w:rFonts w:cs="Times New Roman"/>
          <w:bCs/>
          <w:iCs/>
          <w:sz w:val="22"/>
        </w:rPr>
        <w:t>et al</w:t>
      </w:r>
      <w:r w:rsidR="00AF6496" w:rsidRPr="00CA07C3">
        <w:rPr>
          <w:rFonts w:cs="Times New Roman"/>
          <w:bCs/>
          <w:i/>
          <w:iCs/>
          <w:sz w:val="22"/>
        </w:rPr>
        <w:t>.</w:t>
      </w:r>
      <w:r w:rsidR="00AF6496" w:rsidRPr="00CA07C3">
        <w:rPr>
          <w:rFonts w:cs="Times New Roman"/>
          <w:bCs/>
          <w:sz w:val="22"/>
        </w:rPr>
        <w:t xml:space="preserve">, 2006), </w:t>
      </w:r>
      <w:r w:rsidR="00BE577C">
        <w:rPr>
          <w:rFonts w:cs="Times New Roman"/>
          <w:bCs/>
          <w:sz w:val="22"/>
        </w:rPr>
        <w:t xml:space="preserve">an </w:t>
      </w:r>
      <w:r w:rsidR="00AF6496" w:rsidRPr="00CA07C3">
        <w:rPr>
          <w:rFonts w:cs="Times New Roman"/>
          <w:bCs/>
          <w:sz w:val="22"/>
        </w:rPr>
        <w:t xml:space="preserve">alternative </w:t>
      </w:r>
      <w:r w:rsidR="001B597B" w:rsidRPr="00CA07C3">
        <w:rPr>
          <w:rFonts w:cs="Times New Roman"/>
          <w:bCs/>
          <w:i/>
          <w:sz w:val="22"/>
        </w:rPr>
        <w:t>OCGI</w:t>
      </w:r>
      <w:r w:rsidR="001B597B" w:rsidRPr="00CA07C3">
        <w:rPr>
          <w:rFonts w:cs="Times New Roman"/>
          <w:bCs/>
          <w:sz w:val="22"/>
        </w:rPr>
        <w:t xml:space="preserve"> was constructed in which each sub-index </w:t>
      </w:r>
      <w:r w:rsidR="00524441" w:rsidRPr="00CA07C3">
        <w:rPr>
          <w:rFonts w:cs="Times New Roman"/>
          <w:sz w:val="22"/>
        </w:rPr>
        <w:t>was</w:t>
      </w:r>
      <w:r w:rsidR="001B597B" w:rsidRPr="00CA07C3">
        <w:rPr>
          <w:rFonts w:cs="Times New Roman"/>
          <w:sz w:val="22"/>
        </w:rPr>
        <w:t xml:space="preserve"> scored by awarding similar weight of 2</w:t>
      </w:r>
      <w:r w:rsidR="00BE577C">
        <w:rPr>
          <w:rFonts w:cs="Times New Roman"/>
          <w:sz w:val="22"/>
        </w:rPr>
        <w:t>5%</w:t>
      </w:r>
      <w:r w:rsidR="001B597B" w:rsidRPr="00CA07C3">
        <w:rPr>
          <w:rFonts w:cs="Times New Roman"/>
          <w:sz w:val="22"/>
        </w:rPr>
        <w:t xml:space="preserve">. </w:t>
      </w:r>
      <w:r w:rsidR="00F4469C" w:rsidRPr="00CA07C3">
        <w:rPr>
          <w:rFonts w:cs="Times New Roman"/>
          <w:sz w:val="22"/>
        </w:rPr>
        <w:t xml:space="preserve">We replaced </w:t>
      </w:r>
      <w:r w:rsidR="00BE577C">
        <w:rPr>
          <w:rFonts w:cs="Times New Roman"/>
          <w:sz w:val="22"/>
        </w:rPr>
        <w:t xml:space="preserve">our </w:t>
      </w:r>
      <w:r w:rsidR="00F4469C" w:rsidRPr="00CA07C3">
        <w:rPr>
          <w:rFonts w:cs="Times New Roman"/>
          <w:sz w:val="22"/>
        </w:rPr>
        <w:t xml:space="preserve">un-weighted </w:t>
      </w:r>
      <w:r w:rsidR="00F4469C" w:rsidRPr="00CA07C3">
        <w:rPr>
          <w:rFonts w:cs="Times New Roman"/>
          <w:i/>
          <w:sz w:val="22"/>
        </w:rPr>
        <w:t>OCGI</w:t>
      </w:r>
      <w:r w:rsidR="00F4469C" w:rsidRPr="00CA07C3">
        <w:rPr>
          <w:rFonts w:cs="Times New Roman"/>
          <w:sz w:val="22"/>
        </w:rPr>
        <w:t xml:space="preserve"> with </w:t>
      </w:r>
      <w:r w:rsidR="00BE577C">
        <w:rPr>
          <w:rFonts w:cs="Times New Roman"/>
          <w:sz w:val="22"/>
        </w:rPr>
        <w:t xml:space="preserve">the </w:t>
      </w:r>
      <w:r w:rsidR="00F4469C" w:rsidRPr="00CA07C3">
        <w:rPr>
          <w:rFonts w:cs="Times New Roman"/>
          <w:sz w:val="22"/>
        </w:rPr>
        <w:t xml:space="preserve">weighted </w:t>
      </w:r>
      <w:r w:rsidR="00F4469C" w:rsidRPr="00CA07C3">
        <w:rPr>
          <w:rFonts w:cs="Times New Roman"/>
          <w:i/>
          <w:sz w:val="22"/>
        </w:rPr>
        <w:t>OCGI</w:t>
      </w:r>
      <w:r w:rsidR="00F4469C" w:rsidRPr="00CA07C3">
        <w:rPr>
          <w:rFonts w:cs="Times New Roman"/>
          <w:sz w:val="22"/>
        </w:rPr>
        <w:t xml:space="preserve"> in equation (</w:t>
      </w:r>
      <w:r w:rsidR="00EE2DB2">
        <w:rPr>
          <w:rFonts w:cs="Times New Roman"/>
          <w:sz w:val="22"/>
        </w:rPr>
        <w:t>4</w:t>
      </w:r>
      <w:r w:rsidR="00F4469C" w:rsidRPr="00CA07C3">
        <w:rPr>
          <w:rFonts w:cs="Times New Roman"/>
          <w:sz w:val="22"/>
        </w:rPr>
        <w:t xml:space="preserve">), and the findings are reported in Model </w:t>
      </w:r>
      <w:r w:rsidR="00477ADA" w:rsidRPr="00CA07C3">
        <w:rPr>
          <w:rFonts w:cs="Times New Roman"/>
          <w:sz w:val="22"/>
        </w:rPr>
        <w:t>2</w:t>
      </w:r>
      <w:r w:rsidR="00F4469C" w:rsidRPr="00CA07C3">
        <w:rPr>
          <w:rFonts w:cs="Times New Roman"/>
          <w:sz w:val="22"/>
        </w:rPr>
        <w:t xml:space="preserve"> of Table 7</w:t>
      </w:r>
      <w:r w:rsidR="00BE577C">
        <w:rPr>
          <w:rFonts w:cs="Times New Roman"/>
          <w:sz w:val="22"/>
        </w:rPr>
        <w:t>, with the results</w:t>
      </w:r>
      <w:r w:rsidR="00F4469C" w:rsidRPr="00CA07C3">
        <w:rPr>
          <w:rFonts w:cs="Times New Roman"/>
          <w:sz w:val="22"/>
        </w:rPr>
        <w:t xml:space="preserve"> indicating that our main Model’s findings are not sensitive to </w:t>
      </w:r>
      <w:r w:rsidR="00BE577C">
        <w:rPr>
          <w:rFonts w:cs="Times New Roman"/>
          <w:sz w:val="22"/>
        </w:rPr>
        <w:t xml:space="preserve">using a weighted </w:t>
      </w:r>
      <w:r w:rsidR="00F4469C" w:rsidRPr="00CA07C3">
        <w:rPr>
          <w:rFonts w:cs="Times New Roman"/>
          <w:sz w:val="22"/>
        </w:rPr>
        <w:t xml:space="preserve">CG index. </w:t>
      </w:r>
    </w:p>
    <w:p w:rsidR="002E23B9" w:rsidRPr="00CA07C3" w:rsidRDefault="002E23B9" w:rsidP="00321DB3">
      <w:pPr>
        <w:spacing w:line="360" w:lineRule="auto"/>
        <w:jc w:val="center"/>
        <w:rPr>
          <w:rFonts w:cs="Times New Roman"/>
          <w:sz w:val="22"/>
        </w:rPr>
      </w:pPr>
      <w:r w:rsidRPr="00CA07C3">
        <w:rPr>
          <w:rFonts w:cs="Times New Roman"/>
          <w:sz w:val="22"/>
        </w:rPr>
        <w:t>Insert Table 7 about here</w:t>
      </w:r>
    </w:p>
    <w:p w:rsidR="00D01645" w:rsidRPr="00CA07C3" w:rsidRDefault="00524441" w:rsidP="00EE2DB2">
      <w:pPr>
        <w:autoSpaceDE w:val="0"/>
        <w:autoSpaceDN w:val="0"/>
        <w:adjustRightInd w:val="0"/>
        <w:spacing w:line="360" w:lineRule="auto"/>
        <w:ind w:firstLine="720"/>
        <w:jc w:val="both"/>
        <w:rPr>
          <w:rFonts w:cs="Times New Roman"/>
          <w:sz w:val="22"/>
        </w:rPr>
      </w:pPr>
      <w:r w:rsidRPr="00CD5438">
        <w:rPr>
          <w:rFonts w:cs="Times New Roman"/>
          <w:sz w:val="22"/>
        </w:rPr>
        <w:t>Second,</w:t>
      </w:r>
      <w:r w:rsidRPr="00CA07C3">
        <w:rPr>
          <w:rFonts w:cs="Times New Roman"/>
          <w:sz w:val="22"/>
        </w:rPr>
        <w:t xml:space="preserve"> we replicate our main analysis </w:t>
      </w:r>
      <w:r w:rsidR="00F10114">
        <w:rPr>
          <w:rFonts w:cs="Times New Roman"/>
          <w:sz w:val="22"/>
        </w:rPr>
        <w:t xml:space="preserve">by </w:t>
      </w:r>
      <w:r w:rsidRPr="00CA07C3">
        <w:rPr>
          <w:rFonts w:cs="Times New Roman"/>
          <w:sz w:val="22"/>
        </w:rPr>
        <w:t xml:space="preserve">using a different measure of EM developed by Kothari </w:t>
      </w:r>
      <w:r w:rsidRPr="00BD0005">
        <w:rPr>
          <w:rFonts w:cs="Times New Roman"/>
          <w:iCs/>
          <w:sz w:val="22"/>
        </w:rPr>
        <w:t>et al</w:t>
      </w:r>
      <w:r w:rsidR="0089693D" w:rsidRPr="00CA07C3">
        <w:rPr>
          <w:rFonts w:cs="Times New Roman"/>
          <w:i/>
          <w:iCs/>
          <w:sz w:val="22"/>
        </w:rPr>
        <w:t>.</w:t>
      </w:r>
      <w:r w:rsidRPr="00CA07C3">
        <w:rPr>
          <w:rFonts w:cs="Times New Roman"/>
          <w:sz w:val="22"/>
        </w:rPr>
        <w:t xml:space="preserve"> (2005) in order to examine whether our main findings are sensitive to the </w:t>
      </w:r>
      <w:r w:rsidRPr="00CA07C3">
        <w:rPr>
          <w:rFonts w:cs="Times New Roman"/>
          <w:i/>
          <w:sz w:val="22"/>
        </w:rPr>
        <w:t>DA</w:t>
      </w:r>
      <w:r w:rsidRPr="00CA07C3">
        <w:rPr>
          <w:rFonts w:cs="Times New Roman"/>
          <w:sz w:val="22"/>
        </w:rPr>
        <w:t>’s proxy employed</w:t>
      </w:r>
      <w:r w:rsidR="00407EB1">
        <w:rPr>
          <w:rFonts w:cs="Times New Roman"/>
          <w:sz w:val="22"/>
        </w:rPr>
        <w:t xml:space="preserve"> that explicitly takes the likelihood of real earnings manipulations into account (e.g., </w:t>
      </w:r>
      <w:r w:rsidR="003D180A">
        <w:rPr>
          <w:rFonts w:cs="Times New Roman"/>
          <w:sz w:val="22"/>
        </w:rPr>
        <w:t xml:space="preserve">Cohen et al., 2008; </w:t>
      </w:r>
      <w:r w:rsidR="00407EB1">
        <w:rPr>
          <w:rFonts w:cs="Times New Roman"/>
          <w:sz w:val="22"/>
        </w:rPr>
        <w:t>Kothari et al., 2005, 2015)</w:t>
      </w:r>
      <w:r w:rsidRPr="00CA07C3">
        <w:rPr>
          <w:rFonts w:cs="Times New Roman"/>
          <w:sz w:val="22"/>
        </w:rPr>
        <w:t xml:space="preserve">. </w:t>
      </w:r>
      <w:r w:rsidR="007F37D6" w:rsidRPr="00CA07C3">
        <w:rPr>
          <w:rFonts w:cs="Times New Roman"/>
          <w:sz w:val="22"/>
        </w:rPr>
        <w:t xml:space="preserve">The results presented in Model </w:t>
      </w:r>
      <w:r w:rsidR="00477ADA" w:rsidRPr="00CA07C3">
        <w:rPr>
          <w:rFonts w:cs="Times New Roman"/>
          <w:sz w:val="22"/>
        </w:rPr>
        <w:t>3</w:t>
      </w:r>
      <w:r w:rsidR="007F37D6" w:rsidRPr="00CA07C3">
        <w:rPr>
          <w:rFonts w:cs="Times New Roman"/>
          <w:sz w:val="22"/>
        </w:rPr>
        <w:t xml:space="preserve"> of Table 7 suggest that </w:t>
      </w:r>
      <w:r w:rsidR="00FA1C87" w:rsidRPr="00CA07C3">
        <w:rPr>
          <w:rFonts w:cs="Times New Roman"/>
          <w:sz w:val="22"/>
        </w:rPr>
        <w:t xml:space="preserve">our evidence is robust to </w:t>
      </w:r>
      <w:r w:rsidR="005021E0">
        <w:rPr>
          <w:rFonts w:cs="Times New Roman"/>
          <w:sz w:val="22"/>
        </w:rPr>
        <w:t xml:space="preserve">the </w:t>
      </w:r>
      <w:r w:rsidR="00F10114">
        <w:rPr>
          <w:rFonts w:cs="Times New Roman"/>
          <w:sz w:val="22"/>
        </w:rPr>
        <w:t>use of this alternative EM measure</w:t>
      </w:r>
      <w:r w:rsidR="0006138F">
        <w:rPr>
          <w:rFonts w:cs="Times New Roman"/>
          <w:sz w:val="22"/>
        </w:rPr>
        <w:t>.</w:t>
      </w:r>
      <w:r w:rsidR="002416BC" w:rsidRPr="00CA07C3">
        <w:rPr>
          <w:rFonts w:cs="Times New Roman"/>
          <w:sz w:val="22"/>
        </w:rPr>
        <w:t xml:space="preserve"> </w:t>
      </w:r>
      <w:r w:rsidR="00FA1C87" w:rsidRPr="00CD5438">
        <w:rPr>
          <w:rFonts w:cs="Times New Roman"/>
          <w:sz w:val="22"/>
        </w:rPr>
        <w:t>Third</w:t>
      </w:r>
      <w:r w:rsidR="00FA1C87" w:rsidRPr="00CA07C3">
        <w:rPr>
          <w:rFonts w:cs="Times New Roman"/>
          <w:sz w:val="22"/>
        </w:rPr>
        <w:t>, we account for the possibility that the inclusion of financial companies</w:t>
      </w:r>
      <w:r w:rsidR="00D76E66">
        <w:rPr>
          <w:rStyle w:val="FootnoteReference"/>
        </w:rPr>
        <w:footnoteReference w:id="5"/>
      </w:r>
      <w:r w:rsidR="00FA1C87" w:rsidRPr="00CA07C3">
        <w:rPr>
          <w:rFonts w:cs="Times New Roman"/>
          <w:sz w:val="22"/>
        </w:rPr>
        <w:t xml:space="preserve"> in our data set may lead to different results by re-regressing equation (</w:t>
      </w:r>
      <w:r w:rsidR="00EE2DB2">
        <w:rPr>
          <w:rFonts w:cs="Times New Roman"/>
          <w:sz w:val="22"/>
        </w:rPr>
        <w:t>4</w:t>
      </w:r>
      <w:r w:rsidR="00FA1C87" w:rsidRPr="00CA07C3">
        <w:rPr>
          <w:rFonts w:cs="Times New Roman"/>
          <w:sz w:val="22"/>
        </w:rPr>
        <w:t xml:space="preserve">) using only non-financial firms (859 firm years). </w:t>
      </w:r>
      <w:r w:rsidR="00071929" w:rsidRPr="00CA07C3">
        <w:rPr>
          <w:rFonts w:cs="Times New Roman"/>
          <w:sz w:val="22"/>
        </w:rPr>
        <w:t xml:space="preserve">The results reported in Model </w:t>
      </w:r>
      <w:r w:rsidR="00477ADA" w:rsidRPr="00CA07C3">
        <w:rPr>
          <w:rFonts w:cs="Times New Roman"/>
          <w:sz w:val="22"/>
        </w:rPr>
        <w:t>4</w:t>
      </w:r>
      <w:r w:rsidR="00071929" w:rsidRPr="00CA07C3">
        <w:rPr>
          <w:rFonts w:cs="Times New Roman"/>
          <w:sz w:val="22"/>
        </w:rPr>
        <w:t xml:space="preserve"> are essentially similar to those presented in Model 1 of the same </w:t>
      </w:r>
      <w:r w:rsidR="002416BC" w:rsidRPr="00CA07C3">
        <w:rPr>
          <w:rFonts w:cs="Times New Roman"/>
          <w:sz w:val="22"/>
        </w:rPr>
        <w:t>t</w:t>
      </w:r>
      <w:r w:rsidR="00071929" w:rsidRPr="00CA07C3">
        <w:rPr>
          <w:rFonts w:cs="Times New Roman"/>
          <w:sz w:val="22"/>
        </w:rPr>
        <w:t>able</w:t>
      </w:r>
      <w:r w:rsidR="00A627DE">
        <w:rPr>
          <w:rFonts w:cs="Times New Roman"/>
          <w:sz w:val="22"/>
        </w:rPr>
        <w:t>.</w:t>
      </w:r>
      <w:r w:rsidR="00071929" w:rsidRPr="00CA07C3">
        <w:rPr>
          <w:rFonts w:cs="Times New Roman"/>
          <w:sz w:val="22"/>
        </w:rPr>
        <w:t xml:space="preserve"> </w:t>
      </w:r>
      <w:r w:rsidR="002416BC" w:rsidRPr="00CA07C3">
        <w:rPr>
          <w:rFonts w:cs="Times New Roman"/>
          <w:sz w:val="22"/>
        </w:rPr>
        <w:t xml:space="preserve">This </w:t>
      </w:r>
      <w:r w:rsidR="00A627DE">
        <w:rPr>
          <w:rFonts w:cs="Times New Roman"/>
          <w:sz w:val="22"/>
        </w:rPr>
        <w:t>may be due to</w:t>
      </w:r>
      <w:r w:rsidR="002416BC" w:rsidRPr="00CA07C3">
        <w:rPr>
          <w:rFonts w:cs="Times New Roman"/>
          <w:sz w:val="22"/>
        </w:rPr>
        <w:t xml:space="preserve"> </w:t>
      </w:r>
      <w:r w:rsidR="00EC7953">
        <w:rPr>
          <w:rFonts w:cs="Times New Roman"/>
          <w:sz w:val="22"/>
        </w:rPr>
        <w:t xml:space="preserve">the fact </w:t>
      </w:r>
      <w:r w:rsidR="002416BC" w:rsidRPr="00CA07C3">
        <w:rPr>
          <w:rFonts w:cs="Times New Roman"/>
          <w:sz w:val="22"/>
        </w:rPr>
        <w:t xml:space="preserve">that Omani financial and non-financial firms operate in </w:t>
      </w:r>
      <w:r w:rsidR="00EC7953">
        <w:rPr>
          <w:rFonts w:cs="Times New Roman"/>
          <w:sz w:val="22"/>
        </w:rPr>
        <w:t xml:space="preserve">an </w:t>
      </w:r>
      <w:r w:rsidR="002416BC" w:rsidRPr="00CA07C3">
        <w:rPr>
          <w:rFonts w:cs="Times New Roman"/>
          <w:sz w:val="22"/>
        </w:rPr>
        <w:t>environment</w:t>
      </w:r>
      <w:r w:rsidR="00EC7953">
        <w:rPr>
          <w:rFonts w:cs="Times New Roman"/>
          <w:sz w:val="22"/>
        </w:rPr>
        <w:t>,</w:t>
      </w:r>
      <w:r w:rsidR="002416BC" w:rsidRPr="00CA07C3">
        <w:rPr>
          <w:rFonts w:cs="Times New Roman"/>
          <w:sz w:val="22"/>
        </w:rPr>
        <w:t xml:space="preserve"> where corporate regulations</w:t>
      </w:r>
      <w:r w:rsidR="00BB0F3A">
        <w:rPr>
          <w:rFonts w:cs="Times New Roman"/>
          <w:sz w:val="22"/>
        </w:rPr>
        <w:t>, including CG ones</w:t>
      </w:r>
      <w:r w:rsidR="00EC7953">
        <w:rPr>
          <w:rFonts w:cs="Times New Roman"/>
          <w:sz w:val="22"/>
        </w:rPr>
        <w:t xml:space="preserve"> are applicable to both financial and non-financial firms in an equal measure</w:t>
      </w:r>
      <w:r w:rsidR="002416BC" w:rsidRPr="00CA07C3">
        <w:rPr>
          <w:rFonts w:cs="Times New Roman"/>
          <w:sz w:val="22"/>
        </w:rPr>
        <w:t xml:space="preserve">. </w:t>
      </w:r>
      <w:r w:rsidR="0041252A" w:rsidRPr="00CD5438">
        <w:rPr>
          <w:rFonts w:cs="Times New Roman"/>
          <w:sz w:val="22"/>
        </w:rPr>
        <w:t>Fourth</w:t>
      </w:r>
      <w:r w:rsidR="0041252A" w:rsidRPr="00CA07C3">
        <w:rPr>
          <w:rFonts w:cs="Times New Roman"/>
          <w:sz w:val="22"/>
        </w:rPr>
        <w:t xml:space="preserve">, </w:t>
      </w:r>
      <w:r w:rsidR="0041252A" w:rsidRPr="00CD5438">
        <w:rPr>
          <w:rFonts w:cs="Times New Roman"/>
          <w:sz w:val="22"/>
        </w:rPr>
        <w:t>to ascertain whether our findings are sensitive over the sample period</w:t>
      </w:r>
      <w:r w:rsidR="00EC7953">
        <w:rPr>
          <w:rFonts w:cs="Times New Roman"/>
          <w:sz w:val="22"/>
        </w:rPr>
        <w:t xml:space="preserve"> of our examination</w:t>
      </w:r>
      <w:r w:rsidR="0041252A" w:rsidRPr="00CD5438">
        <w:rPr>
          <w:rFonts w:cs="Times New Roman"/>
          <w:sz w:val="22"/>
        </w:rPr>
        <w:t>, we re-run our analysis by</w:t>
      </w:r>
      <w:r w:rsidR="0041252A" w:rsidRPr="00CA07C3">
        <w:rPr>
          <w:rFonts w:cs="Times New Roman"/>
          <w:sz w:val="22"/>
        </w:rPr>
        <w:t xml:space="preserve"> </w:t>
      </w:r>
      <w:r w:rsidR="006754BC">
        <w:rPr>
          <w:sz w:val="23"/>
          <w:szCs w:val="23"/>
        </w:rPr>
        <w:t xml:space="preserve">splitting our sample into two sub-samples: </w:t>
      </w:r>
      <w:r w:rsidR="006754BC">
        <w:rPr>
          <w:i/>
          <w:iCs/>
          <w:sz w:val="23"/>
          <w:szCs w:val="23"/>
        </w:rPr>
        <w:t xml:space="preserve">Pre-2003 </w:t>
      </w:r>
      <w:r w:rsidR="006754BC">
        <w:rPr>
          <w:sz w:val="23"/>
          <w:szCs w:val="23"/>
        </w:rPr>
        <w:t xml:space="preserve">(i.e., from 2001 to 2002) and </w:t>
      </w:r>
      <w:r w:rsidR="006754BC">
        <w:rPr>
          <w:i/>
          <w:iCs/>
          <w:sz w:val="23"/>
          <w:szCs w:val="23"/>
        </w:rPr>
        <w:t xml:space="preserve">Post-2003 </w:t>
      </w:r>
      <w:r w:rsidR="006754BC">
        <w:rPr>
          <w:sz w:val="23"/>
          <w:szCs w:val="23"/>
        </w:rPr>
        <w:t xml:space="preserve">(2003 to 2011) periods. It is evident from the reported results in Models 5 and 6 </w:t>
      </w:r>
      <w:r w:rsidR="006754BC" w:rsidRPr="00CA07C3">
        <w:rPr>
          <w:rFonts w:cs="Times New Roman"/>
          <w:sz w:val="22"/>
        </w:rPr>
        <w:t xml:space="preserve">of Table </w:t>
      </w:r>
      <w:r w:rsidR="006754BC">
        <w:rPr>
          <w:rFonts w:cs="Times New Roman"/>
          <w:sz w:val="22"/>
        </w:rPr>
        <w:t xml:space="preserve">7 </w:t>
      </w:r>
      <w:r w:rsidR="006754BC">
        <w:rPr>
          <w:sz w:val="23"/>
          <w:szCs w:val="23"/>
        </w:rPr>
        <w:t>that the main variable (</w:t>
      </w:r>
      <w:r w:rsidR="006754BC" w:rsidRPr="00397DE2">
        <w:rPr>
          <w:i/>
          <w:sz w:val="23"/>
          <w:szCs w:val="23"/>
        </w:rPr>
        <w:t>OCGI</w:t>
      </w:r>
      <w:r w:rsidR="006754BC">
        <w:rPr>
          <w:sz w:val="23"/>
          <w:szCs w:val="23"/>
        </w:rPr>
        <w:t xml:space="preserve">) is insignificant in the </w:t>
      </w:r>
      <w:r w:rsidR="006754BC">
        <w:rPr>
          <w:i/>
          <w:iCs/>
          <w:sz w:val="23"/>
          <w:szCs w:val="23"/>
        </w:rPr>
        <w:t xml:space="preserve">Pre-2003 </w:t>
      </w:r>
      <w:r w:rsidR="006754BC">
        <w:rPr>
          <w:sz w:val="23"/>
          <w:szCs w:val="23"/>
        </w:rPr>
        <w:t xml:space="preserve">period compared with that of the </w:t>
      </w:r>
      <w:r w:rsidR="006754BC">
        <w:rPr>
          <w:i/>
          <w:iCs/>
          <w:sz w:val="23"/>
          <w:szCs w:val="23"/>
        </w:rPr>
        <w:t xml:space="preserve">Post-2003 </w:t>
      </w:r>
      <w:r w:rsidR="006754BC">
        <w:rPr>
          <w:sz w:val="23"/>
          <w:szCs w:val="23"/>
        </w:rPr>
        <w:t>period, suggesting that the int</w:t>
      </w:r>
      <w:r w:rsidR="00321DB3">
        <w:rPr>
          <w:sz w:val="23"/>
          <w:szCs w:val="23"/>
        </w:rPr>
        <w:t xml:space="preserve">roduction of the 2002 Omani CG </w:t>
      </w:r>
      <w:r w:rsidR="00BB0F3A">
        <w:rPr>
          <w:sz w:val="23"/>
          <w:szCs w:val="23"/>
        </w:rPr>
        <w:t>C</w:t>
      </w:r>
      <w:r w:rsidR="006754BC">
        <w:rPr>
          <w:sz w:val="23"/>
          <w:szCs w:val="23"/>
        </w:rPr>
        <w:t>ode appears to have helped in reducing firms’ EM.</w:t>
      </w:r>
      <w:r w:rsidR="00A046C0">
        <w:rPr>
          <w:rFonts w:cs="Times New Roman"/>
          <w:sz w:val="22"/>
        </w:rPr>
        <w:t xml:space="preserve"> </w:t>
      </w:r>
      <w:r w:rsidR="005763D1" w:rsidRPr="00CD5438">
        <w:rPr>
          <w:rFonts w:cs="Times New Roman"/>
          <w:bCs/>
          <w:sz w:val="22"/>
        </w:rPr>
        <w:t>Finally,</w:t>
      </w:r>
      <w:r w:rsidR="005763D1" w:rsidRPr="00CA07C3">
        <w:rPr>
          <w:rFonts w:cs="Times New Roman"/>
          <w:bCs/>
          <w:sz w:val="22"/>
        </w:rPr>
        <w:t xml:space="preserve"> </w:t>
      </w:r>
      <w:r w:rsidR="007B1CCC" w:rsidRPr="00CA07C3">
        <w:rPr>
          <w:rFonts w:cs="Times New Roman"/>
          <w:sz w:val="22"/>
        </w:rPr>
        <w:t xml:space="preserve">we employ the widely used </w:t>
      </w:r>
      <w:r w:rsidR="007B1CCC" w:rsidRPr="00CA07C3">
        <w:rPr>
          <w:rFonts w:cs="Times New Roman"/>
          <w:i/>
          <w:sz w:val="22"/>
        </w:rPr>
        <w:t>2SLS</w:t>
      </w:r>
      <w:r w:rsidR="00A046C0">
        <w:rPr>
          <w:rFonts w:cs="Times New Roman"/>
          <w:sz w:val="22"/>
        </w:rPr>
        <w:t xml:space="preserve"> technique to</w:t>
      </w:r>
      <w:r w:rsidR="007B1CCC" w:rsidRPr="00CA07C3">
        <w:rPr>
          <w:rFonts w:cs="Times New Roman"/>
          <w:sz w:val="22"/>
        </w:rPr>
        <w:t xml:space="preserve"> check the possibility of endogenity problem</w:t>
      </w:r>
      <w:r w:rsidR="00143046">
        <w:rPr>
          <w:rFonts w:cs="Times New Roman"/>
          <w:sz w:val="22"/>
        </w:rPr>
        <w:t>s</w:t>
      </w:r>
      <w:r w:rsidR="007B1CCC" w:rsidRPr="00CA07C3">
        <w:rPr>
          <w:rFonts w:cs="Times New Roman"/>
          <w:sz w:val="22"/>
        </w:rPr>
        <w:t xml:space="preserve"> that may arise as a result of omitted variables and/or simultaneity (Larc</w:t>
      </w:r>
      <w:r w:rsidR="0041252A" w:rsidRPr="00CA07C3">
        <w:rPr>
          <w:rFonts w:cs="Times New Roman"/>
          <w:sz w:val="22"/>
        </w:rPr>
        <w:t>k</w:t>
      </w:r>
      <w:r w:rsidR="007B1CCC" w:rsidRPr="00CA07C3">
        <w:rPr>
          <w:rFonts w:cs="Times New Roman"/>
          <w:sz w:val="22"/>
        </w:rPr>
        <w:t>er and Rusticus, 2010).</w:t>
      </w:r>
      <w:r w:rsidR="00A046C0">
        <w:rPr>
          <w:rStyle w:val="FootnoteReference"/>
        </w:rPr>
        <w:footnoteReference w:id="6"/>
      </w:r>
      <w:r w:rsidR="00A046C0">
        <w:rPr>
          <w:rFonts w:cs="Times New Roman"/>
          <w:sz w:val="22"/>
        </w:rPr>
        <w:t xml:space="preserve"> </w:t>
      </w:r>
      <w:r w:rsidR="007B1CCC" w:rsidRPr="00CA07C3">
        <w:rPr>
          <w:rFonts w:cs="Times New Roman"/>
          <w:sz w:val="22"/>
        </w:rPr>
        <w:t>This may cause the OLS results (main results) to be biased and inconsistent. Following Larcher and Rusticus (2010</w:t>
      </w:r>
      <w:r w:rsidR="00BF67BB" w:rsidRPr="00CA07C3">
        <w:rPr>
          <w:rFonts w:cs="Times New Roman"/>
          <w:sz w:val="22"/>
        </w:rPr>
        <w:t xml:space="preserve">) methodology, the Hausman test is employed to detect the existence of </w:t>
      </w:r>
      <w:r w:rsidR="00EC7953">
        <w:rPr>
          <w:rFonts w:cs="Times New Roman"/>
          <w:sz w:val="22"/>
        </w:rPr>
        <w:t xml:space="preserve">any </w:t>
      </w:r>
      <w:r w:rsidR="00BF67BB" w:rsidRPr="00CA07C3">
        <w:rPr>
          <w:rFonts w:cs="Times New Roman"/>
          <w:sz w:val="22"/>
        </w:rPr>
        <w:t>endogeneity problem</w:t>
      </w:r>
      <w:r w:rsidR="00EC7953">
        <w:rPr>
          <w:rFonts w:cs="Times New Roman"/>
          <w:sz w:val="22"/>
        </w:rPr>
        <w:t xml:space="preserve">s. The test </w:t>
      </w:r>
      <w:r w:rsidR="00143046">
        <w:rPr>
          <w:rFonts w:cs="Times New Roman"/>
          <w:sz w:val="22"/>
        </w:rPr>
        <w:t xml:space="preserve">is made up </w:t>
      </w:r>
      <w:r w:rsidR="00EC7953">
        <w:rPr>
          <w:rFonts w:cs="Times New Roman"/>
          <w:sz w:val="22"/>
        </w:rPr>
        <w:t>o</w:t>
      </w:r>
      <w:r w:rsidR="00143046">
        <w:rPr>
          <w:rFonts w:cs="Times New Roman"/>
          <w:sz w:val="22"/>
        </w:rPr>
        <w:t>f</w:t>
      </w:r>
      <w:r w:rsidR="00BF67BB" w:rsidRPr="00CA07C3">
        <w:rPr>
          <w:rFonts w:cs="Times New Roman"/>
          <w:sz w:val="22"/>
        </w:rPr>
        <w:t xml:space="preserve"> two stages. </w:t>
      </w:r>
      <w:r w:rsidR="00EC7953">
        <w:rPr>
          <w:rFonts w:cs="Times New Roman"/>
          <w:sz w:val="22"/>
        </w:rPr>
        <w:t>In t</w:t>
      </w:r>
      <w:r w:rsidR="00BF67BB" w:rsidRPr="00CA07C3">
        <w:rPr>
          <w:rFonts w:cs="Times New Roman"/>
          <w:sz w:val="22"/>
        </w:rPr>
        <w:t>he first stage</w:t>
      </w:r>
      <w:r w:rsidR="00EC7953">
        <w:rPr>
          <w:rFonts w:cs="Times New Roman"/>
          <w:sz w:val="22"/>
        </w:rPr>
        <w:t xml:space="preserve"> and</w:t>
      </w:r>
      <w:r w:rsidR="00AF6496" w:rsidRPr="00CA07C3">
        <w:rPr>
          <w:rFonts w:cs="Times New Roman"/>
          <w:sz w:val="22"/>
        </w:rPr>
        <w:t xml:space="preserve"> as specified in equation </w:t>
      </w:r>
      <w:r w:rsidR="00EC7953">
        <w:rPr>
          <w:rFonts w:cs="Times New Roman"/>
          <w:sz w:val="22"/>
        </w:rPr>
        <w:t>(</w:t>
      </w:r>
      <w:r w:rsidR="00EE2DB2">
        <w:rPr>
          <w:rFonts w:cs="Times New Roman"/>
          <w:sz w:val="22"/>
        </w:rPr>
        <w:t>5</w:t>
      </w:r>
      <w:r w:rsidR="00EC7953">
        <w:rPr>
          <w:rFonts w:cs="Times New Roman"/>
          <w:sz w:val="22"/>
        </w:rPr>
        <w:t xml:space="preserve">) </w:t>
      </w:r>
      <w:r w:rsidR="00AF6496" w:rsidRPr="00CA07C3">
        <w:rPr>
          <w:rFonts w:cs="Times New Roman"/>
          <w:sz w:val="22"/>
        </w:rPr>
        <w:t xml:space="preserve">below, the </w:t>
      </w:r>
      <w:r w:rsidR="00BF67BB" w:rsidRPr="00CA07C3">
        <w:rPr>
          <w:rFonts w:cs="Times New Roman"/>
          <w:i/>
          <w:sz w:val="22"/>
        </w:rPr>
        <w:t>OCGI</w:t>
      </w:r>
      <w:r w:rsidR="00BF67BB" w:rsidRPr="00CA07C3">
        <w:rPr>
          <w:rFonts w:cs="Times New Roman"/>
          <w:sz w:val="22"/>
        </w:rPr>
        <w:t xml:space="preserve"> is regressed on </w:t>
      </w:r>
      <w:r w:rsidR="00EC7953">
        <w:rPr>
          <w:rFonts w:cs="Times New Roman"/>
          <w:sz w:val="22"/>
        </w:rPr>
        <w:t xml:space="preserve">the </w:t>
      </w:r>
      <w:r w:rsidR="00BF67BB" w:rsidRPr="00CA07C3">
        <w:rPr>
          <w:rFonts w:cs="Times New Roman"/>
          <w:sz w:val="22"/>
        </w:rPr>
        <w:t xml:space="preserve">control variables and </w:t>
      </w:r>
      <w:r w:rsidR="002D5B17" w:rsidRPr="00CA07C3">
        <w:rPr>
          <w:rFonts w:cs="Times New Roman"/>
          <w:sz w:val="22"/>
        </w:rPr>
        <w:t>its</w:t>
      </w:r>
      <w:r w:rsidR="00EC7953">
        <w:rPr>
          <w:rFonts w:cs="Times New Roman"/>
          <w:sz w:val="22"/>
        </w:rPr>
        <w:t xml:space="preserve"> resulting</w:t>
      </w:r>
      <w:r w:rsidR="002D5B17" w:rsidRPr="00CA07C3">
        <w:rPr>
          <w:rFonts w:cs="Times New Roman"/>
          <w:sz w:val="22"/>
        </w:rPr>
        <w:t xml:space="preserve"> predicted value</w:t>
      </w:r>
      <w:r w:rsidR="00EC7953">
        <w:rPr>
          <w:rFonts w:cs="Times New Roman"/>
          <w:sz w:val="22"/>
        </w:rPr>
        <w:t>s are saved</w:t>
      </w:r>
      <w:r w:rsidR="00BF67BB" w:rsidRPr="00CA07C3">
        <w:rPr>
          <w:rFonts w:cs="Times New Roman"/>
          <w:sz w:val="22"/>
        </w:rPr>
        <w:t xml:space="preserve"> as </w:t>
      </w:r>
      <w:r w:rsidR="000402A3">
        <w:rPr>
          <w:rFonts w:cs="Times New Roman"/>
          <w:i/>
          <w:iCs/>
          <w:sz w:val="22"/>
        </w:rPr>
        <w:t>P_</w:t>
      </w:r>
      <w:r w:rsidR="009733A3" w:rsidRPr="00CA07C3">
        <w:rPr>
          <w:rFonts w:cs="Times New Roman"/>
          <w:i/>
          <w:iCs/>
          <w:sz w:val="22"/>
        </w:rPr>
        <w:t>OCGI</w:t>
      </w:r>
      <w:r w:rsidR="00BF67BB" w:rsidRPr="00CA07C3">
        <w:rPr>
          <w:rFonts w:cs="Times New Roman"/>
          <w:sz w:val="22"/>
        </w:rPr>
        <w:t>.</w:t>
      </w:r>
      <w:r w:rsidR="00A046C0">
        <w:rPr>
          <w:rFonts w:cs="Times New Roman"/>
          <w:sz w:val="22"/>
        </w:rPr>
        <w:t xml:space="preserve"> </w:t>
      </w:r>
    </w:p>
    <w:p w:rsidR="00D01645" w:rsidRPr="00CA07C3" w:rsidRDefault="0041252A" w:rsidP="00EE2DB2">
      <w:pPr>
        <w:rPr>
          <w:rFonts w:eastAsiaTheme="minorEastAsia" w:cs="Times New Roman"/>
          <w:iCs/>
          <w:sz w:val="22"/>
        </w:rPr>
      </w:pPr>
      <w:r w:rsidRPr="00CA07C3">
        <w:rPr>
          <w:rFonts w:cs="Times New Roman"/>
          <w:sz w:val="22"/>
        </w:rPr>
        <w:t xml:space="preserve">                                  </w:t>
      </w:r>
      <w:r w:rsidR="00BF67BB" w:rsidRPr="00CA07C3">
        <w:rPr>
          <w:rFonts w:cs="Times New Roman"/>
          <w:position w:val="-28"/>
          <w:sz w:val="22"/>
        </w:rPr>
        <w:object w:dxaOrig="3800" w:dyaOrig="680">
          <v:shape id="_x0000_i1026" type="#_x0000_t75" style="width:200.25pt;height:35.25pt" o:ole="">
            <v:imagedata r:id="rId10" o:title=""/>
          </v:shape>
          <o:OLEObject Type="Embed" ProgID="Equation.3" ShapeID="_x0000_i1026" DrawAspect="Content" ObjectID="_1536742345" r:id="rId11"/>
        </w:object>
      </w:r>
      <w:r w:rsidR="00BF67BB" w:rsidRPr="00CA07C3">
        <w:rPr>
          <w:rFonts w:cs="Times New Roman"/>
          <w:sz w:val="22"/>
        </w:rPr>
        <w:t xml:space="preserve">                                             </w:t>
      </w:r>
      <w:r w:rsidR="002352E6" w:rsidRPr="00CA07C3">
        <w:rPr>
          <w:rFonts w:cs="Times New Roman"/>
          <w:sz w:val="22"/>
        </w:rPr>
        <w:t xml:space="preserve">     </w:t>
      </w:r>
      <w:r w:rsidR="000968D6">
        <w:rPr>
          <w:rFonts w:cs="Times New Roman"/>
          <w:sz w:val="22"/>
        </w:rPr>
        <w:t xml:space="preserve">        </w:t>
      </w:r>
      <w:r w:rsidR="002352E6" w:rsidRPr="00CA07C3">
        <w:rPr>
          <w:rFonts w:cs="Times New Roman"/>
          <w:sz w:val="22"/>
        </w:rPr>
        <w:t xml:space="preserve"> </w:t>
      </w:r>
      <w:r w:rsidR="00306A1A" w:rsidRPr="00CA07C3">
        <w:rPr>
          <w:rFonts w:cs="Times New Roman"/>
          <w:sz w:val="22"/>
        </w:rPr>
        <w:t>(</w:t>
      </w:r>
      <w:r w:rsidR="00EE2DB2">
        <w:rPr>
          <w:rFonts w:cs="Times New Roman"/>
          <w:sz w:val="22"/>
        </w:rPr>
        <w:t>5</w:t>
      </w:r>
      <w:r w:rsidR="00306A1A" w:rsidRPr="00CA07C3">
        <w:rPr>
          <w:rFonts w:cs="Times New Roman"/>
          <w:sz w:val="22"/>
        </w:rPr>
        <w:t>)</w:t>
      </w:r>
    </w:p>
    <w:p w:rsidR="00D01645" w:rsidRPr="00CA07C3" w:rsidRDefault="00950D3B" w:rsidP="00EE2DB2">
      <w:pPr>
        <w:spacing w:line="360" w:lineRule="auto"/>
        <w:jc w:val="both"/>
        <w:rPr>
          <w:rFonts w:cs="Times New Roman"/>
          <w:sz w:val="22"/>
        </w:rPr>
      </w:pPr>
      <w:r w:rsidRPr="00CA07C3">
        <w:rPr>
          <w:rFonts w:cs="Times New Roman"/>
          <w:sz w:val="22"/>
        </w:rPr>
        <w:t>W</w:t>
      </w:r>
      <w:r w:rsidR="00BF67BB" w:rsidRPr="00CA07C3">
        <w:rPr>
          <w:rFonts w:cs="Times New Roman"/>
          <w:sz w:val="22"/>
        </w:rPr>
        <w:t xml:space="preserve">here </w:t>
      </w:r>
      <w:r w:rsidR="00686819">
        <w:rPr>
          <w:rFonts w:cs="Times New Roman"/>
          <w:sz w:val="22"/>
        </w:rPr>
        <w:t xml:space="preserve">the </w:t>
      </w:r>
      <w:r w:rsidR="00BF67BB" w:rsidRPr="00CA07C3">
        <w:rPr>
          <w:rFonts w:cs="Times New Roman"/>
          <w:i/>
          <w:iCs/>
          <w:sz w:val="22"/>
        </w:rPr>
        <w:t>OCGI</w:t>
      </w:r>
      <w:r w:rsidR="00BF67BB" w:rsidRPr="00CA07C3">
        <w:rPr>
          <w:rFonts w:cs="Times New Roman"/>
          <w:sz w:val="22"/>
        </w:rPr>
        <w:t xml:space="preserve"> refers to </w:t>
      </w:r>
      <w:r w:rsidR="00EC7953">
        <w:rPr>
          <w:rFonts w:cs="Times New Roman"/>
          <w:sz w:val="22"/>
        </w:rPr>
        <w:t xml:space="preserve">the </w:t>
      </w:r>
      <w:r w:rsidR="00BF67BB" w:rsidRPr="00CA07C3">
        <w:rPr>
          <w:rFonts w:cs="Times New Roman"/>
          <w:sz w:val="22"/>
        </w:rPr>
        <w:t xml:space="preserve">Omani CG index and </w:t>
      </w:r>
      <w:r w:rsidR="00BF67BB" w:rsidRPr="00CA07C3">
        <w:rPr>
          <w:rFonts w:cs="Times New Roman"/>
          <w:i/>
          <w:iCs/>
          <w:sz w:val="22"/>
        </w:rPr>
        <w:t>CONTROLS</w:t>
      </w:r>
      <w:r w:rsidR="00BF67BB" w:rsidRPr="00CA07C3">
        <w:rPr>
          <w:rFonts w:cs="Times New Roman"/>
          <w:sz w:val="22"/>
        </w:rPr>
        <w:t xml:space="preserve"> refer</w:t>
      </w:r>
      <w:r w:rsidR="00EC7953">
        <w:rPr>
          <w:rFonts w:cs="Times New Roman"/>
          <w:sz w:val="22"/>
        </w:rPr>
        <w:t>s</w:t>
      </w:r>
      <w:r w:rsidR="00BF67BB" w:rsidRPr="00CA07C3">
        <w:rPr>
          <w:rFonts w:cs="Times New Roman"/>
          <w:sz w:val="22"/>
        </w:rPr>
        <w:t xml:space="preserve"> to </w:t>
      </w:r>
      <w:r w:rsidR="00EC7953">
        <w:rPr>
          <w:rFonts w:cs="Times New Roman"/>
          <w:sz w:val="22"/>
        </w:rPr>
        <w:t xml:space="preserve">the </w:t>
      </w:r>
      <w:r w:rsidR="00BF67BB" w:rsidRPr="00CA07C3">
        <w:rPr>
          <w:rFonts w:cs="Times New Roman"/>
          <w:sz w:val="22"/>
        </w:rPr>
        <w:t>control variables</w:t>
      </w:r>
      <w:r w:rsidR="00EC7953">
        <w:rPr>
          <w:rFonts w:cs="Times New Roman"/>
          <w:sz w:val="22"/>
        </w:rPr>
        <w:t>,</w:t>
      </w:r>
      <w:r w:rsidR="00BF67BB" w:rsidRPr="00CA07C3">
        <w:rPr>
          <w:rFonts w:cs="Times New Roman"/>
          <w:sz w:val="22"/>
        </w:rPr>
        <w:t xml:space="preserve"> which are the same as tho</w:t>
      </w:r>
      <w:r w:rsidR="002D5B17" w:rsidRPr="00CA07C3">
        <w:rPr>
          <w:rFonts w:cs="Times New Roman"/>
          <w:sz w:val="22"/>
        </w:rPr>
        <w:t xml:space="preserve">se used in </w:t>
      </w:r>
      <w:r w:rsidR="00BF67BB" w:rsidRPr="00CA07C3">
        <w:rPr>
          <w:rFonts w:cs="Times New Roman"/>
          <w:sz w:val="22"/>
        </w:rPr>
        <w:t xml:space="preserve">equation </w:t>
      </w:r>
      <w:r w:rsidR="002D5B17" w:rsidRPr="00CA07C3">
        <w:rPr>
          <w:rFonts w:cs="Times New Roman"/>
          <w:sz w:val="22"/>
        </w:rPr>
        <w:t>(</w:t>
      </w:r>
      <w:r w:rsidR="00EE2DB2">
        <w:rPr>
          <w:rFonts w:cs="Times New Roman"/>
          <w:sz w:val="22"/>
        </w:rPr>
        <w:t>4</w:t>
      </w:r>
      <w:r w:rsidR="00BF67BB" w:rsidRPr="00CA07C3">
        <w:rPr>
          <w:rFonts w:cs="Times New Roman"/>
          <w:sz w:val="22"/>
        </w:rPr>
        <w:t xml:space="preserve">). In the second stage, the </w:t>
      </w:r>
      <w:r w:rsidR="00BF67BB" w:rsidRPr="00CA07C3">
        <w:rPr>
          <w:rFonts w:cs="Times New Roman"/>
          <w:i/>
          <w:sz w:val="22"/>
        </w:rPr>
        <w:t>OCGI</w:t>
      </w:r>
      <w:r w:rsidR="00BF67BB" w:rsidRPr="00CA07C3">
        <w:rPr>
          <w:rFonts w:cs="Times New Roman"/>
          <w:sz w:val="22"/>
        </w:rPr>
        <w:t xml:space="preserve"> and </w:t>
      </w:r>
      <w:r w:rsidR="000402A3">
        <w:rPr>
          <w:rFonts w:cs="Times New Roman"/>
          <w:i/>
          <w:sz w:val="22"/>
        </w:rPr>
        <w:t>P_</w:t>
      </w:r>
      <w:r w:rsidR="00BF67BB" w:rsidRPr="00CA07C3">
        <w:rPr>
          <w:rFonts w:cs="Times New Roman"/>
          <w:i/>
          <w:sz w:val="22"/>
        </w:rPr>
        <w:t>OCGI</w:t>
      </w:r>
      <w:r w:rsidR="00BF67BB" w:rsidRPr="00CA07C3">
        <w:rPr>
          <w:rFonts w:cs="Times New Roman"/>
          <w:sz w:val="22"/>
        </w:rPr>
        <w:t xml:space="preserve"> in addition to </w:t>
      </w:r>
      <w:r w:rsidR="00EC7953">
        <w:rPr>
          <w:rFonts w:cs="Times New Roman"/>
          <w:sz w:val="22"/>
        </w:rPr>
        <w:t xml:space="preserve">the </w:t>
      </w:r>
      <w:r w:rsidR="00BF67BB" w:rsidRPr="00CA07C3">
        <w:rPr>
          <w:rFonts w:cs="Times New Roman"/>
          <w:sz w:val="22"/>
        </w:rPr>
        <w:t xml:space="preserve">control variables are included in </w:t>
      </w:r>
      <w:r w:rsidR="00EC7953">
        <w:rPr>
          <w:rFonts w:cs="Times New Roman"/>
          <w:sz w:val="22"/>
        </w:rPr>
        <w:t xml:space="preserve">the </w:t>
      </w:r>
      <w:r w:rsidR="00BF67BB" w:rsidRPr="00CA07C3">
        <w:rPr>
          <w:rFonts w:cs="Times New Roman"/>
          <w:sz w:val="22"/>
        </w:rPr>
        <w:t>following equation.</w:t>
      </w:r>
    </w:p>
    <w:p w:rsidR="00D01645" w:rsidRPr="00CA07C3" w:rsidRDefault="0041252A" w:rsidP="00EE2DB2">
      <w:pPr>
        <w:spacing w:line="360" w:lineRule="auto"/>
        <w:jc w:val="both"/>
        <w:rPr>
          <w:rFonts w:cs="Times New Roman"/>
          <w:sz w:val="22"/>
        </w:rPr>
      </w:pPr>
      <w:r w:rsidRPr="00CA07C3">
        <w:rPr>
          <w:rFonts w:cs="Times New Roman"/>
          <w:sz w:val="22"/>
        </w:rPr>
        <w:t xml:space="preserve">                 </w:t>
      </w:r>
      <w:r w:rsidR="000402A3" w:rsidRPr="00CA07C3">
        <w:rPr>
          <w:rFonts w:cs="Times New Roman"/>
          <w:position w:val="-28"/>
          <w:sz w:val="22"/>
        </w:rPr>
        <w:object w:dxaOrig="6280" w:dyaOrig="680">
          <v:shape id="_x0000_i1027" type="#_x0000_t75" style="width:330.75pt;height:35.25pt" o:ole="">
            <v:imagedata r:id="rId12" o:title=""/>
          </v:shape>
          <o:OLEObject Type="Embed" ProgID="Equation.3" ShapeID="_x0000_i1027" DrawAspect="Content" ObjectID="_1536742346" r:id="rId13"/>
        </w:object>
      </w:r>
      <w:r w:rsidR="00BF67BB" w:rsidRPr="00CA07C3">
        <w:rPr>
          <w:rFonts w:cs="Times New Roman"/>
          <w:sz w:val="22"/>
        </w:rPr>
        <w:t xml:space="preserve">                   </w:t>
      </w:r>
      <w:r w:rsidR="002352E6" w:rsidRPr="00CA07C3">
        <w:rPr>
          <w:rFonts w:cs="Times New Roman"/>
          <w:sz w:val="22"/>
        </w:rPr>
        <w:t xml:space="preserve">   </w:t>
      </w:r>
      <w:r w:rsidR="000968D6">
        <w:rPr>
          <w:rFonts w:cs="Times New Roman"/>
          <w:sz w:val="22"/>
        </w:rPr>
        <w:t xml:space="preserve"> </w:t>
      </w:r>
      <w:r w:rsidR="002352E6" w:rsidRPr="00CA07C3">
        <w:rPr>
          <w:rFonts w:cs="Times New Roman"/>
          <w:sz w:val="22"/>
        </w:rPr>
        <w:t xml:space="preserve">   </w:t>
      </w:r>
      <w:r w:rsidR="00306A1A" w:rsidRPr="00CA07C3">
        <w:rPr>
          <w:rFonts w:cs="Times New Roman"/>
          <w:sz w:val="22"/>
        </w:rPr>
        <w:t>(</w:t>
      </w:r>
      <w:r w:rsidR="00EE2DB2">
        <w:rPr>
          <w:rFonts w:cs="Times New Roman"/>
          <w:sz w:val="22"/>
        </w:rPr>
        <w:t>6</w:t>
      </w:r>
      <w:r w:rsidR="00306A1A" w:rsidRPr="00CA07C3">
        <w:rPr>
          <w:rFonts w:cs="Times New Roman"/>
          <w:sz w:val="22"/>
        </w:rPr>
        <w:t>)</w:t>
      </w:r>
    </w:p>
    <w:p w:rsidR="00D01645" w:rsidRPr="00CA07C3" w:rsidRDefault="00950D3B" w:rsidP="00EE2DB2">
      <w:pPr>
        <w:spacing w:line="360" w:lineRule="auto"/>
        <w:jc w:val="both"/>
        <w:rPr>
          <w:rFonts w:cs="Times New Roman"/>
          <w:sz w:val="22"/>
        </w:rPr>
      </w:pPr>
      <w:r w:rsidRPr="00CA07C3">
        <w:rPr>
          <w:rFonts w:cs="Times New Roman"/>
          <w:sz w:val="22"/>
        </w:rPr>
        <w:t>W</w:t>
      </w:r>
      <w:r w:rsidR="00BF67BB" w:rsidRPr="00CA07C3">
        <w:rPr>
          <w:rFonts w:cs="Times New Roman"/>
          <w:sz w:val="22"/>
        </w:rPr>
        <w:t xml:space="preserve">here </w:t>
      </w:r>
      <w:r w:rsidR="00BF67BB" w:rsidRPr="00CA07C3">
        <w:rPr>
          <w:rFonts w:cs="Times New Roman"/>
          <w:i/>
          <w:iCs/>
          <w:sz w:val="22"/>
        </w:rPr>
        <w:t>DA</w:t>
      </w:r>
      <w:r w:rsidR="00BF67BB" w:rsidRPr="00CA07C3">
        <w:rPr>
          <w:rFonts w:cs="Times New Roman"/>
          <w:sz w:val="22"/>
        </w:rPr>
        <w:t xml:space="preserve"> refers to </w:t>
      </w:r>
      <w:r w:rsidR="00EC7953">
        <w:rPr>
          <w:rFonts w:cs="Times New Roman"/>
          <w:sz w:val="22"/>
        </w:rPr>
        <w:t xml:space="preserve">the </w:t>
      </w:r>
      <w:r w:rsidR="00BF67BB" w:rsidRPr="00CA07C3">
        <w:rPr>
          <w:rFonts w:eastAsiaTheme="minorEastAsia" w:cs="Times New Roman"/>
          <w:sz w:val="22"/>
        </w:rPr>
        <w:t xml:space="preserve">discretionary accruals </w:t>
      </w:r>
      <w:r w:rsidR="00BF67BB" w:rsidRPr="00CA07C3">
        <w:rPr>
          <w:rFonts w:cs="Times New Roman"/>
          <w:sz w:val="22"/>
        </w:rPr>
        <w:t xml:space="preserve">measured by </w:t>
      </w:r>
      <w:r w:rsidR="00686819">
        <w:rPr>
          <w:rFonts w:cs="Times New Roman"/>
          <w:sz w:val="22"/>
        </w:rPr>
        <w:t xml:space="preserve">the 1995 </w:t>
      </w:r>
      <w:r w:rsidR="00BF67BB" w:rsidRPr="00CA07C3">
        <w:rPr>
          <w:rFonts w:cs="Times New Roman"/>
          <w:sz w:val="22"/>
        </w:rPr>
        <w:t xml:space="preserve">modified Jones Model, </w:t>
      </w:r>
      <w:r w:rsidR="00BF67BB" w:rsidRPr="00CA07C3">
        <w:rPr>
          <w:rFonts w:cs="Times New Roman"/>
          <w:i/>
          <w:iCs/>
          <w:sz w:val="22"/>
        </w:rPr>
        <w:t>OCGI</w:t>
      </w:r>
      <w:r w:rsidR="00BF67BB" w:rsidRPr="00CA07C3">
        <w:rPr>
          <w:rFonts w:cs="Times New Roman"/>
          <w:sz w:val="22"/>
        </w:rPr>
        <w:t xml:space="preserve"> refers to </w:t>
      </w:r>
      <w:r w:rsidR="00EC7953">
        <w:rPr>
          <w:rFonts w:cs="Times New Roman"/>
          <w:sz w:val="22"/>
        </w:rPr>
        <w:t xml:space="preserve">the </w:t>
      </w:r>
      <w:r w:rsidR="00BF67BB" w:rsidRPr="00CA07C3">
        <w:rPr>
          <w:rFonts w:cs="Times New Roman"/>
          <w:sz w:val="22"/>
        </w:rPr>
        <w:t xml:space="preserve">Omani CG index, </w:t>
      </w:r>
      <w:r w:rsidR="000402A3">
        <w:rPr>
          <w:rFonts w:cs="Times New Roman"/>
          <w:i/>
          <w:iCs/>
          <w:sz w:val="22"/>
        </w:rPr>
        <w:t>P_</w:t>
      </w:r>
      <w:r w:rsidR="00BF67BB" w:rsidRPr="00CA07C3">
        <w:rPr>
          <w:rFonts w:cs="Times New Roman"/>
          <w:i/>
          <w:iCs/>
          <w:sz w:val="22"/>
        </w:rPr>
        <w:t>OCGI</w:t>
      </w:r>
      <w:r w:rsidR="002D5B17" w:rsidRPr="00CA07C3">
        <w:rPr>
          <w:rFonts w:cs="Times New Roman"/>
          <w:sz w:val="22"/>
        </w:rPr>
        <w:t xml:space="preserve"> refers to the predicted value</w:t>
      </w:r>
      <w:r w:rsidR="00EC7953">
        <w:rPr>
          <w:rFonts w:cs="Times New Roman"/>
          <w:sz w:val="22"/>
        </w:rPr>
        <w:t>s</w:t>
      </w:r>
      <w:r w:rsidR="00BF67BB" w:rsidRPr="00CA07C3">
        <w:rPr>
          <w:rFonts w:cs="Times New Roman"/>
          <w:sz w:val="22"/>
        </w:rPr>
        <w:t xml:space="preserve"> of </w:t>
      </w:r>
      <w:r w:rsidR="00EC7953">
        <w:rPr>
          <w:rFonts w:cs="Times New Roman"/>
          <w:sz w:val="22"/>
        </w:rPr>
        <w:t xml:space="preserve">the </w:t>
      </w:r>
      <w:r w:rsidR="002D5B17" w:rsidRPr="00CA07C3">
        <w:rPr>
          <w:rFonts w:cs="Times New Roman"/>
          <w:i/>
          <w:sz w:val="22"/>
        </w:rPr>
        <w:t>OCGI</w:t>
      </w:r>
      <w:r w:rsidR="00EC7953">
        <w:rPr>
          <w:rFonts w:cs="Times New Roman"/>
          <w:sz w:val="22"/>
        </w:rPr>
        <w:t xml:space="preserve"> and</w:t>
      </w:r>
      <w:r w:rsidR="00BF67BB" w:rsidRPr="00CA07C3">
        <w:rPr>
          <w:rFonts w:cs="Times New Roman"/>
          <w:sz w:val="22"/>
        </w:rPr>
        <w:t xml:space="preserve"> </w:t>
      </w:r>
      <w:r w:rsidR="00BF67BB" w:rsidRPr="00CA07C3">
        <w:rPr>
          <w:rFonts w:cs="Times New Roman"/>
          <w:i/>
          <w:iCs/>
          <w:sz w:val="22"/>
        </w:rPr>
        <w:t>CONTROLS</w:t>
      </w:r>
      <w:r w:rsidR="00BF67BB" w:rsidRPr="00CA07C3">
        <w:rPr>
          <w:rFonts w:cs="Times New Roman"/>
          <w:sz w:val="22"/>
        </w:rPr>
        <w:t xml:space="preserve"> refer</w:t>
      </w:r>
      <w:r w:rsidR="00686819">
        <w:rPr>
          <w:rFonts w:cs="Times New Roman"/>
          <w:sz w:val="22"/>
        </w:rPr>
        <w:t>s</w:t>
      </w:r>
      <w:r w:rsidR="00BF67BB" w:rsidRPr="00CA07C3">
        <w:rPr>
          <w:rFonts w:cs="Times New Roman"/>
          <w:sz w:val="22"/>
        </w:rPr>
        <w:t xml:space="preserve"> to </w:t>
      </w:r>
      <w:r w:rsidR="00A54322">
        <w:rPr>
          <w:rFonts w:cs="Times New Roman"/>
          <w:sz w:val="22"/>
        </w:rPr>
        <w:t xml:space="preserve">the </w:t>
      </w:r>
      <w:r w:rsidR="00BF67BB" w:rsidRPr="00CA07C3">
        <w:rPr>
          <w:rFonts w:cs="Times New Roman"/>
          <w:sz w:val="22"/>
        </w:rPr>
        <w:t>control variables</w:t>
      </w:r>
      <w:r w:rsidR="00C12979">
        <w:rPr>
          <w:rFonts w:cs="Times New Roman"/>
          <w:sz w:val="22"/>
        </w:rPr>
        <w:t>,</w:t>
      </w:r>
      <w:r w:rsidR="00BF67BB" w:rsidRPr="00CA07C3">
        <w:rPr>
          <w:rFonts w:cs="Times New Roman"/>
          <w:sz w:val="22"/>
        </w:rPr>
        <w:t xml:space="preserve"> which are the same as tho</w:t>
      </w:r>
      <w:r w:rsidR="002D5B17" w:rsidRPr="00CA07C3">
        <w:rPr>
          <w:rFonts w:cs="Times New Roman"/>
          <w:sz w:val="22"/>
        </w:rPr>
        <w:t xml:space="preserve">se used in </w:t>
      </w:r>
      <w:r w:rsidR="00BF67BB" w:rsidRPr="00CA07C3">
        <w:rPr>
          <w:rFonts w:cs="Times New Roman"/>
          <w:sz w:val="22"/>
        </w:rPr>
        <w:t xml:space="preserve">equation </w:t>
      </w:r>
      <w:r w:rsidR="002D5B17" w:rsidRPr="00CA07C3">
        <w:rPr>
          <w:rFonts w:cs="Times New Roman"/>
          <w:sz w:val="22"/>
        </w:rPr>
        <w:t>(</w:t>
      </w:r>
      <w:r w:rsidR="00EE2DB2">
        <w:rPr>
          <w:rFonts w:cs="Times New Roman"/>
          <w:sz w:val="22"/>
        </w:rPr>
        <w:t>4</w:t>
      </w:r>
      <w:r w:rsidR="00BF67BB" w:rsidRPr="00CA07C3">
        <w:rPr>
          <w:rFonts w:cs="Times New Roman"/>
          <w:sz w:val="22"/>
        </w:rPr>
        <w:t>)</w:t>
      </w:r>
      <w:r w:rsidR="00C12979">
        <w:rPr>
          <w:rFonts w:cs="Times New Roman"/>
          <w:sz w:val="22"/>
        </w:rPr>
        <w:t>, with the test rejecting the</w:t>
      </w:r>
      <w:r w:rsidR="00BF67BB" w:rsidRPr="00CA07C3">
        <w:rPr>
          <w:rFonts w:cs="Times New Roman"/>
          <w:sz w:val="22"/>
        </w:rPr>
        <w:t xml:space="preserve"> null hypothesis of no endogeneity. In this sense, the </w:t>
      </w:r>
      <w:r w:rsidR="00BF67BB" w:rsidRPr="00CA07C3">
        <w:rPr>
          <w:rFonts w:cs="Times New Roman"/>
          <w:i/>
          <w:sz w:val="22"/>
        </w:rPr>
        <w:t>2SLS</w:t>
      </w:r>
      <w:r w:rsidR="00BF67BB" w:rsidRPr="00CA07C3">
        <w:rPr>
          <w:rFonts w:cs="Times New Roman"/>
          <w:sz w:val="22"/>
        </w:rPr>
        <w:t xml:space="preserve"> technique was performed as follow</w:t>
      </w:r>
      <w:r w:rsidR="00C12979">
        <w:rPr>
          <w:rFonts w:cs="Times New Roman"/>
          <w:sz w:val="22"/>
        </w:rPr>
        <w:t>s</w:t>
      </w:r>
      <w:r w:rsidR="00BF67BB" w:rsidRPr="00CA07C3">
        <w:rPr>
          <w:rFonts w:cs="Times New Roman"/>
          <w:sz w:val="22"/>
        </w:rPr>
        <w:t xml:space="preserve">. In the first stage, the </w:t>
      </w:r>
      <w:r w:rsidR="00BF67BB" w:rsidRPr="00CA07C3">
        <w:rPr>
          <w:rFonts w:cs="Times New Roman"/>
          <w:i/>
          <w:sz w:val="22"/>
        </w:rPr>
        <w:t>OCGI</w:t>
      </w:r>
      <w:r w:rsidR="00BF67BB" w:rsidRPr="00CA07C3">
        <w:rPr>
          <w:rFonts w:cs="Times New Roman"/>
          <w:sz w:val="22"/>
        </w:rPr>
        <w:t xml:space="preserve"> is assumed to be determined by the six control variables and four </w:t>
      </w:r>
      <w:r w:rsidR="00C12979">
        <w:rPr>
          <w:rFonts w:cs="Times New Roman"/>
          <w:sz w:val="22"/>
        </w:rPr>
        <w:t xml:space="preserve">new </w:t>
      </w:r>
      <w:r w:rsidR="00BF67BB" w:rsidRPr="00CA07C3">
        <w:rPr>
          <w:rFonts w:cs="Times New Roman"/>
          <w:sz w:val="22"/>
        </w:rPr>
        <w:t>alternative CG variables</w:t>
      </w:r>
      <w:r w:rsidR="00E35D27">
        <w:rPr>
          <w:rFonts w:cs="Times New Roman"/>
          <w:sz w:val="22"/>
        </w:rPr>
        <w:t>.</w:t>
      </w:r>
      <w:r w:rsidR="00E35D27">
        <w:rPr>
          <w:rStyle w:val="FootnoteReference"/>
        </w:rPr>
        <w:footnoteReference w:id="7"/>
      </w:r>
      <w:r w:rsidR="00BF67BB" w:rsidRPr="00CA07C3">
        <w:rPr>
          <w:rFonts w:cs="Times New Roman"/>
          <w:sz w:val="22"/>
        </w:rPr>
        <w:t xml:space="preserve"> The first stage regression is specified as follow</w:t>
      </w:r>
      <w:r w:rsidR="00C12979">
        <w:rPr>
          <w:rFonts w:cs="Times New Roman"/>
          <w:sz w:val="22"/>
        </w:rPr>
        <w:t>s</w:t>
      </w:r>
      <w:r w:rsidR="0040480A" w:rsidRPr="00CA07C3">
        <w:rPr>
          <w:rFonts w:cs="Times New Roman"/>
          <w:sz w:val="22"/>
        </w:rPr>
        <w:t xml:space="preserve"> (</w:t>
      </w:r>
      <w:r w:rsidR="00C12979">
        <w:rPr>
          <w:rFonts w:cs="Times New Roman"/>
          <w:sz w:val="22"/>
        </w:rPr>
        <w:t xml:space="preserve">for brevity, the first stage </w:t>
      </w:r>
      <w:r w:rsidR="0040480A" w:rsidRPr="00CA07C3">
        <w:rPr>
          <w:rFonts w:cs="Times New Roman"/>
          <w:sz w:val="22"/>
        </w:rPr>
        <w:t xml:space="preserve">results </w:t>
      </w:r>
      <w:r w:rsidR="00C12979">
        <w:rPr>
          <w:rFonts w:cs="Times New Roman"/>
          <w:sz w:val="22"/>
        </w:rPr>
        <w:t xml:space="preserve">are </w:t>
      </w:r>
      <w:r w:rsidR="0040480A" w:rsidRPr="00CA07C3">
        <w:rPr>
          <w:rFonts w:cs="Times New Roman"/>
          <w:sz w:val="22"/>
        </w:rPr>
        <w:t>not reported here</w:t>
      </w:r>
      <w:r w:rsidR="00C12979">
        <w:rPr>
          <w:rFonts w:cs="Times New Roman"/>
          <w:sz w:val="22"/>
        </w:rPr>
        <w:t>, but will be available upon request</w:t>
      </w:r>
      <w:r w:rsidR="0040480A" w:rsidRPr="00CA07C3">
        <w:rPr>
          <w:rFonts w:cs="Times New Roman"/>
          <w:sz w:val="22"/>
        </w:rPr>
        <w:t>)</w:t>
      </w:r>
      <w:r w:rsidR="00BF67BB" w:rsidRPr="00CA07C3">
        <w:rPr>
          <w:rFonts w:cs="Times New Roman"/>
          <w:sz w:val="22"/>
        </w:rPr>
        <w:t xml:space="preserve">. </w:t>
      </w:r>
    </w:p>
    <w:p w:rsidR="00D01645" w:rsidRPr="00CA07C3" w:rsidRDefault="0041252A" w:rsidP="00EE2DB2">
      <w:pPr>
        <w:spacing w:line="360" w:lineRule="auto"/>
        <w:jc w:val="both"/>
        <w:rPr>
          <w:rFonts w:cs="Times New Roman"/>
          <w:sz w:val="22"/>
        </w:rPr>
      </w:pPr>
      <w:r w:rsidRPr="00CA07C3">
        <w:rPr>
          <w:rFonts w:cs="Times New Roman"/>
          <w:sz w:val="22"/>
        </w:rPr>
        <w:t xml:space="preserve">    </w:t>
      </w:r>
      <w:r w:rsidR="0007600F" w:rsidRPr="00CA07C3">
        <w:rPr>
          <w:rFonts w:cs="Times New Roman"/>
          <w:position w:val="-28"/>
          <w:sz w:val="22"/>
        </w:rPr>
        <w:object w:dxaOrig="8880" w:dyaOrig="680">
          <v:shape id="_x0000_i1028" type="#_x0000_t75" style="width:417pt;height:35.25pt" o:ole="">
            <v:imagedata r:id="rId14" o:title=""/>
          </v:shape>
          <o:OLEObject Type="Embed" ProgID="Equation.3" ShapeID="_x0000_i1028" DrawAspect="Content" ObjectID="_1536742347" r:id="rId15"/>
        </w:object>
      </w:r>
      <w:r w:rsidR="00306A1A" w:rsidRPr="00CA07C3">
        <w:rPr>
          <w:rFonts w:cs="Times New Roman"/>
          <w:sz w:val="22"/>
        </w:rPr>
        <w:t xml:space="preserve">   </w:t>
      </w:r>
      <w:r w:rsidR="00A54322">
        <w:rPr>
          <w:rFonts w:cs="Times New Roman"/>
          <w:sz w:val="22"/>
        </w:rPr>
        <w:t xml:space="preserve">      </w:t>
      </w:r>
      <w:r w:rsidR="00306A1A" w:rsidRPr="00CA07C3">
        <w:rPr>
          <w:rFonts w:cs="Times New Roman"/>
          <w:sz w:val="22"/>
        </w:rPr>
        <w:t>(</w:t>
      </w:r>
      <w:r w:rsidR="00EE2DB2">
        <w:rPr>
          <w:rFonts w:cs="Times New Roman"/>
          <w:sz w:val="22"/>
        </w:rPr>
        <w:t>7</w:t>
      </w:r>
      <w:r w:rsidR="00306A1A" w:rsidRPr="00CA07C3">
        <w:rPr>
          <w:rFonts w:cs="Times New Roman"/>
          <w:sz w:val="22"/>
        </w:rPr>
        <w:t>)</w:t>
      </w:r>
    </w:p>
    <w:p w:rsidR="00D01645" w:rsidRPr="00313823" w:rsidRDefault="00BF67BB" w:rsidP="00EE2DB2">
      <w:pPr>
        <w:spacing w:line="360" w:lineRule="auto"/>
        <w:jc w:val="both"/>
        <w:rPr>
          <w:rFonts w:eastAsiaTheme="minorEastAsia" w:cs="Times New Roman"/>
          <w:iCs/>
          <w:sz w:val="22"/>
        </w:rPr>
      </w:pPr>
      <w:r w:rsidRPr="00CA07C3">
        <w:rPr>
          <w:rFonts w:eastAsiaTheme="minorEastAsia" w:cs="Times New Roman"/>
          <w:iCs/>
          <w:sz w:val="22"/>
        </w:rPr>
        <w:t xml:space="preserve">Where </w:t>
      </w:r>
      <w:r w:rsidRPr="00CA07C3">
        <w:rPr>
          <w:rFonts w:eastAsiaTheme="minorEastAsia" w:cs="Times New Roman"/>
          <w:i/>
          <w:sz w:val="22"/>
        </w:rPr>
        <w:t>OCGI</w:t>
      </w:r>
      <w:r w:rsidRPr="00CA07C3">
        <w:rPr>
          <w:rFonts w:eastAsiaTheme="minorEastAsia" w:cs="Times New Roman"/>
          <w:iCs/>
          <w:sz w:val="22"/>
        </w:rPr>
        <w:t xml:space="preserve"> refers to </w:t>
      </w:r>
      <w:r w:rsidR="00C12979">
        <w:rPr>
          <w:rFonts w:eastAsiaTheme="minorEastAsia" w:cs="Times New Roman"/>
          <w:iCs/>
          <w:sz w:val="22"/>
        </w:rPr>
        <w:t xml:space="preserve">the </w:t>
      </w:r>
      <w:r w:rsidRPr="00CA07C3">
        <w:rPr>
          <w:rFonts w:eastAsiaTheme="minorEastAsia" w:cs="Times New Roman"/>
          <w:iCs/>
          <w:sz w:val="22"/>
        </w:rPr>
        <w:t xml:space="preserve">Omani CG </w:t>
      </w:r>
      <w:r w:rsidR="0040480A" w:rsidRPr="00CA07C3">
        <w:rPr>
          <w:rFonts w:eastAsiaTheme="minorEastAsia" w:cs="Times New Roman"/>
          <w:iCs/>
          <w:sz w:val="22"/>
        </w:rPr>
        <w:t>index</w:t>
      </w:r>
      <w:r w:rsidRPr="00CA07C3">
        <w:rPr>
          <w:rFonts w:eastAsiaTheme="minorEastAsia" w:cs="Times New Roman"/>
          <w:iCs/>
          <w:sz w:val="22"/>
        </w:rPr>
        <w:t xml:space="preserve">, </w:t>
      </w:r>
      <w:r w:rsidRPr="00CA07C3">
        <w:rPr>
          <w:rFonts w:eastAsiaTheme="minorEastAsia" w:cs="Times New Roman"/>
          <w:i/>
          <w:sz w:val="22"/>
        </w:rPr>
        <w:t>BDIV</w:t>
      </w:r>
      <w:r w:rsidRPr="00CA07C3">
        <w:rPr>
          <w:rFonts w:eastAsiaTheme="minorEastAsia" w:cs="Times New Roman"/>
          <w:iCs/>
          <w:sz w:val="22"/>
        </w:rPr>
        <w:t xml:space="preserve">, </w:t>
      </w:r>
      <w:r w:rsidRPr="00CA07C3">
        <w:rPr>
          <w:rFonts w:eastAsiaTheme="minorEastAsia" w:cs="Times New Roman"/>
          <w:i/>
          <w:sz w:val="22"/>
        </w:rPr>
        <w:t>NEXD</w:t>
      </w:r>
      <w:r w:rsidRPr="00CA07C3">
        <w:rPr>
          <w:rFonts w:eastAsiaTheme="minorEastAsia" w:cs="Times New Roman"/>
          <w:iCs/>
          <w:sz w:val="22"/>
        </w:rPr>
        <w:t xml:space="preserve">, </w:t>
      </w:r>
      <w:r w:rsidRPr="00CA07C3">
        <w:rPr>
          <w:rFonts w:eastAsiaTheme="minorEastAsia" w:cs="Times New Roman"/>
          <w:i/>
          <w:sz w:val="22"/>
        </w:rPr>
        <w:t>NBMs</w:t>
      </w:r>
      <w:r w:rsidRPr="00CA07C3">
        <w:rPr>
          <w:rFonts w:eastAsiaTheme="minorEastAsia" w:cs="Times New Roman"/>
          <w:iCs/>
          <w:sz w:val="22"/>
        </w:rPr>
        <w:t xml:space="preserve">, and </w:t>
      </w:r>
      <w:r w:rsidRPr="00CA07C3">
        <w:rPr>
          <w:rFonts w:eastAsiaTheme="minorEastAsia" w:cs="Times New Roman"/>
          <w:i/>
          <w:sz w:val="22"/>
        </w:rPr>
        <w:t>CAPEX</w:t>
      </w:r>
      <w:r w:rsidRPr="00CA07C3">
        <w:rPr>
          <w:rFonts w:eastAsiaTheme="minorEastAsia" w:cs="Times New Roman"/>
          <w:iCs/>
          <w:sz w:val="22"/>
        </w:rPr>
        <w:t xml:space="preserve"> </w:t>
      </w:r>
      <w:r w:rsidR="00071D01">
        <w:rPr>
          <w:rFonts w:eastAsiaTheme="minorEastAsia" w:cs="Times New Roman"/>
          <w:iCs/>
          <w:sz w:val="22"/>
        </w:rPr>
        <w:t>are</w:t>
      </w:r>
      <w:r w:rsidRPr="00CA07C3">
        <w:rPr>
          <w:rFonts w:eastAsiaTheme="minorEastAsia" w:cs="Times New Roman"/>
          <w:iCs/>
          <w:sz w:val="22"/>
        </w:rPr>
        <w:t xml:space="preserve"> defined as </w:t>
      </w:r>
      <w:r w:rsidRPr="00CA07C3">
        <w:rPr>
          <w:rFonts w:cs="Times New Roman"/>
          <w:sz w:val="22"/>
        </w:rPr>
        <w:t xml:space="preserve">board diversity on the basis of </w:t>
      </w:r>
      <w:r w:rsidR="004A34B3">
        <w:rPr>
          <w:rFonts w:cs="Times New Roman"/>
          <w:sz w:val="22"/>
        </w:rPr>
        <w:t>nationality</w:t>
      </w:r>
      <w:r w:rsidRPr="00CA07C3">
        <w:rPr>
          <w:rFonts w:cs="Times New Roman"/>
          <w:sz w:val="22"/>
        </w:rPr>
        <w:t>, the number of non-executive directors on the board, the number of board’s directors meetings, and capital expenditure</w:t>
      </w:r>
      <w:r w:rsidR="00071D01">
        <w:rPr>
          <w:rFonts w:cs="Times New Roman"/>
          <w:sz w:val="22"/>
        </w:rPr>
        <w:t>, respectively</w:t>
      </w:r>
      <w:r w:rsidRPr="00CA07C3">
        <w:rPr>
          <w:rFonts w:cs="Times New Roman"/>
          <w:sz w:val="22"/>
        </w:rPr>
        <w:t xml:space="preserve">. </w:t>
      </w:r>
      <w:r w:rsidRPr="00CA07C3">
        <w:rPr>
          <w:rFonts w:cs="Times New Roman"/>
          <w:i/>
          <w:sz w:val="22"/>
        </w:rPr>
        <w:t>CONTROLS</w:t>
      </w:r>
      <w:r w:rsidRPr="00CA07C3">
        <w:rPr>
          <w:rFonts w:cs="Times New Roman"/>
          <w:sz w:val="22"/>
        </w:rPr>
        <w:t xml:space="preserve"> refer</w:t>
      </w:r>
      <w:r w:rsidR="00840DB4">
        <w:rPr>
          <w:rFonts w:cs="Times New Roman"/>
          <w:sz w:val="22"/>
        </w:rPr>
        <w:t>s</w:t>
      </w:r>
      <w:r w:rsidRPr="00CA07C3">
        <w:rPr>
          <w:rFonts w:cs="Times New Roman"/>
          <w:sz w:val="22"/>
        </w:rPr>
        <w:t xml:space="preserve"> </w:t>
      </w:r>
      <w:r w:rsidR="00313823" w:rsidRPr="00CA07C3">
        <w:rPr>
          <w:rFonts w:cs="Times New Roman"/>
          <w:sz w:val="22"/>
        </w:rPr>
        <w:t>to control variables which are the same as those used in equation (</w:t>
      </w:r>
      <w:r w:rsidR="00EE2DB2">
        <w:rPr>
          <w:rFonts w:cs="Times New Roman"/>
          <w:sz w:val="22"/>
        </w:rPr>
        <w:t>4</w:t>
      </w:r>
      <w:r w:rsidR="00313823" w:rsidRPr="00CA07C3">
        <w:rPr>
          <w:rFonts w:cs="Times New Roman"/>
          <w:sz w:val="22"/>
        </w:rPr>
        <w:t>)</w:t>
      </w:r>
      <w:r w:rsidR="00313823">
        <w:rPr>
          <w:rFonts w:cs="Times New Roman"/>
          <w:sz w:val="22"/>
        </w:rPr>
        <w:t>.</w:t>
      </w:r>
      <w:r w:rsidR="00313823">
        <w:rPr>
          <w:rFonts w:eastAsiaTheme="minorEastAsia" w:cs="Times New Roman"/>
          <w:iCs/>
          <w:sz w:val="22"/>
        </w:rPr>
        <w:t xml:space="preserve"> </w:t>
      </w:r>
      <w:r w:rsidRPr="00CA07C3">
        <w:rPr>
          <w:rFonts w:eastAsiaTheme="minorEastAsia" w:cs="Times New Roman"/>
          <w:iCs/>
          <w:sz w:val="22"/>
        </w:rPr>
        <w:t xml:space="preserve">The </w:t>
      </w:r>
      <w:r w:rsidR="0052724B" w:rsidRPr="00CA07C3">
        <w:rPr>
          <w:rFonts w:eastAsiaTheme="minorEastAsia" w:cs="Times New Roman"/>
          <w:iCs/>
          <w:sz w:val="22"/>
        </w:rPr>
        <w:t>predicted value</w:t>
      </w:r>
      <w:r w:rsidRPr="00CA07C3">
        <w:rPr>
          <w:rFonts w:eastAsiaTheme="minorEastAsia" w:cs="Times New Roman"/>
          <w:iCs/>
          <w:sz w:val="22"/>
        </w:rPr>
        <w:t xml:space="preserve"> of </w:t>
      </w:r>
      <w:r w:rsidR="00840DB4">
        <w:rPr>
          <w:rFonts w:eastAsiaTheme="minorEastAsia" w:cs="Times New Roman"/>
          <w:iCs/>
          <w:sz w:val="22"/>
        </w:rPr>
        <w:t xml:space="preserve">the </w:t>
      </w:r>
      <w:r w:rsidR="0052724B" w:rsidRPr="00CA07C3">
        <w:rPr>
          <w:rFonts w:eastAsiaTheme="minorEastAsia" w:cs="Times New Roman"/>
          <w:i/>
          <w:iCs/>
          <w:sz w:val="22"/>
        </w:rPr>
        <w:t>OCGI</w:t>
      </w:r>
      <w:r w:rsidRPr="00CA07C3">
        <w:rPr>
          <w:rFonts w:eastAsiaTheme="minorEastAsia" w:cs="Times New Roman"/>
          <w:iCs/>
          <w:sz w:val="22"/>
        </w:rPr>
        <w:t xml:space="preserve"> </w:t>
      </w:r>
      <w:r w:rsidR="0052724B" w:rsidRPr="00CA07C3">
        <w:rPr>
          <w:rFonts w:eastAsiaTheme="minorEastAsia" w:cs="Times New Roman"/>
          <w:iCs/>
          <w:sz w:val="22"/>
        </w:rPr>
        <w:t>is</w:t>
      </w:r>
      <w:r w:rsidRPr="00CA07C3">
        <w:rPr>
          <w:rFonts w:eastAsiaTheme="minorEastAsia" w:cs="Times New Roman"/>
          <w:iCs/>
          <w:sz w:val="22"/>
        </w:rPr>
        <w:t xml:space="preserve"> saved and referred to it as </w:t>
      </w:r>
      <w:r w:rsidR="000402A3">
        <w:rPr>
          <w:rFonts w:eastAsiaTheme="minorEastAsia" w:cs="Times New Roman"/>
          <w:i/>
          <w:sz w:val="22"/>
        </w:rPr>
        <w:t>P_</w:t>
      </w:r>
      <w:r w:rsidRPr="00CA07C3">
        <w:rPr>
          <w:rFonts w:eastAsiaTheme="minorEastAsia" w:cs="Times New Roman"/>
          <w:i/>
          <w:sz w:val="22"/>
        </w:rPr>
        <w:t>OCGI</w:t>
      </w:r>
      <w:r w:rsidRPr="00CA07C3">
        <w:rPr>
          <w:rFonts w:eastAsiaTheme="minorEastAsia" w:cs="Times New Roman"/>
          <w:iCs/>
          <w:sz w:val="22"/>
        </w:rPr>
        <w:t xml:space="preserve">, as well as the residuals is saved and referred </w:t>
      </w:r>
      <w:r w:rsidR="0089693D" w:rsidRPr="00CA07C3">
        <w:rPr>
          <w:rFonts w:eastAsiaTheme="minorEastAsia" w:cs="Times New Roman"/>
          <w:iCs/>
          <w:sz w:val="22"/>
        </w:rPr>
        <w:t xml:space="preserve">to it </w:t>
      </w:r>
      <w:r w:rsidRPr="00CA07C3">
        <w:rPr>
          <w:rFonts w:eastAsiaTheme="minorEastAsia" w:cs="Times New Roman"/>
          <w:iCs/>
          <w:sz w:val="22"/>
        </w:rPr>
        <w:t xml:space="preserve">as </w:t>
      </w:r>
      <w:r w:rsidR="000402A3">
        <w:rPr>
          <w:rFonts w:eastAsiaTheme="minorEastAsia" w:cs="Times New Roman"/>
          <w:i/>
          <w:sz w:val="22"/>
        </w:rPr>
        <w:t>R_</w:t>
      </w:r>
      <w:r w:rsidRPr="00CA07C3">
        <w:rPr>
          <w:rFonts w:eastAsiaTheme="minorEastAsia" w:cs="Times New Roman"/>
          <w:i/>
          <w:sz w:val="22"/>
        </w:rPr>
        <w:t>OCGI</w:t>
      </w:r>
      <w:r w:rsidRPr="00CA07C3">
        <w:rPr>
          <w:rFonts w:eastAsiaTheme="minorEastAsia" w:cs="Times New Roman"/>
          <w:iCs/>
          <w:sz w:val="22"/>
        </w:rPr>
        <w:t xml:space="preserve">. The </w:t>
      </w:r>
      <w:r w:rsidRPr="00CA07C3">
        <w:rPr>
          <w:rFonts w:cs="Times New Roman"/>
          <w:color w:val="000000"/>
          <w:sz w:val="22"/>
        </w:rPr>
        <w:t>correlation matrix (</w:t>
      </w:r>
      <w:r w:rsidR="0007600F">
        <w:rPr>
          <w:rFonts w:cs="Times New Roman"/>
          <w:color w:val="000000"/>
          <w:sz w:val="22"/>
        </w:rPr>
        <w:t xml:space="preserve">which for brevity is </w:t>
      </w:r>
      <w:r w:rsidRPr="00CA07C3">
        <w:rPr>
          <w:rFonts w:cs="Times New Roman"/>
          <w:color w:val="000000"/>
          <w:sz w:val="22"/>
        </w:rPr>
        <w:t>not reported here</w:t>
      </w:r>
      <w:r w:rsidR="0007600F">
        <w:rPr>
          <w:rFonts w:cs="Times New Roman"/>
          <w:color w:val="000000"/>
          <w:sz w:val="22"/>
        </w:rPr>
        <w:t>, but will be made available upon request</w:t>
      </w:r>
      <w:r w:rsidRPr="00CA07C3">
        <w:rPr>
          <w:rFonts w:cs="Times New Roman"/>
          <w:color w:val="000000"/>
          <w:sz w:val="22"/>
        </w:rPr>
        <w:t xml:space="preserve">) shows that the predicted value of </w:t>
      </w:r>
      <w:r w:rsidR="0007600F">
        <w:rPr>
          <w:rFonts w:cs="Times New Roman"/>
          <w:color w:val="000000"/>
          <w:sz w:val="22"/>
        </w:rPr>
        <w:t xml:space="preserve">the </w:t>
      </w:r>
      <w:r w:rsidRPr="00CA07C3">
        <w:rPr>
          <w:rFonts w:cs="Times New Roman"/>
          <w:i/>
          <w:color w:val="000000"/>
          <w:sz w:val="22"/>
        </w:rPr>
        <w:t xml:space="preserve">OCGI </w:t>
      </w:r>
      <w:r w:rsidRPr="00CA07C3">
        <w:rPr>
          <w:rFonts w:cs="Times New Roman"/>
          <w:color w:val="000000"/>
          <w:sz w:val="22"/>
        </w:rPr>
        <w:t>(</w:t>
      </w:r>
      <w:r w:rsidR="000402A3">
        <w:rPr>
          <w:rFonts w:cs="Times New Roman"/>
          <w:i/>
          <w:color w:val="000000"/>
          <w:sz w:val="22"/>
        </w:rPr>
        <w:t>P_</w:t>
      </w:r>
      <w:r w:rsidRPr="00CA07C3">
        <w:rPr>
          <w:rFonts w:cs="Times New Roman"/>
          <w:i/>
          <w:color w:val="000000"/>
          <w:sz w:val="22"/>
        </w:rPr>
        <w:t>OCGI</w:t>
      </w:r>
      <w:r w:rsidRPr="00CA07C3">
        <w:rPr>
          <w:rFonts w:cs="Times New Roman"/>
          <w:color w:val="000000"/>
          <w:sz w:val="22"/>
        </w:rPr>
        <w:t xml:space="preserve">) is highly correlated with </w:t>
      </w:r>
      <w:r w:rsidR="003F3F14">
        <w:rPr>
          <w:rFonts w:cs="Times New Roman"/>
          <w:color w:val="000000"/>
          <w:sz w:val="22"/>
        </w:rPr>
        <w:t xml:space="preserve">the </w:t>
      </w:r>
      <w:r w:rsidRPr="00E35D27">
        <w:rPr>
          <w:rFonts w:cs="Times New Roman"/>
          <w:i/>
          <w:iCs/>
          <w:color w:val="000000"/>
          <w:sz w:val="22"/>
        </w:rPr>
        <w:t>OCGI</w:t>
      </w:r>
      <w:r w:rsidRPr="00CA07C3">
        <w:rPr>
          <w:rFonts w:cs="Times New Roman"/>
          <w:color w:val="000000"/>
          <w:sz w:val="22"/>
        </w:rPr>
        <w:t xml:space="preserve"> and lowly correlated with </w:t>
      </w:r>
      <w:r w:rsidR="0007600F">
        <w:rPr>
          <w:rFonts w:cs="Times New Roman"/>
          <w:color w:val="000000"/>
          <w:sz w:val="22"/>
        </w:rPr>
        <w:t xml:space="preserve">the </w:t>
      </w:r>
      <w:r w:rsidR="000402A3">
        <w:rPr>
          <w:rFonts w:cs="Times New Roman"/>
          <w:i/>
          <w:iCs/>
          <w:color w:val="000000"/>
          <w:sz w:val="22"/>
        </w:rPr>
        <w:t>R_</w:t>
      </w:r>
      <w:r w:rsidRPr="00CA07C3">
        <w:rPr>
          <w:rFonts w:cs="Times New Roman"/>
          <w:i/>
          <w:iCs/>
          <w:color w:val="000000"/>
          <w:sz w:val="22"/>
        </w:rPr>
        <w:t>OCGI</w:t>
      </w:r>
      <w:r w:rsidR="0007600F">
        <w:rPr>
          <w:rFonts w:cs="Times New Roman"/>
          <w:color w:val="000000"/>
          <w:sz w:val="22"/>
        </w:rPr>
        <w:t xml:space="preserve">, </w:t>
      </w:r>
      <w:r w:rsidRPr="00CA07C3">
        <w:rPr>
          <w:rFonts w:cs="Times New Roman"/>
          <w:color w:val="000000"/>
          <w:sz w:val="22"/>
        </w:rPr>
        <w:t xml:space="preserve">indicating that the </w:t>
      </w:r>
      <w:r w:rsidR="000402A3">
        <w:rPr>
          <w:rFonts w:cs="Times New Roman"/>
          <w:i/>
          <w:iCs/>
          <w:color w:val="000000"/>
          <w:sz w:val="22"/>
        </w:rPr>
        <w:t>P_</w:t>
      </w:r>
      <w:r w:rsidRPr="00CA07C3">
        <w:rPr>
          <w:rFonts w:cs="Times New Roman"/>
          <w:i/>
          <w:iCs/>
          <w:color w:val="000000"/>
          <w:sz w:val="22"/>
        </w:rPr>
        <w:t>OCGI</w:t>
      </w:r>
      <w:r w:rsidRPr="00CA07C3">
        <w:rPr>
          <w:rFonts w:cs="Times New Roman"/>
          <w:color w:val="000000"/>
          <w:sz w:val="22"/>
        </w:rPr>
        <w:t xml:space="preserve"> is relevant and valid instrument for </w:t>
      </w:r>
      <w:r w:rsidR="003F3F14">
        <w:rPr>
          <w:rFonts w:cs="Times New Roman"/>
          <w:color w:val="000000"/>
          <w:sz w:val="22"/>
        </w:rPr>
        <w:t xml:space="preserve">the </w:t>
      </w:r>
      <w:r w:rsidRPr="00CA07C3">
        <w:rPr>
          <w:rFonts w:cs="Times New Roman"/>
          <w:i/>
          <w:color w:val="000000"/>
          <w:sz w:val="22"/>
        </w:rPr>
        <w:t>OCGI</w:t>
      </w:r>
      <w:r w:rsidRPr="00CA07C3">
        <w:rPr>
          <w:rFonts w:cs="Times New Roman"/>
          <w:color w:val="000000"/>
          <w:sz w:val="22"/>
        </w:rPr>
        <w:t>. In the second stage, equation (</w:t>
      </w:r>
      <w:r w:rsidR="00EE2DB2">
        <w:rPr>
          <w:rFonts w:cs="Times New Roman"/>
          <w:color w:val="000000"/>
          <w:sz w:val="22"/>
        </w:rPr>
        <w:t>4</w:t>
      </w:r>
      <w:r w:rsidRPr="00CA07C3">
        <w:rPr>
          <w:rFonts w:cs="Times New Roman"/>
          <w:color w:val="000000"/>
          <w:sz w:val="22"/>
        </w:rPr>
        <w:t xml:space="preserve">) is re-estimated by using </w:t>
      </w:r>
      <w:r w:rsidR="003F3F14">
        <w:rPr>
          <w:rFonts w:cs="Times New Roman"/>
          <w:color w:val="000000"/>
          <w:sz w:val="22"/>
        </w:rPr>
        <w:t xml:space="preserve">the </w:t>
      </w:r>
      <w:r w:rsidR="000402A3">
        <w:rPr>
          <w:rFonts w:cs="Times New Roman"/>
          <w:i/>
          <w:color w:val="000000"/>
          <w:sz w:val="22"/>
        </w:rPr>
        <w:t>P_</w:t>
      </w:r>
      <w:r w:rsidRPr="00CA07C3">
        <w:rPr>
          <w:rFonts w:cs="Times New Roman"/>
          <w:i/>
          <w:color w:val="000000"/>
          <w:sz w:val="22"/>
        </w:rPr>
        <w:t>OCGI</w:t>
      </w:r>
      <w:r w:rsidRPr="00CA07C3">
        <w:rPr>
          <w:rFonts w:cs="Times New Roman"/>
          <w:color w:val="000000"/>
          <w:sz w:val="22"/>
        </w:rPr>
        <w:t xml:space="preserve"> instead of </w:t>
      </w:r>
      <w:r w:rsidR="003F3F14">
        <w:rPr>
          <w:rFonts w:cs="Times New Roman"/>
          <w:color w:val="000000"/>
          <w:sz w:val="22"/>
        </w:rPr>
        <w:t xml:space="preserve">the </w:t>
      </w:r>
      <w:r w:rsidRPr="00CA07C3">
        <w:rPr>
          <w:rFonts w:cs="Times New Roman"/>
          <w:i/>
          <w:color w:val="000000"/>
          <w:sz w:val="22"/>
        </w:rPr>
        <w:t>OCGI</w:t>
      </w:r>
      <w:r w:rsidRPr="00CA07C3">
        <w:rPr>
          <w:rFonts w:cs="Times New Roman"/>
          <w:color w:val="000000"/>
          <w:sz w:val="22"/>
        </w:rPr>
        <w:t xml:space="preserve"> as specified below. </w:t>
      </w:r>
    </w:p>
    <w:p w:rsidR="00BF67BB" w:rsidRPr="00CA07C3" w:rsidRDefault="00BF67BB" w:rsidP="00D34AFC">
      <w:pPr>
        <w:spacing w:line="360" w:lineRule="auto"/>
        <w:jc w:val="both"/>
        <w:rPr>
          <w:rFonts w:cs="Times New Roman"/>
          <w:color w:val="000000"/>
          <w:sz w:val="22"/>
        </w:rPr>
      </w:pPr>
    </w:p>
    <w:p w:rsidR="00306A1A" w:rsidRPr="00CA07C3" w:rsidRDefault="00471529" w:rsidP="00EE2DB2">
      <w:pPr>
        <w:spacing w:line="360" w:lineRule="auto"/>
        <w:jc w:val="both"/>
        <w:rPr>
          <w:rFonts w:cs="Times New Roman"/>
          <w:color w:val="000000"/>
          <w:sz w:val="22"/>
        </w:rPr>
      </w:pPr>
      <w:r w:rsidRPr="00E35D27">
        <w:rPr>
          <w:rFonts w:cs="Times New Roman"/>
          <w:position w:val="-46"/>
          <w:sz w:val="22"/>
        </w:rPr>
        <w:object w:dxaOrig="8720" w:dyaOrig="1040">
          <v:shape id="_x0000_i1029" type="#_x0000_t75" style="width:421.5pt;height:54.75pt" o:ole="">
            <v:imagedata r:id="rId16" o:title=""/>
          </v:shape>
          <o:OLEObject Type="Embed" ProgID="Equation.3" ShapeID="_x0000_i1029" DrawAspect="Content" ObjectID="_1536742348" r:id="rId17"/>
        </w:object>
      </w:r>
      <w:r w:rsidR="00E35D27">
        <w:rPr>
          <w:rFonts w:cs="Times New Roman"/>
          <w:sz w:val="22"/>
        </w:rPr>
        <w:t xml:space="preserve">           (</w:t>
      </w:r>
      <w:r w:rsidR="00EE2DB2">
        <w:rPr>
          <w:rFonts w:cs="Times New Roman"/>
          <w:sz w:val="22"/>
        </w:rPr>
        <w:t>8</w:t>
      </w:r>
      <w:r w:rsidR="00E35D27">
        <w:rPr>
          <w:rFonts w:cs="Times New Roman"/>
          <w:sz w:val="22"/>
        </w:rPr>
        <w:t>)</w:t>
      </w:r>
      <w:r w:rsidR="00306A1A" w:rsidRPr="00CA07C3">
        <w:rPr>
          <w:rFonts w:cs="Times New Roman"/>
          <w:sz w:val="22"/>
        </w:rPr>
        <w:t xml:space="preserve"> </w:t>
      </w:r>
      <w:r w:rsidR="002352E6" w:rsidRPr="00CA07C3">
        <w:rPr>
          <w:rFonts w:cs="Times New Roman"/>
          <w:sz w:val="22"/>
        </w:rPr>
        <w:t xml:space="preserve">       </w:t>
      </w:r>
    </w:p>
    <w:p w:rsidR="00B46BBB" w:rsidRDefault="00950D3B" w:rsidP="00EE2DB2">
      <w:pPr>
        <w:autoSpaceDE w:val="0"/>
        <w:autoSpaceDN w:val="0"/>
        <w:adjustRightInd w:val="0"/>
        <w:spacing w:line="360" w:lineRule="auto"/>
        <w:jc w:val="both"/>
        <w:rPr>
          <w:rFonts w:cs="Times New Roman"/>
          <w:sz w:val="22"/>
        </w:rPr>
      </w:pPr>
      <w:r w:rsidRPr="00CA07C3">
        <w:rPr>
          <w:rFonts w:cs="Times New Roman"/>
          <w:sz w:val="22"/>
        </w:rPr>
        <w:t>W</w:t>
      </w:r>
      <w:r w:rsidR="008F51AD" w:rsidRPr="00CA07C3">
        <w:rPr>
          <w:rFonts w:cs="Times New Roman"/>
          <w:sz w:val="22"/>
        </w:rPr>
        <w:t>here everthing remains the same as those used in equation (</w:t>
      </w:r>
      <w:r w:rsidR="00EE2DB2">
        <w:rPr>
          <w:rFonts w:cs="Times New Roman"/>
          <w:sz w:val="22"/>
        </w:rPr>
        <w:t>4</w:t>
      </w:r>
      <w:r w:rsidR="008F51AD" w:rsidRPr="00CA07C3">
        <w:rPr>
          <w:rFonts w:cs="Times New Roman"/>
          <w:sz w:val="22"/>
        </w:rPr>
        <w:t xml:space="preserve">) except that we replace </w:t>
      </w:r>
      <w:r w:rsidR="00471529">
        <w:rPr>
          <w:rFonts w:cs="Times New Roman"/>
          <w:sz w:val="22"/>
        </w:rPr>
        <w:t xml:space="preserve">the </w:t>
      </w:r>
      <w:r w:rsidR="008F51AD" w:rsidRPr="00CA07C3">
        <w:rPr>
          <w:rFonts w:cs="Times New Roman"/>
          <w:i/>
          <w:sz w:val="22"/>
        </w:rPr>
        <w:t>OCGI</w:t>
      </w:r>
      <w:r w:rsidR="008F51AD" w:rsidRPr="00CA07C3">
        <w:rPr>
          <w:rFonts w:cs="Times New Roman"/>
          <w:sz w:val="22"/>
        </w:rPr>
        <w:t xml:space="preserve"> </w:t>
      </w:r>
      <w:r w:rsidR="00471529">
        <w:rPr>
          <w:rFonts w:cs="Times New Roman"/>
          <w:sz w:val="22"/>
        </w:rPr>
        <w:t xml:space="preserve">with its </w:t>
      </w:r>
      <w:r w:rsidR="008F51AD" w:rsidRPr="00CA07C3">
        <w:rPr>
          <w:rFonts w:cs="Times New Roman"/>
          <w:sz w:val="22"/>
        </w:rPr>
        <w:t>predicted</w:t>
      </w:r>
      <w:r w:rsidR="00471529">
        <w:rPr>
          <w:rFonts w:cs="Times New Roman"/>
          <w:i/>
          <w:sz w:val="22"/>
        </w:rPr>
        <w:t xml:space="preserve"> </w:t>
      </w:r>
      <w:r w:rsidR="00471529">
        <w:rPr>
          <w:rFonts w:cs="Times New Roman"/>
          <w:sz w:val="22"/>
        </w:rPr>
        <w:t>values</w:t>
      </w:r>
      <w:r w:rsidR="008F51AD" w:rsidRPr="00CA07C3">
        <w:rPr>
          <w:rFonts w:cs="Times New Roman"/>
          <w:sz w:val="22"/>
        </w:rPr>
        <w:t xml:space="preserve"> (</w:t>
      </w:r>
      <w:r w:rsidR="000402A3">
        <w:rPr>
          <w:rFonts w:cs="Times New Roman"/>
          <w:i/>
          <w:sz w:val="22"/>
        </w:rPr>
        <w:t>P_</w:t>
      </w:r>
      <w:r w:rsidR="008F51AD" w:rsidRPr="00CA07C3">
        <w:rPr>
          <w:rFonts w:cs="Times New Roman"/>
          <w:i/>
          <w:sz w:val="22"/>
        </w:rPr>
        <w:t>OCGI</w:t>
      </w:r>
      <w:r w:rsidR="008F51AD" w:rsidRPr="00CA07C3">
        <w:rPr>
          <w:rFonts w:cs="Times New Roman"/>
          <w:sz w:val="22"/>
        </w:rPr>
        <w:t xml:space="preserve">). </w:t>
      </w:r>
      <w:r w:rsidR="0052724B" w:rsidRPr="00CA07C3">
        <w:rPr>
          <w:rFonts w:cs="Times New Roman"/>
          <w:sz w:val="22"/>
        </w:rPr>
        <w:t xml:space="preserve">The results of </w:t>
      </w:r>
      <w:r w:rsidR="00471529">
        <w:rPr>
          <w:rFonts w:cs="Times New Roman"/>
          <w:sz w:val="22"/>
        </w:rPr>
        <w:t xml:space="preserve">the </w:t>
      </w:r>
      <w:r w:rsidR="0052724B" w:rsidRPr="00CA07C3">
        <w:rPr>
          <w:rFonts w:cs="Times New Roman"/>
          <w:i/>
          <w:sz w:val="22"/>
        </w:rPr>
        <w:t>2SLS</w:t>
      </w:r>
      <w:r w:rsidR="0052724B" w:rsidRPr="00CA07C3">
        <w:rPr>
          <w:rFonts w:cs="Times New Roman"/>
          <w:sz w:val="22"/>
        </w:rPr>
        <w:t xml:space="preserve"> are presented in</w:t>
      </w:r>
      <w:r w:rsidR="008F51AD" w:rsidRPr="00CA07C3">
        <w:rPr>
          <w:rFonts w:cs="Times New Roman"/>
          <w:sz w:val="22"/>
        </w:rPr>
        <w:t xml:space="preserve"> Model 7 of Table 7</w:t>
      </w:r>
      <w:r w:rsidR="0041252A" w:rsidRPr="00CA07C3">
        <w:rPr>
          <w:rFonts w:cs="Times New Roman"/>
          <w:sz w:val="22"/>
        </w:rPr>
        <w:t>,</w:t>
      </w:r>
      <w:r w:rsidR="008F51AD" w:rsidRPr="00CA07C3">
        <w:rPr>
          <w:rFonts w:cs="Times New Roman"/>
          <w:sz w:val="22"/>
        </w:rPr>
        <w:t xml:space="preserve"> which are considerably in line with</w:t>
      </w:r>
      <w:r w:rsidR="00471529">
        <w:rPr>
          <w:rFonts w:cs="Times New Roman"/>
          <w:sz w:val="22"/>
        </w:rPr>
        <w:t xml:space="preserve"> those obtained by estimating the </w:t>
      </w:r>
      <w:r w:rsidR="008F51AD" w:rsidRPr="00CA07C3">
        <w:rPr>
          <w:rFonts w:cs="Times New Roman"/>
          <w:sz w:val="22"/>
        </w:rPr>
        <w:t>OLS model</w:t>
      </w:r>
      <w:r w:rsidR="00E35D27">
        <w:rPr>
          <w:rFonts w:cs="Times New Roman"/>
          <w:sz w:val="22"/>
        </w:rPr>
        <w:t xml:space="preserve"> </w:t>
      </w:r>
      <w:r w:rsidR="00471529">
        <w:rPr>
          <w:rFonts w:cs="Times New Roman"/>
          <w:sz w:val="22"/>
        </w:rPr>
        <w:t xml:space="preserve">and reported </w:t>
      </w:r>
      <w:r w:rsidR="00E35D27">
        <w:rPr>
          <w:rFonts w:cs="Times New Roman"/>
          <w:sz w:val="22"/>
        </w:rPr>
        <w:t>in Model 1 of Table 7.</w:t>
      </w:r>
      <w:r w:rsidR="005C6C02">
        <w:rPr>
          <w:rStyle w:val="FootnoteReference"/>
        </w:rPr>
        <w:footnoteReference w:id="8"/>
      </w:r>
      <w:r w:rsidR="00C8044A" w:rsidRPr="00CA07C3">
        <w:rPr>
          <w:rFonts w:cs="Times New Roman"/>
          <w:sz w:val="22"/>
        </w:rPr>
        <w:t xml:space="preserve"> Overall, our sensitivity </w:t>
      </w:r>
      <w:r w:rsidR="005C6C02">
        <w:rPr>
          <w:rFonts w:cs="Times New Roman"/>
          <w:sz w:val="22"/>
        </w:rPr>
        <w:t>analy</w:t>
      </w:r>
      <w:r w:rsidR="003E2E58">
        <w:rPr>
          <w:rFonts w:cs="Times New Roman"/>
          <w:sz w:val="22"/>
        </w:rPr>
        <w:t>sis</w:t>
      </w:r>
      <w:r w:rsidR="00C8044A" w:rsidRPr="00CA07C3">
        <w:rPr>
          <w:rFonts w:cs="Times New Roman"/>
          <w:sz w:val="22"/>
        </w:rPr>
        <w:t xml:space="preserve"> suggest</w:t>
      </w:r>
      <w:r w:rsidR="003E2E58">
        <w:rPr>
          <w:rFonts w:cs="Times New Roman"/>
          <w:sz w:val="22"/>
        </w:rPr>
        <w:t>s</w:t>
      </w:r>
      <w:r w:rsidR="00C8044A" w:rsidRPr="00CA07C3">
        <w:rPr>
          <w:rFonts w:cs="Times New Roman"/>
          <w:sz w:val="22"/>
        </w:rPr>
        <w:t xml:space="preserve"> that our results are fairly robust to alternative CG</w:t>
      </w:r>
      <w:r w:rsidR="003F3F14">
        <w:rPr>
          <w:rFonts w:cs="Times New Roman"/>
          <w:sz w:val="22"/>
        </w:rPr>
        <w:t>/</w:t>
      </w:r>
      <w:r w:rsidR="00C8044A" w:rsidRPr="00CA07C3">
        <w:rPr>
          <w:rFonts w:cs="Times New Roman"/>
          <w:sz w:val="22"/>
        </w:rPr>
        <w:t>EM measures and estimation techniques</w:t>
      </w:r>
      <w:r w:rsidR="00313823">
        <w:rPr>
          <w:rFonts w:cs="Times New Roman"/>
          <w:sz w:val="22"/>
        </w:rPr>
        <w:t xml:space="preserve">, including </w:t>
      </w:r>
      <w:r w:rsidR="003F3F14">
        <w:rPr>
          <w:rFonts w:cs="Times New Roman"/>
          <w:sz w:val="22"/>
        </w:rPr>
        <w:t xml:space="preserve">any potential </w:t>
      </w:r>
      <w:r w:rsidR="00313823">
        <w:rPr>
          <w:rFonts w:cs="Times New Roman"/>
          <w:sz w:val="22"/>
        </w:rPr>
        <w:t>endogenei</w:t>
      </w:r>
      <w:r w:rsidR="003F3F14">
        <w:rPr>
          <w:rFonts w:cs="Times New Roman"/>
          <w:sz w:val="22"/>
        </w:rPr>
        <w:t>ties</w:t>
      </w:r>
      <w:r w:rsidR="00C8044A" w:rsidRPr="00CA07C3">
        <w:rPr>
          <w:rFonts w:cs="Times New Roman"/>
          <w:sz w:val="22"/>
        </w:rPr>
        <w:t>.</w:t>
      </w:r>
    </w:p>
    <w:p w:rsidR="001D2DB0" w:rsidRPr="00CA07C3" w:rsidRDefault="001D2DB0" w:rsidP="00E35D27">
      <w:pPr>
        <w:autoSpaceDE w:val="0"/>
        <w:autoSpaceDN w:val="0"/>
        <w:adjustRightInd w:val="0"/>
        <w:spacing w:line="360" w:lineRule="auto"/>
        <w:jc w:val="both"/>
        <w:rPr>
          <w:rFonts w:cs="Times New Roman"/>
          <w:sz w:val="22"/>
        </w:rPr>
      </w:pPr>
    </w:p>
    <w:p w:rsidR="00B46BBB" w:rsidRPr="00F76586" w:rsidRDefault="00330DD3" w:rsidP="00330DD3">
      <w:pPr>
        <w:rPr>
          <w:b/>
          <w:sz w:val="22"/>
        </w:rPr>
      </w:pPr>
      <w:r w:rsidRPr="00F76586">
        <w:rPr>
          <w:b/>
          <w:sz w:val="22"/>
        </w:rPr>
        <w:t xml:space="preserve">8. </w:t>
      </w:r>
      <w:r w:rsidR="00F361B2" w:rsidRPr="00F76586">
        <w:rPr>
          <w:b/>
          <w:sz w:val="22"/>
        </w:rPr>
        <w:t>Summary and conclusion</w:t>
      </w:r>
    </w:p>
    <w:p w:rsidR="00E865C4" w:rsidRDefault="00E865C4" w:rsidP="001D2DB0">
      <w:pPr>
        <w:jc w:val="both"/>
        <w:rPr>
          <w:rFonts w:cs="Times New Roman"/>
          <w:sz w:val="22"/>
        </w:rPr>
      </w:pPr>
    </w:p>
    <w:p w:rsidR="00C90C4E" w:rsidRPr="00CA07C3" w:rsidRDefault="00471529" w:rsidP="003A7545">
      <w:pPr>
        <w:spacing w:line="360" w:lineRule="auto"/>
        <w:ind w:firstLine="720"/>
        <w:jc w:val="both"/>
        <w:rPr>
          <w:rFonts w:cs="Times New Roman"/>
          <w:sz w:val="22"/>
        </w:rPr>
      </w:pPr>
      <w:r>
        <w:rPr>
          <w:rFonts w:cs="Times New Roman"/>
          <w:sz w:val="22"/>
        </w:rPr>
        <w:t>Although a considerable number of studies have examined the effect of a number of corporate governance (CG) mechanisms on the extent of corporate earnings management (EM), their findings are largely mixed. Discernibly, existing studies have a number of limitations, including being informed main</w:t>
      </w:r>
      <w:r w:rsidR="00C208E3">
        <w:rPr>
          <w:rFonts w:cs="Times New Roman"/>
          <w:sz w:val="22"/>
        </w:rPr>
        <w:t>l</w:t>
      </w:r>
      <w:r>
        <w:rPr>
          <w:rFonts w:cs="Times New Roman"/>
          <w:sz w:val="22"/>
        </w:rPr>
        <w:t>y by th</w:t>
      </w:r>
      <w:r w:rsidR="00C208E3">
        <w:rPr>
          <w:rFonts w:cs="Times New Roman"/>
          <w:sz w:val="22"/>
        </w:rPr>
        <w:t>e</w:t>
      </w:r>
      <w:r>
        <w:rPr>
          <w:rFonts w:cs="Times New Roman"/>
          <w:sz w:val="22"/>
        </w:rPr>
        <w:t xml:space="preserve"> ubiquitous rational economics t</w:t>
      </w:r>
      <w:r w:rsidR="00C208E3">
        <w:rPr>
          <w:rFonts w:cs="Times New Roman"/>
          <w:sz w:val="22"/>
        </w:rPr>
        <w:t>heory of agency, focusing primarily</w:t>
      </w:r>
      <w:r>
        <w:rPr>
          <w:rFonts w:cs="Times New Roman"/>
          <w:sz w:val="22"/>
        </w:rPr>
        <w:t xml:space="preserve"> on developing co</w:t>
      </w:r>
      <w:r w:rsidR="00C208E3">
        <w:rPr>
          <w:rFonts w:cs="Times New Roman"/>
          <w:sz w:val="22"/>
        </w:rPr>
        <w:t>untries and investigating mostly</w:t>
      </w:r>
      <w:r>
        <w:rPr>
          <w:rFonts w:cs="Times New Roman"/>
          <w:sz w:val="22"/>
        </w:rPr>
        <w:t xml:space="preserve"> the effect of individual CG mechanisms on the extent of EM. By contrast, e</w:t>
      </w:r>
      <w:r w:rsidR="00536B4C" w:rsidRPr="00CA07C3">
        <w:rPr>
          <w:rFonts w:cs="Times New Roman"/>
          <w:sz w:val="22"/>
        </w:rPr>
        <w:t xml:space="preserve">mpirical evidence on why and how a </w:t>
      </w:r>
      <w:r w:rsidR="00BB1CA8">
        <w:rPr>
          <w:rFonts w:cs="Times New Roman"/>
          <w:sz w:val="22"/>
        </w:rPr>
        <w:t xml:space="preserve">firm’s </w:t>
      </w:r>
      <w:r w:rsidR="003A7545">
        <w:rPr>
          <w:rFonts w:cs="Times New Roman"/>
          <w:sz w:val="22"/>
        </w:rPr>
        <w:t>CG</w:t>
      </w:r>
      <w:r w:rsidR="00BB1CA8">
        <w:rPr>
          <w:rFonts w:cs="Times New Roman"/>
          <w:sz w:val="22"/>
        </w:rPr>
        <w:t xml:space="preserve"> </w:t>
      </w:r>
      <w:r w:rsidR="00536B4C" w:rsidRPr="00CA07C3">
        <w:rPr>
          <w:rFonts w:cs="Times New Roman"/>
          <w:sz w:val="22"/>
        </w:rPr>
        <w:t>might influence it</w:t>
      </w:r>
      <w:r w:rsidR="00BB1CA8">
        <w:rPr>
          <w:rFonts w:cs="Times New Roman"/>
          <w:sz w:val="22"/>
        </w:rPr>
        <w:t>s level of EM</w:t>
      </w:r>
      <w:r w:rsidR="00AE22D0">
        <w:rPr>
          <w:rFonts w:cs="Times New Roman"/>
          <w:sz w:val="22"/>
        </w:rPr>
        <w:t xml:space="preserve"> is</w:t>
      </w:r>
      <w:r w:rsidR="00536B4C" w:rsidRPr="00CA07C3">
        <w:rPr>
          <w:rFonts w:cs="Times New Roman"/>
          <w:sz w:val="22"/>
        </w:rPr>
        <w:t xml:space="preserve"> generally limited</w:t>
      </w:r>
      <w:r>
        <w:rPr>
          <w:rFonts w:cs="Times New Roman"/>
          <w:sz w:val="22"/>
        </w:rPr>
        <w:t xml:space="preserve"> in developing countries</w:t>
      </w:r>
      <w:r w:rsidR="00536B4C" w:rsidRPr="00CA07C3">
        <w:rPr>
          <w:rFonts w:cs="Times New Roman"/>
          <w:sz w:val="22"/>
        </w:rPr>
        <w:t xml:space="preserve">, but particularly </w:t>
      </w:r>
      <w:r w:rsidR="00C65E63">
        <w:rPr>
          <w:rFonts w:cs="Times New Roman"/>
          <w:sz w:val="22"/>
        </w:rPr>
        <w:t xml:space="preserve">acute </w:t>
      </w:r>
      <w:r w:rsidR="00536B4C" w:rsidRPr="00CA07C3">
        <w:rPr>
          <w:rFonts w:cs="Times New Roman"/>
          <w:sz w:val="22"/>
        </w:rPr>
        <w:t>in the Mid</w:t>
      </w:r>
      <w:r w:rsidR="00CD0FBF">
        <w:rPr>
          <w:rFonts w:cs="Times New Roman"/>
          <w:sz w:val="22"/>
        </w:rPr>
        <w:t>dle East and North Africa</w:t>
      </w:r>
      <w:r w:rsidR="00536B4C" w:rsidRPr="00CA07C3">
        <w:rPr>
          <w:rFonts w:cs="Times New Roman"/>
          <w:sz w:val="22"/>
        </w:rPr>
        <w:t xml:space="preserve"> region. </w:t>
      </w:r>
      <w:r w:rsidR="00BD5EAC">
        <w:rPr>
          <w:rFonts w:cs="Times New Roman"/>
          <w:sz w:val="22"/>
        </w:rPr>
        <w:t>Additionally, despite increasi</w:t>
      </w:r>
      <w:r w:rsidR="00C65E63">
        <w:rPr>
          <w:rFonts w:cs="Times New Roman"/>
          <w:sz w:val="22"/>
        </w:rPr>
        <w:t>ng evidence that the heavy reliance on</w:t>
      </w:r>
      <w:r w:rsidR="00BD5EAC">
        <w:rPr>
          <w:rFonts w:cs="Times New Roman"/>
          <w:sz w:val="22"/>
        </w:rPr>
        <w:t xml:space="preserve"> the dominant rational agency theory is unable to provide a full explanation for magerial motivation to engage in EM and that there is </w:t>
      </w:r>
      <w:r w:rsidR="004A34B3">
        <w:rPr>
          <w:rFonts w:cs="Times New Roman"/>
          <w:sz w:val="22"/>
        </w:rPr>
        <w:t>a</w:t>
      </w:r>
      <w:r w:rsidR="00BD5EAC">
        <w:rPr>
          <w:rFonts w:cs="Times New Roman"/>
          <w:sz w:val="22"/>
        </w:rPr>
        <w:t xml:space="preserve"> need to consider alternative theoretical perspectives, none of the existing studies have explicitly informed their analysis by drawing, for example, on the insights of behavioural theory of corporate boards and governance </w:t>
      </w:r>
      <w:r w:rsidR="00BD5EAC" w:rsidRPr="004671E5">
        <w:rPr>
          <w:rFonts w:cs="Times New Roman"/>
        </w:rPr>
        <w:t>(Gabrielsson &amp; Huse, 2004; van Ees et al., 2009; Huse et al., 2011)</w:t>
      </w:r>
      <w:r w:rsidR="00BD5EAC">
        <w:rPr>
          <w:rFonts w:cs="Times New Roman"/>
        </w:rPr>
        <w:t xml:space="preserve">. </w:t>
      </w:r>
      <w:r w:rsidR="00536B4C" w:rsidRPr="00CA07C3">
        <w:rPr>
          <w:rFonts w:cs="Times New Roman"/>
          <w:sz w:val="22"/>
        </w:rPr>
        <w:t>Arguably, th</w:t>
      </w:r>
      <w:r w:rsidR="00BD5EAC">
        <w:rPr>
          <w:rFonts w:cs="Times New Roman"/>
          <w:sz w:val="22"/>
        </w:rPr>
        <w:t>ese developments</w:t>
      </w:r>
      <w:r w:rsidR="00536B4C" w:rsidRPr="00CA07C3">
        <w:rPr>
          <w:rFonts w:cs="Times New Roman"/>
          <w:sz w:val="22"/>
        </w:rPr>
        <w:t xml:space="preserve"> limit current international understanding of how and why CG might con</w:t>
      </w:r>
      <w:r w:rsidR="00AE22D0">
        <w:rPr>
          <w:rFonts w:cs="Times New Roman"/>
          <w:sz w:val="22"/>
        </w:rPr>
        <w:t>s</w:t>
      </w:r>
      <w:r w:rsidR="00536B4C" w:rsidRPr="00CA07C3">
        <w:rPr>
          <w:rFonts w:cs="Times New Roman"/>
          <w:sz w:val="22"/>
        </w:rPr>
        <w:t>train or f</w:t>
      </w:r>
      <w:r w:rsidR="00BB1CA8">
        <w:rPr>
          <w:rFonts w:cs="Times New Roman"/>
          <w:sz w:val="22"/>
        </w:rPr>
        <w:t>acilitate corporate EM</w:t>
      </w:r>
      <w:r w:rsidR="00CD0FBF">
        <w:rPr>
          <w:rFonts w:cs="Times New Roman"/>
          <w:sz w:val="22"/>
        </w:rPr>
        <w:t xml:space="preserve"> in different corporate contexts</w:t>
      </w:r>
      <w:r w:rsidR="00536B4C" w:rsidRPr="00CA07C3">
        <w:rPr>
          <w:rFonts w:cs="Times New Roman"/>
          <w:sz w:val="22"/>
        </w:rPr>
        <w:t xml:space="preserve">. Therefore, this paper has examined the </w:t>
      </w:r>
      <w:r w:rsidR="00BD5EAC">
        <w:rPr>
          <w:rFonts w:cs="Times New Roman"/>
          <w:sz w:val="22"/>
        </w:rPr>
        <w:t xml:space="preserve">effect of the </w:t>
      </w:r>
      <w:r w:rsidR="00536B4C" w:rsidRPr="00CA07C3">
        <w:rPr>
          <w:rFonts w:cs="Times New Roman"/>
          <w:sz w:val="22"/>
        </w:rPr>
        <w:t>quality of firm</w:t>
      </w:r>
      <w:r w:rsidR="00AE22D0">
        <w:rPr>
          <w:rFonts w:cs="Times New Roman"/>
          <w:sz w:val="22"/>
        </w:rPr>
        <w:t>-level CG</w:t>
      </w:r>
      <w:r w:rsidR="00BD5EAC">
        <w:rPr>
          <w:rFonts w:cs="Times New Roman"/>
          <w:sz w:val="22"/>
        </w:rPr>
        <w:t xml:space="preserve"> and Islamic governance (IG) committee on the extent of</w:t>
      </w:r>
      <w:r w:rsidR="00AE22D0">
        <w:rPr>
          <w:rFonts w:cs="Times New Roman"/>
          <w:sz w:val="22"/>
        </w:rPr>
        <w:t xml:space="preserve"> EM</w:t>
      </w:r>
      <w:r w:rsidR="00536B4C" w:rsidRPr="00CA07C3">
        <w:rPr>
          <w:rFonts w:cs="Times New Roman"/>
          <w:sz w:val="22"/>
        </w:rPr>
        <w:t xml:space="preserve"> in Oman from 2001 to 2011. This coincides with </w:t>
      </w:r>
      <w:r w:rsidR="00C65E63">
        <w:rPr>
          <w:rFonts w:cs="Times New Roman"/>
          <w:sz w:val="22"/>
        </w:rPr>
        <w:t xml:space="preserve">a </w:t>
      </w:r>
      <w:r w:rsidR="00536B4C" w:rsidRPr="00CA07C3">
        <w:rPr>
          <w:rFonts w:cs="Times New Roman"/>
          <w:sz w:val="22"/>
        </w:rPr>
        <w:t xml:space="preserve">period in which the Omani authorities pursued CG reforms </w:t>
      </w:r>
      <w:r w:rsidR="00BD5EAC">
        <w:rPr>
          <w:rFonts w:cs="Times New Roman"/>
          <w:sz w:val="22"/>
        </w:rPr>
        <w:t xml:space="preserve">that were </w:t>
      </w:r>
      <w:r w:rsidR="00536B4C" w:rsidRPr="00CA07C3">
        <w:rPr>
          <w:rFonts w:cs="Times New Roman"/>
          <w:sz w:val="22"/>
        </w:rPr>
        <w:t>aimed at improving corporate performance and practi</w:t>
      </w:r>
      <w:r w:rsidR="00351ABC">
        <w:rPr>
          <w:rFonts w:cs="Times New Roman"/>
          <w:sz w:val="22"/>
        </w:rPr>
        <w:t>ces, including enhancing</w:t>
      </w:r>
      <w:r w:rsidR="00AF6496" w:rsidRPr="00CA07C3">
        <w:rPr>
          <w:rFonts w:cs="Times New Roman"/>
          <w:sz w:val="22"/>
        </w:rPr>
        <w:t xml:space="preserve"> corporate disclosure and the quality of financial reports.</w:t>
      </w:r>
    </w:p>
    <w:p w:rsidR="00C90C4E" w:rsidRPr="00CA07C3" w:rsidRDefault="00BD5EAC" w:rsidP="00E865C4">
      <w:pPr>
        <w:spacing w:line="360" w:lineRule="auto"/>
        <w:ind w:firstLine="720"/>
        <w:jc w:val="both"/>
        <w:rPr>
          <w:rFonts w:cs="Times New Roman"/>
          <w:sz w:val="22"/>
        </w:rPr>
      </w:pPr>
      <w:r>
        <w:rPr>
          <w:rFonts w:cs="Times New Roman"/>
          <w:sz w:val="22"/>
        </w:rPr>
        <w:t>Apart from articulating and applying behavioural theoretical perspective, which may be used by future studies in interpreting their results, o</w:t>
      </w:r>
      <w:r w:rsidR="003A7545">
        <w:rPr>
          <w:rFonts w:cs="Times New Roman"/>
          <w:sz w:val="22"/>
        </w:rPr>
        <w:t>ur findings</w:t>
      </w:r>
      <w:r w:rsidR="00C65E63">
        <w:rPr>
          <w:rFonts w:cs="Times New Roman"/>
          <w:sz w:val="22"/>
        </w:rPr>
        <w:t xml:space="preserve"> </w:t>
      </w:r>
      <w:r w:rsidR="0090331B">
        <w:rPr>
          <w:sz w:val="23"/>
          <w:szCs w:val="23"/>
        </w:rPr>
        <w:t xml:space="preserve">makes a number of </w:t>
      </w:r>
      <w:r>
        <w:rPr>
          <w:sz w:val="23"/>
          <w:szCs w:val="23"/>
        </w:rPr>
        <w:t xml:space="preserve">new </w:t>
      </w:r>
      <w:r w:rsidR="0090331B">
        <w:rPr>
          <w:sz w:val="23"/>
          <w:szCs w:val="23"/>
        </w:rPr>
        <w:t>contributions to the extant CG literature</w:t>
      </w:r>
      <w:r w:rsidR="00536B4C" w:rsidRPr="00CA07C3">
        <w:rPr>
          <w:rFonts w:cs="Times New Roman"/>
          <w:sz w:val="22"/>
        </w:rPr>
        <w:t xml:space="preserve">. </w:t>
      </w:r>
      <w:r w:rsidR="00536B4C" w:rsidRPr="00CD5438">
        <w:rPr>
          <w:rFonts w:cs="Times New Roman"/>
          <w:sz w:val="22"/>
        </w:rPr>
        <w:t>First</w:t>
      </w:r>
      <w:r w:rsidR="00536B4C" w:rsidRPr="00CA07C3">
        <w:rPr>
          <w:rFonts w:cs="Times New Roman"/>
          <w:sz w:val="22"/>
        </w:rPr>
        <w:t xml:space="preserve">, </w:t>
      </w:r>
      <w:r w:rsidR="00B266EB" w:rsidRPr="00CA07C3">
        <w:rPr>
          <w:rFonts w:cs="Times New Roman"/>
          <w:sz w:val="22"/>
        </w:rPr>
        <w:t xml:space="preserve">despite the </w:t>
      </w:r>
      <w:r w:rsidR="0090331B">
        <w:rPr>
          <w:rFonts w:cs="Times New Roman"/>
          <w:sz w:val="22"/>
        </w:rPr>
        <w:t xml:space="preserve">theoretical </w:t>
      </w:r>
      <w:r w:rsidR="00B266EB" w:rsidRPr="00CA07C3">
        <w:rPr>
          <w:rFonts w:cs="Times New Roman"/>
          <w:sz w:val="22"/>
        </w:rPr>
        <w:t xml:space="preserve">expectation </w:t>
      </w:r>
      <w:r w:rsidR="00C93E7F">
        <w:rPr>
          <w:rFonts w:cs="Times New Roman"/>
          <w:sz w:val="22"/>
        </w:rPr>
        <w:t xml:space="preserve">that </w:t>
      </w:r>
      <w:r w:rsidR="00B266EB" w:rsidRPr="00CA07C3">
        <w:rPr>
          <w:rFonts w:cs="Times New Roman"/>
          <w:sz w:val="22"/>
        </w:rPr>
        <w:t xml:space="preserve">the introduction of the 2002 Omani </w:t>
      </w:r>
      <w:r w:rsidR="0052799F">
        <w:rPr>
          <w:rFonts w:cs="Times New Roman"/>
          <w:sz w:val="22"/>
        </w:rPr>
        <w:t xml:space="preserve">voluntary </w:t>
      </w:r>
      <w:r w:rsidR="00B266EB" w:rsidRPr="00CA07C3">
        <w:rPr>
          <w:rFonts w:cs="Times New Roman"/>
          <w:sz w:val="22"/>
        </w:rPr>
        <w:t xml:space="preserve">CG </w:t>
      </w:r>
      <w:r w:rsidR="00C65E63">
        <w:rPr>
          <w:rFonts w:cs="Times New Roman"/>
          <w:sz w:val="22"/>
        </w:rPr>
        <w:t>C</w:t>
      </w:r>
      <w:r w:rsidR="00B266EB" w:rsidRPr="00CA07C3">
        <w:rPr>
          <w:rFonts w:cs="Times New Roman"/>
          <w:sz w:val="22"/>
        </w:rPr>
        <w:t>ode will facilite uniformity and convergence of CG practices, the findings from our ex</w:t>
      </w:r>
      <w:r w:rsidR="00C65E63">
        <w:rPr>
          <w:rFonts w:cs="Times New Roman"/>
          <w:sz w:val="22"/>
        </w:rPr>
        <w:t>t</w:t>
      </w:r>
      <w:r w:rsidR="00B266EB" w:rsidRPr="00CA07C3">
        <w:rPr>
          <w:rFonts w:cs="Times New Roman"/>
          <w:sz w:val="22"/>
        </w:rPr>
        <w:t>ensive summary descriptive statis</w:t>
      </w:r>
      <w:r w:rsidR="00C93E7F">
        <w:rPr>
          <w:rFonts w:cs="Times New Roman"/>
          <w:sz w:val="22"/>
        </w:rPr>
        <w:t>ti</w:t>
      </w:r>
      <w:r w:rsidR="00B266EB" w:rsidRPr="00CA07C3">
        <w:rPr>
          <w:rFonts w:cs="Times New Roman"/>
          <w:sz w:val="22"/>
        </w:rPr>
        <w:t xml:space="preserve">cs suggest that CG standards in Omani listed corporations still differ widely over the eleven years investigated. </w:t>
      </w:r>
      <w:r w:rsidR="00C93E7F">
        <w:rPr>
          <w:rFonts w:cs="Times New Roman"/>
          <w:sz w:val="22"/>
        </w:rPr>
        <w:t>Whereas the level of</w:t>
      </w:r>
      <w:r w:rsidR="00CA07C3" w:rsidRPr="00CA07C3">
        <w:rPr>
          <w:rFonts w:cs="Times New Roman"/>
          <w:sz w:val="22"/>
        </w:rPr>
        <w:t xml:space="preserve"> variability </w:t>
      </w:r>
      <w:r w:rsidR="00C93E7F">
        <w:rPr>
          <w:rFonts w:cs="Times New Roman"/>
          <w:sz w:val="22"/>
        </w:rPr>
        <w:t xml:space="preserve">observed </w:t>
      </w:r>
      <w:r w:rsidR="00CA07C3" w:rsidRPr="00CA07C3">
        <w:rPr>
          <w:rFonts w:cs="Times New Roman"/>
          <w:sz w:val="22"/>
        </w:rPr>
        <w:t>is comparable to those reported by prior</w:t>
      </w:r>
      <w:r w:rsidR="00D53437">
        <w:rPr>
          <w:rFonts w:cs="Times New Roman"/>
          <w:sz w:val="22"/>
        </w:rPr>
        <w:t xml:space="preserve"> studies</w:t>
      </w:r>
      <w:r w:rsidR="00CA07C3" w:rsidRPr="00CA07C3">
        <w:rPr>
          <w:rFonts w:cs="Times New Roman"/>
          <w:sz w:val="22"/>
        </w:rPr>
        <w:t xml:space="preserve">, it </w:t>
      </w:r>
      <w:r w:rsidR="00C93E7F">
        <w:rPr>
          <w:rFonts w:cs="Times New Roman"/>
          <w:sz w:val="22"/>
        </w:rPr>
        <w:t xml:space="preserve">seems to indicate that </w:t>
      </w:r>
      <w:r w:rsidR="00CA07C3" w:rsidRPr="00CA07C3">
        <w:rPr>
          <w:rFonts w:cs="Times New Roman"/>
          <w:sz w:val="22"/>
        </w:rPr>
        <w:t>some degree of hetereogeneity exists when it comes to the importance that Omani listed corporations attach to C</w:t>
      </w:r>
      <w:r w:rsidR="00C93E7F">
        <w:rPr>
          <w:rFonts w:cs="Times New Roman"/>
          <w:sz w:val="22"/>
        </w:rPr>
        <w:t>G practices. However, despite</w:t>
      </w:r>
      <w:r w:rsidR="00CA07C3" w:rsidRPr="00CA07C3">
        <w:rPr>
          <w:rFonts w:cs="Times New Roman"/>
          <w:sz w:val="22"/>
        </w:rPr>
        <w:t xml:space="preserve"> concerns </w:t>
      </w:r>
      <w:r w:rsidR="00C93E7F">
        <w:rPr>
          <w:rFonts w:cs="Times New Roman"/>
          <w:sz w:val="22"/>
        </w:rPr>
        <w:t xml:space="preserve">that </w:t>
      </w:r>
      <w:r w:rsidR="00CA07C3" w:rsidRPr="00CA07C3">
        <w:rPr>
          <w:rFonts w:cs="Times New Roman"/>
          <w:sz w:val="22"/>
        </w:rPr>
        <w:t xml:space="preserve">a voluntary CG </w:t>
      </w:r>
      <w:r w:rsidR="00BD6E0F">
        <w:rPr>
          <w:rFonts w:cs="Times New Roman"/>
          <w:sz w:val="22"/>
        </w:rPr>
        <w:t>C</w:t>
      </w:r>
      <w:r w:rsidR="00CA07C3" w:rsidRPr="00CA07C3">
        <w:rPr>
          <w:rFonts w:cs="Times New Roman"/>
          <w:sz w:val="22"/>
        </w:rPr>
        <w:t xml:space="preserve">ode may be </w:t>
      </w:r>
      <w:r w:rsidR="00C93E7F">
        <w:rPr>
          <w:rFonts w:cs="Times New Roman"/>
          <w:sz w:val="22"/>
        </w:rPr>
        <w:t>in</w:t>
      </w:r>
      <w:r w:rsidR="00CA07C3" w:rsidRPr="00CA07C3">
        <w:rPr>
          <w:rFonts w:cs="Times New Roman"/>
          <w:sz w:val="22"/>
        </w:rPr>
        <w:t xml:space="preserve">effective in raising CG standards in Omani corporations given the context, our findings suggest that there has been gradual and observable improvement in CG standards over the eleven years investigated. </w:t>
      </w:r>
      <w:r w:rsidR="00CA07C3" w:rsidRPr="00CD5438">
        <w:rPr>
          <w:rFonts w:cs="Times New Roman"/>
          <w:sz w:val="22"/>
        </w:rPr>
        <w:t>Second</w:t>
      </w:r>
      <w:r w:rsidR="00CA07C3" w:rsidRPr="00CA07C3">
        <w:rPr>
          <w:rFonts w:cs="Times New Roman"/>
          <w:sz w:val="22"/>
        </w:rPr>
        <w:t xml:space="preserve">, we find that, on average, better-governed corporations tend to engage significantly less in EM than their poorly-governed counterparts. </w:t>
      </w:r>
      <w:r w:rsidR="005431E7">
        <w:rPr>
          <w:rFonts w:cs="Times New Roman"/>
          <w:sz w:val="22"/>
        </w:rPr>
        <w:t>This</w:t>
      </w:r>
      <w:r w:rsidR="0090331B">
        <w:rPr>
          <w:rFonts w:cs="Times New Roman"/>
          <w:sz w:val="22"/>
        </w:rPr>
        <w:t xml:space="preserve"> </w:t>
      </w:r>
      <w:r w:rsidR="0090331B">
        <w:rPr>
          <w:sz w:val="23"/>
          <w:szCs w:val="23"/>
        </w:rPr>
        <w:t xml:space="preserve">offers the first empirical evidence on the effect of the Omani CG </w:t>
      </w:r>
      <w:r w:rsidR="0052799F">
        <w:rPr>
          <w:sz w:val="23"/>
          <w:szCs w:val="23"/>
        </w:rPr>
        <w:t>reforms</w:t>
      </w:r>
      <w:r w:rsidR="0090331B">
        <w:rPr>
          <w:sz w:val="23"/>
          <w:szCs w:val="23"/>
        </w:rPr>
        <w:t xml:space="preserve"> on </w:t>
      </w:r>
      <w:r w:rsidR="0052799F">
        <w:rPr>
          <w:sz w:val="23"/>
          <w:szCs w:val="23"/>
        </w:rPr>
        <w:t xml:space="preserve">the extent of </w:t>
      </w:r>
      <w:r w:rsidR="0090331B">
        <w:rPr>
          <w:sz w:val="23"/>
          <w:szCs w:val="23"/>
        </w:rPr>
        <w:t>EM among Omani listed firms</w:t>
      </w:r>
      <w:r w:rsidR="005431E7">
        <w:rPr>
          <w:sz w:val="23"/>
          <w:szCs w:val="23"/>
        </w:rPr>
        <w:t>, and</w:t>
      </w:r>
      <w:r w:rsidR="0090331B">
        <w:rPr>
          <w:sz w:val="23"/>
          <w:szCs w:val="23"/>
        </w:rPr>
        <w:t xml:space="preserve"> </w:t>
      </w:r>
      <w:r w:rsidR="005431E7">
        <w:rPr>
          <w:sz w:val="23"/>
          <w:szCs w:val="23"/>
        </w:rPr>
        <w:t xml:space="preserve">seems to suggest that adopting a UK-style CG regime appears to be working to a certain degree in mitigating EM. </w:t>
      </w:r>
      <w:r w:rsidR="00E865C4">
        <w:rPr>
          <w:rFonts w:cs="Times New Roman"/>
          <w:sz w:val="22"/>
        </w:rPr>
        <w:t xml:space="preserve"> </w:t>
      </w:r>
      <w:r w:rsidR="00CA07C3" w:rsidRPr="00CA07C3">
        <w:rPr>
          <w:rFonts w:cs="Times New Roman"/>
          <w:sz w:val="22"/>
        </w:rPr>
        <w:t xml:space="preserve">Third, we also find that corporations </w:t>
      </w:r>
      <w:r w:rsidR="00D036B8">
        <w:rPr>
          <w:rFonts w:cs="Times New Roman"/>
          <w:sz w:val="22"/>
        </w:rPr>
        <w:t xml:space="preserve">that have established IG </w:t>
      </w:r>
      <w:r w:rsidR="005431E7">
        <w:rPr>
          <w:rFonts w:cs="Times New Roman"/>
          <w:sz w:val="22"/>
        </w:rPr>
        <w:t>committee</w:t>
      </w:r>
      <w:r w:rsidR="00D036B8">
        <w:rPr>
          <w:rFonts w:cs="Times New Roman"/>
          <w:sz w:val="22"/>
        </w:rPr>
        <w:t>s</w:t>
      </w:r>
      <w:r w:rsidR="00CA07C3" w:rsidRPr="00CA07C3">
        <w:rPr>
          <w:rFonts w:cs="Times New Roman"/>
          <w:sz w:val="22"/>
        </w:rPr>
        <w:t xml:space="preserve"> engage significantly </w:t>
      </w:r>
      <w:r w:rsidR="005431E7">
        <w:rPr>
          <w:rFonts w:cs="Times New Roman"/>
          <w:sz w:val="22"/>
        </w:rPr>
        <w:t xml:space="preserve">less in EM. In contrast, </w:t>
      </w:r>
      <w:r w:rsidR="005431E7" w:rsidRPr="00CA07C3">
        <w:rPr>
          <w:rFonts w:cs="Times New Roman"/>
          <w:sz w:val="22"/>
        </w:rPr>
        <w:t>we do not find any evidence that</w:t>
      </w:r>
      <w:r w:rsidR="005431E7">
        <w:rPr>
          <w:rFonts w:cs="Times New Roman"/>
          <w:sz w:val="22"/>
        </w:rPr>
        <w:t xml:space="preserve"> </w:t>
      </w:r>
      <w:r w:rsidR="005431E7" w:rsidRPr="00CA07C3">
        <w:rPr>
          <w:rFonts w:cs="Times New Roman"/>
          <w:sz w:val="22"/>
        </w:rPr>
        <w:t>board size</w:t>
      </w:r>
      <w:r w:rsidR="005431E7">
        <w:rPr>
          <w:rFonts w:cs="Times New Roman"/>
          <w:sz w:val="22"/>
        </w:rPr>
        <w:t xml:space="preserve">, </w:t>
      </w:r>
      <w:r w:rsidR="005431E7" w:rsidRPr="00CA07C3">
        <w:rPr>
          <w:rFonts w:cs="Times New Roman"/>
          <w:sz w:val="22"/>
        </w:rPr>
        <w:t>audit firm size</w:t>
      </w:r>
      <w:r w:rsidR="005431E7">
        <w:rPr>
          <w:rFonts w:cs="Times New Roman"/>
          <w:sz w:val="22"/>
        </w:rPr>
        <w:t xml:space="preserve">, </w:t>
      </w:r>
      <w:r w:rsidR="005431E7" w:rsidRPr="00CA07C3">
        <w:rPr>
          <w:rFonts w:cs="Times New Roman"/>
          <w:sz w:val="22"/>
        </w:rPr>
        <w:t>the presence of a CG committee</w:t>
      </w:r>
      <w:r w:rsidR="005431E7">
        <w:rPr>
          <w:rFonts w:cs="Times New Roman"/>
          <w:sz w:val="22"/>
        </w:rPr>
        <w:t xml:space="preserve">, and </w:t>
      </w:r>
      <w:r w:rsidR="005431E7" w:rsidRPr="00CA07C3">
        <w:rPr>
          <w:rFonts w:cs="Times New Roman"/>
          <w:sz w:val="22"/>
        </w:rPr>
        <w:t>board gender diversity</w:t>
      </w:r>
      <w:r w:rsidR="005431E7">
        <w:rPr>
          <w:rFonts w:cs="Times New Roman"/>
          <w:sz w:val="22"/>
        </w:rPr>
        <w:t xml:space="preserve"> </w:t>
      </w:r>
      <w:r w:rsidR="00CA07C3" w:rsidRPr="00CA07C3">
        <w:rPr>
          <w:rFonts w:cs="Times New Roman"/>
          <w:sz w:val="22"/>
        </w:rPr>
        <w:t xml:space="preserve">have any significant relationship with </w:t>
      </w:r>
      <w:r w:rsidR="00D036B8">
        <w:rPr>
          <w:rFonts w:cs="Times New Roman"/>
          <w:sz w:val="22"/>
        </w:rPr>
        <w:t xml:space="preserve">the extent of </w:t>
      </w:r>
      <w:r w:rsidR="00CA07C3" w:rsidRPr="00CA07C3">
        <w:rPr>
          <w:rFonts w:cs="Times New Roman"/>
          <w:sz w:val="22"/>
        </w:rPr>
        <w:t xml:space="preserve">corporate EM. Our results are fairly robust across a number of econometric models that sufficiently account for alternative CG and </w:t>
      </w:r>
      <w:r w:rsidR="005431E7">
        <w:rPr>
          <w:rFonts w:cs="Times New Roman"/>
          <w:sz w:val="22"/>
        </w:rPr>
        <w:t xml:space="preserve">EM proxies, as well as </w:t>
      </w:r>
      <w:r w:rsidR="00D036B8">
        <w:rPr>
          <w:rFonts w:cs="Times New Roman"/>
          <w:sz w:val="22"/>
        </w:rPr>
        <w:t xml:space="preserve">potential </w:t>
      </w:r>
      <w:r w:rsidR="005431E7">
        <w:rPr>
          <w:rFonts w:cs="Times New Roman"/>
          <w:sz w:val="22"/>
        </w:rPr>
        <w:t>endogeneity problem</w:t>
      </w:r>
      <w:r w:rsidR="00D036B8">
        <w:rPr>
          <w:rFonts w:cs="Times New Roman"/>
          <w:sz w:val="22"/>
        </w:rPr>
        <w:t>s</w:t>
      </w:r>
      <w:r w:rsidR="00CA07C3" w:rsidRPr="00CA07C3">
        <w:rPr>
          <w:rFonts w:cs="Times New Roman"/>
          <w:sz w:val="22"/>
        </w:rPr>
        <w:t xml:space="preserve">. Overall, our findings are generally consistent with the predictions of </w:t>
      </w:r>
      <w:r w:rsidR="00D036B8">
        <w:rPr>
          <w:rFonts w:cs="Times New Roman"/>
          <w:sz w:val="22"/>
        </w:rPr>
        <w:t>our behavioural theoretical framework</w:t>
      </w:r>
      <w:r w:rsidR="005431E7">
        <w:rPr>
          <w:rFonts w:cs="Times New Roman"/>
          <w:sz w:val="22"/>
        </w:rPr>
        <w:t xml:space="preserve">. </w:t>
      </w:r>
    </w:p>
    <w:p w:rsidR="00747762" w:rsidRDefault="00536B4C" w:rsidP="00747762">
      <w:pPr>
        <w:spacing w:line="360" w:lineRule="auto"/>
        <w:ind w:firstLine="720"/>
        <w:jc w:val="both"/>
        <w:rPr>
          <w:rFonts w:cs="Times New Roman"/>
          <w:sz w:val="22"/>
        </w:rPr>
      </w:pPr>
      <w:r w:rsidRPr="00CA07C3">
        <w:rPr>
          <w:rFonts w:cs="Times New Roman"/>
          <w:sz w:val="22"/>
        </w:rPr>
        <w:t>Our results have a number</w:t>
      </w:r>
      <w:r w:rsidR="003C5580">
        <w:rPr>
          <w:rFonts w:cs="Times New Roman"/>
          <w:sz w:val="22"/>
        </w:rPr>
        <w:t xml:space="preserve"> of important</w:t>
      </w:r>
      <w:r w:rsidRPr="00CA07C3">
        <w:rPr>
          <w:rFonts w:cs="Times New Roman"/>
          <w:sz w:val="22"/>
        </w:rPr>
        <w:t xml:space="preserve"> implications for policy-mak</w:t>
      </w:r>
      <w:r w:rsidR="007E66EA">
        <w:rPr>
          <w:rFonts w:cs="Times New Roman"/>
          <w:sz w:val="22"/>
        </w:rPr>
        <w:t>ers and regulatory authorities. Evidence that CG standards in Omani listed corporations are generally improving imply that efforts by the various stakeholders of CG, such as the Oman</w:t>
      </w:r>
      <w:r w:rsidR="005431E7">
        <w:rPr>
          <w:rFonts w:cs="Times New Roman"/>
          <w:sz w:val="22"/>
        </w:rPr>
        <w:t>i Capital Market Authority</w:t>
      </w:r>
      <w:r w:rsidR="007E66EA">
        <w:rPr>
          <w:rFonts w:cs="Times New Roman"/>
          <w:sz w:val="22"/>
        </w:rPr>
        <w:t xml:space="preserve"> an</w:t>
      </w:r>
      <w:r w:rsidR="005431E7">
        <w:rPr>
          <w:rFonts w:cs="Times New Roman"/>
          <w:sz w:val="22"/>
        </w:rPr>
        <w:t>d Muscat Securities Market</w:t>
      </w:r>
      <w:r w:rsidR="007E66EA">
        <w:rPr>
          <w:rFonts w:cs="Times New Roman"/>
          <w:sz w:val="22"/>
        </w:rPr>
        <w:t xml:space="preserve"> have had a positive influence on CG practices. The relatively low and limited convergence in CG practices among Omani listed corporations, however, suggests that there is the need to further enhance compliance an</w:t>
      </w:r>
      <w:r w:rsidR="005431E7">
        <w:rPr>
          <w:rFonts w:cs="Times New Roman"/>
          <w:sz w:val="22"/>
        </w:rPr>
        <w:t>d enforcement</w:t>
      </w:r>
      <w:r w:rsidR="007E66EA">
        <w:rPr>
          <w:rFonts w:cs="Times New Roman"/>
          <w:sz w:val="22"/>
        </w:rPr>
        <w:t xml:space="preserve">. In this case, establishing a ‘compliance and enforcement’ unit that will continuously monitor corporate disclosures, including those relating to </w:t>
      </w:r>
      <w:r w:rsidR="00DA2EEA">
        <w:rPr>
          <w:rFonts w:cs="Times New Roman"/>
          <w:sz w:val="22"/>
        </w:rPr>
        <w:t xml:space="preserve">the various </w:t>
      </w:r>
      <w:r w:rsidR="007E66EA">
        <w:rPr>
          <w:rFonts w:cs="Times New Roman"/>
          <w:sz w:val="22"/>
        </w:rPr>
        <w:t xml:space="preserve">CG practices may be </w:t>
      </w:r>
      <w:r w:rsidR="00C93E7F">
        <w:rPr>
          <w:rFonts w:cs="Times New Roman"/>
          <w:sz w:val="22"/>
        </w:rPr>
        <w:t xml:space="preserve">a </w:t>
      </w:r>
      <w:r w:rsidR="007E66EA">
        <w:rPr>
          <w:rFonts w:cs="Times New Roman"/>
          <w:sz w:val="22"/>
        </w:rPr>
        <w:t xml:space="preserve">step in the right direction. </w:t>
      </w:r>
      <w:r w:rsidR="00AE22D0">
        <w:rPr>
          <w:rFonts w:cs="Times New Roman"/>
          <w:sz w:val="22"/>
        </w:rPr>
        <w:t>Finally and a</w:t>
      </w:r>
      <w:r w:rsidRPr="00CA07C3">
        <w:rPr>
          <w:rFonts w:cs="Times New Roman"/>
          <w:sz w:val="22"/>
        </w:rPr>
        <w:t>lthough our findings are fairly robust and importa</w:t>
      </w:r>
      <w:r w:rsidR="00AE22D0">
        <w:rPr>
          <w:rFonts w:cs="Times New Roman"/>
          <w:sz w:val="22"/>
        </w:rPr>
        <w:t xml:space="preserve">nt, its weaknesses need to </w:t>
      </w:r>
      <w:r w:rsidR="00C93E7F">
        <w:rPr>
          <w:rFonts w:cs="Times New Roman"/>
          <w:sz w:val="22"/>
        </w:rPr>
        <w:t xml:space="preserve">be </w:t>
      </w:r>
      <w:r w:rsidR="00AE22D0">
        <w:rPr>
          <w:rFonts w:cs="Times New Roman"/>
          <w:sz w:val="22"/>
        </w:rPr>
        <w:t xml:space="preserve">clearly articulated. Due to data limitations, we have focused mainly on how and why internal </w:t>
      </w:r>
      <w:r w:rsidR="00CD0FBF">
        <w:rPr>
          <w:rFonts w:cs="Times New Roman"/>
          <w:sz w:val="22"/>
        </w:rPr>
        <w:t xml:space="preserve">CG mechanisms </w:t>
      </w:r>
      <w:r w:rsidR="006D6930">
        <w:rPr>
          <w:rFonts w:cs="Times New Roman"/>
          <w:sz w:val="22"/>
        </w:rPr>
        <w:t xml:space="preserve">may </w:t>
      </w:r>
      <w:r w:rsidR="00CD0FBF">
        <w:rPr>
          <w:rFonts w:cs="Times New Roman"/>
          <w:sz w:val="22"/>
        </w:rPr>
        <w:t>drive EM</w:t>
      </w:r>
      <w:r w:rsidR="00AE22D0">
        <w:rPr>
          <w:rFonts w:cs="Times New Roman"/>
          <w:sz w:val="22"/>
        </w:rPr>
        <w:t xml:space="preserve">. </w:t>
      </w:r>
      <w:r w:rsidR="00AE22D0" w:rsidRPr="00CD5438">
        <w:rPr>
          <w:rFonts w:cs="Times New Roman"/>
          <w:sz w:val="22"/>
        </w:rPr>
        <w:t>Future research may improve their analsysis</w:t>
      </w:r>
      <w:r w:rsidR="00AE22D0">
        <w:rPr>
          <w:rFonts w:cs="Times New Roman"/>
          <w:sz w:val="22"/>
        </w:rPr>
        <w:t xml:space="preserve"> by examining how external CG structures, such as the media and the market for corporate and managerial control</w:t>
      </w:r>
      <w:r w:rsidR="003B1E81">
        <w:rPr>
          <w:rFonts w:cs="Times New Roman"/>
          <w:sz w:val="22"/>
        </w:rPr>
        <w:t xml:space="preserve"> impact on EM. </w:t>
      </w:r>
      <w:r w:rsidR="00CD0FBF">
        <w:rPr>
          <w:rFonts w:cs="Times New Roman"/>
          <w:sz w:val="22"/>
        </w:rPr>
        <w:t>Similarly</w:t>
      </w:r>
      <w:r w:rsidR="00351ABC">
        <w:rPr>
          <w:rFonts w:cs="Times New Roman"/>
          <w:sz w:val="22"/>
        </w:rPr>
        <w:t xml:space="preserve">, due to data limitations, our analysis </w:t>
      </w:r>
      <w:r w:rsidR="00C93E7F">
        <w:rPr>
          <w:rFonts w:cs="Times New Roman"/>
          <w:sz w:val="22"/>
        </w:rPr>
        <w:t xml:space="preserve">is </w:t>
      </w:r>
      <w:r w:rsidR="00351ABC">
        <w:rPr>
          <w:rFonts w:cs="Times New Roman"/>
          <w:sz w:val="22"/>
        </w:rPr>
        <w:t xml:space="preserve">limited to Omani </w:t>
      </w:r>
      <w:r w:rsidR="003B1E81">
        <w:rPr>
          <w:rFonts w:cs="Times New Roman"/>
          <w:sz w:val="22"/>
        </w:rPr>
        <w:t>listed</w:t>
      </w:r>
      <w:r w:rsidR="00DD3A1A">
        <w:rPr>
          <w:rFonts w:cs="Times New Roman"/>
          <w:sz w:val="22"/>
        </w:rPr>
        <w:t xml:space="preserve"> </w:t>
      </w:r>
      <w:r w:rsidR="00351ABC">
        <w:rPr>
          <w:rFonts w:cs="Times New Roman"/>
          <w:sz w:val="22"/>
        </w:rPr>
        <w:t>firms. Th</w:t>
      </w:r>
      <w:r w:rsidR="00C93E7F">
        <w:rPr>
          <w:rFonts w:cs="Times New Roman"/>
          <w:sz w:val="22"/>
        </w:rPr>
        <w:t xml:space="preserve">us, future studies may </w:t>
      </w:r>
      <w:r w:rsidR="003B1E81">
        <w:rPr>
          <w:rFonts w:cs="Times New Roman"/>
          <w:sz w:val="22"/>
        </w:rPr>
        <w:t>include non-listed firms</w:t>
      </w:r>
      <w:r w:rsidR="00EF657F">
        <w:rPr>
          <w:rFonts w:cs="Times New Roman"/>
          <w:sz w:val="22"/>
        </w:rPr>
        <w:t>, as well as firms from different countries</w:t>
      </w:r>
      <w:r w:rsidR="003B1E81">
        <w:rPr>
          <w:rFonts w:cs="Times New Roman"/>
          <w:sz w:val="22"/>
        </w:rPr>
        <w:t xml:space="preserve"> to extend our evidence</w:t>
      </w:r>
      <w:r w:rsidR="00351ABC">
        <w:rPr>
          <w:rFonts w:cs="Times New Roman"/>
          <w:sz w:val="22"/>
        </w:rPr>
        <w:t>.</w:t>
      </w:r>
      <w:r w:rsidR="00DA2EEA">
        <w:rPr>
          <w:rFonts w:cs="Times New Roman"/>
          <w:sz w:val="22"/>
        </w:rPr>
        <w:t xml:space="preserve"> </w:t>
      </w:r>
    </w:p>
    <w:p w:rsidR="00747762" w:rsidRDefault="00747762" w:rsidP="00747762">
      <w:pPr>
        <w:spacing w:line="360" w:lineRule="auto"/>
        <w:jc w:val="both"/>
        <w:rPr>
          <w:rFonts w:cs="Times New Roman"/>
          <w:sz w:val="22"/>
        </w:rPr>
      </w:pPr>
    </w:p>
    <w:p w:rsidR="00D71F27" w:rsidRDefault="00D71F27" w:rsidP="00F03FC2">
      <w:pPr>
        <w:jc w:val="both"/>
        <w:rPr>
          <w:rFonts w:cs="Times New Roman"/>
          <w:b/>
          <w:sz w:val="22"/>
        </w:rPr>
      </w:pPr>
    </w:p>
    <w:p w:rsidR="009D4CB3" w:rsidRDefault="009D4CB3" w:rsidP="00F03FC2">
      <w:pPr>
        <w:jc w:val="both"/>
        <w:rPr>
          <w:rFonts w:cs="Times New Roman"/>
          <w:b/>
          <w:sz w:val="22"/>
        </w:rPr>
      </w:pPr>
    </w:p>
    <w:p w:rsidR="00B947F9" w:rsidRPr="00747762" w:rsidRDefault="00B947F9" w:rsidP="00F03FC2">
      <w:pPr>
        <w:jc w:val="both"/>
        <w:rPr>
          <w:rFonts w:cs="Times New Roman"/>
          <w:sz w:val="22"/>
        </w:rPr>
      </w:pPr>
      <w:r w:rsidRPr="007E66EA">
        <w:rPr>
          <w:rFonts w:cs="Times New Roman"/>
          <w:b/>
          <w:sz w:val="22"/>
        </w:rPr>
        <w:t>References</w:t>
      </w:r>
    </w:p>
    <w:p w:rsidR="00B947F9" w:rsidRPr="00CA07C3" w:rsidRDefault="00B947F9" w:rsidP="00F03FC2">
      <w:pPr>
        <w:rPr>
          <w:rFonts w:cs="Times New Roman"/>
          <w:sz w:val="22"/>
        </w:rPr>
      </w:pPr>
    </w:p>
    <w:p w:rsidR="002C667C" w:rsidRPr="00B768C9" w:rsidRDefault="002C667C" w:rsidP="002C667C">
      <w:pPr>
        <w:ind w:left="170" w:hanging="170"/>
        <w:jc w:val="both"/>
        <w:rPr>
          <w:rFonts w:cs="Times New Roman"/>
          <w:sz w:val="22"/>
        </w:rPr>
      </w:pPr>
      <w:r w:rsidRPr="00B768C9">
        <w:rPr>
          <w:rFonts w:cs="Times New Roman"/>
          <w:sz w:val="22"/>
        </w:rPr>
        <w:t xml:space="preserve">Abu-Tapanjeh, A.M. (2009). Corporate governance from the Islamic perspective: A comparative analysis with OECD principles. </w:t>
      </w:r>
      <w:r w:rsidRPr="00B768C9">
        <w:rPr>
          <w:rFonts w:cs="Times New Roman"/>
          <w:i/>
          <w:sz w:val="22"/>
        </w:rPr>
        <w:t>Critical Perspectives on Accounting</w:t>
      </w:r>
      <w:r w:rsidRPr="00B768C9">
        <w:rPr>
          <w:rFonts w:cs="Times New Roman"/>
          <w:sz w:val="22"/>
        </w:rPr>
        <w:t xml:space="preserve">, </w:t>
      </w:r>
      <w:r w:rsidRPr="00B768C9">
        <w:rPr>
          <w:rFonts w:cs="Times New Roman"/>
          <w:i/>
          <w:sz w:val="22"/>
        </w:rPr>
        <w:t>20</w:t>
      </w:r>
      <w:r w:rsidRPr="00B768C9">
        <w:rPr>
          <w:rFonts w:cs="Times New Roman"/>
          <w:sz w:val="22"/>
        </w:rPr>
        <w:t>, 556-567.</w:t>
      </w:r>
    </w:p>
    <w:p w:rsidR="002C667C" w:rsidRPr="00B768C9" w:rsidRDefault="002C667C" w:rsidP="00747762">
      <w:pPr>
        <w:ind w:left="227" w:right="198" w:hanging="227"/>
        <w:jc w:val="both"/>
        <w:rPr>
          <w:rFonts w:cs="Times New Roman"/>
          <w:sz w:val="22"/>
        </w:rPr>
      </w:pPr>
      <w:r w:rsidRPr="00B768C9">
        <w:rPr>
          <w:rFonts w:cs="Times New Roman"/>
          <w:sz w:val="22"/>
        </w:rPr>
        <w:t xml:space="preserve">Adams, R.B., &amp; Ferreira, D. (2009). Women in the boardroom and their impact on governance  and performance. </w:t>
      </w:r>
      <w:r w:rsidRPr="00B768C9">
        <w:rPr>
          <w:rFonts w:cs="Times New Roman"/>
          <w:i/>
          <w:iCs/>
          <w:sz w:val="22"/>
        </w:rPr>
        <w:t>Journal of Financial Economics</w:t>
      </w:r>
      <w:r w:rsidRPr="00B768C9">
        <w:rPr>
          <w:rFonts w:cs="Times New Roman"/>
          <w:sz w:val="22"/>
        </w:rPr>
        <w:t xml:space="preserve">, </w:t>
      </w:r>
      <w:r w:rsidRPr="00B768C9">
        <w:rPr>
          <w:rFonts w:cs="Times New Roman"/>
          <w:i/>
          <w:sz w:val="22"/>
        </w:rPr>
        <w:t>94</w:t>
      </w:r>
      <w:r w:rsidRPr="00B768C9">
        <w:rPr>
          <w:rFonts w:cs="Times New Roman"/>
          <w:sz w:val="22"/>
        </w:rPr>
        <w:t>(2),  291-309.</w:t>
      </w:r>
    </w:p>
    <w:p w:rsidR="002C667C" w:rsidRDefault="002C667C" w:rsidP="00747762">
      <w:pPr>
        <w:ind w:left="227" w:right="198" w:hanging="227"/>
        <w:jc w:val="both"/>
        <w:rPr>
          <w:rFonts w:cs="Times New Roman"/>
          <w:sz w:val="22"/>
        </w:rPr>
      </w:pPr>
      <w:r w:rsidRPr="00B768C9">
        <w:rPr>
          <w:rFonts w:cs="Times New Roman"/>
          <w:sz w:val="22"/>
        </w:rPr>
        <w:t xml:space="preserve">Akkermans, D., Witteloostuijn, A.V., Ees, H.V., Hermes, N., Hooghiemstra, R., Laan, G.V.D., &amp; Postma, T. (2007). Corporate governance in the Netherlands: An overview of the application of the Tabaksblat code in 2004. </w:t>
      </w:r>
      <w:r w:rsidRPr="00B768C9">
        <w:rPr>
          <w:rFonts w:cs="Times New Roman"/>
          <w:i/>
          <w:iCs/>
          <w:sz w:val="22"/>
        </w:rPr>
        <w:t>Corporate Governance: An International Review</w:t>
      </w:r>
      <w:r w:rsidRPr="00B768C9">
        <w:rPr>
          <w:rFonts w:cs="Times New Roman"/>
          <w:sz w:val="22"/>
        </w:rPr>
        <w:t xml:space="preserve">, </w:t>
      </w:r>
      <w:r w:rsidRPr="00B768C9">
        <w:rPr>
          <w:rFonts w:cs="Times New Roman"/>
          <w:i/>
          <w:sz w:val="22"/>
        </w:rPr>
        <w:t>15</w:t>
      </w:r>
      <w:r w:rsidRPr="00B768C9">
        <w:rPr>
          <w:rFonts w:cs="Times New Roman"/>
          <w:sz w:val="22"/>
        </w:rPr>
        <w:t>(6), 1106-1118.</w:t>
      </w:r>
    </w:p>
    <w:p w:rsidR="00640619" w:rsidRPr="00B768C9" w:rsidRDefault="00640619" w:rsidP="00747762">
      <w:pPr>
        <w:ind w:left="227" w:right="198" w:hanging="227"/>
        <w:jc w:val="both"/>
        <w:rPr>
          <w:rFonts w:cs="Times New Roman"/>
          <w:sz w:val="22"/>
        </w:rPr>
      </w:pPr>
      <w:r>
        <w:rPr>
          <w:sz w:val="22"/>
        </w:rPr>
        <w:t>Al-Bassam, W.M. &amp; Ntim, C.G. (2016).</w:t>
      </w:r>
      <w:r w:rsidRPr="00823BA0">
        <w:rPr>
          <w:sz w:val="22"/>
        </w:rPr>
        <w:t xml:space="preserve"> </w:t>
      </w:r>
      <w:r>
        <w:rPr>
          <w:sz w:val="22"/>
        </w:rPr>
        <w:t>T</w:t>
      </w:r>
      <w:r w:rsidRPr="00823BA0">
        <w:rPr>
          <w:sz w:val="22"/>
        </w:rPr>
        <w:t xml:space="preserve">he Effect of Islamic Values on Voluntary Corporate Governance Disclosure: </w:t>
      </w:r>
      <w:r>
        <w:rPr>
          <w:sz w:val="22"/>
        </w:rPr>
        <w:t>The Case of Saudi Listed Firms.</w:t>
      </w:r>
      <w:r w:rsidRPr="00823BA0">
        <w:rPr>
          <w:sz w:val="22"/>
        </w:rPr>
        <w:t xml:space="preserve"> </w:t>
      </w:r>
      <w:r>
        <w:rPr>
          <w:bCs/>
          <w:i/>
          <w:color w:val="000000"/>
          <w:sz w:val="22"/>
        </w:rPr>
        <w:t>Journal of Islamic Accounting and Business Research</w:t>
      </w:r>
      <w:r>
        <w:rPr>
          <w:bCs/>
          <w:color w:val="000000"/>
          <w:sz w:val="22"/>
        </w:rPr>
        <w:t>, Forthcoming</w:t>
      </w:r>
      <w:r w:rsidRPr="00A47779">
        <w:rPr>
          <w:sz w:val="22"/>
        </w:rPr>
        <w:t>.</w:t>
      </w:r>
    </w:p>
    <w:p w:rsidR="002C667C" w:rsidRPr="00B768C9" w:rsidRDefault="002C667C" w:rsidP="005561C2">
      <w:pPr>
        <w:ind w:left="227" w:right="198" w:hanging="227"/>
        <w:jc w:val="both"/>
        <w:rPr>
          <w:rFonts w:cs="Times New Roman"/>
          <w:sz w:val="22"/>
        </w:rPr>
      </w:pPr>
      <w:r w:rsidRPr="00B768C9">
        <w:rPr>
          <w:rFonts w:cs="Times New Roman"/>
          <w:sz w:val="22"/>
        </w:rPr>
        <w:t xml:space="preserve">Albu, C.N., &amp; Girbin, M.M. (2015). Compliance with corporate governance codes in emerging economies. How do Romanian listed companies ”comply-or-explain? </w:t>
      </w:r>
      <w:r w:rsidRPr="00B768C9">
        <w:rPr>
          <w:rFonts w:cs="Times New Roman"/>
          <w:i/>
          <w:iCs/>
          <w:sz w:val="22"/>
        </w:rPr>
        <w:t>Corporate Governance</w:t>
      </w:r>
      <w:r w:rsidRPr="00B768C9">
        <w:rPr>
          <w:rFonts w:cs="Times New Roman"/>
          <w:sz w:val="22"/>
        </w:rPr>
        <w:t xml:space="preserve">, </w:t>
      </w:r>
      <w:r w:rsidRPr="00B768C9">
        <w:rPr>
          <w:rFonts w:cs="Times New Roman"/>
          <w:i/>
          <w:sz w:val="22"/>
        </w:rPr>
        <w:t>15</w:t>
      </w:r>
      <w:r w:rsidRPr="00B768C9">
        <w:rPr>
          <w:rFonts w:cs="Times New Roman"/>
          <w:sz w:val="22"/>
        </w:rPr>
        <w:t>(1), 85-107.</w:t>
      </w:r>
    </w:p>
    <w:p w:rsidR="002C667C" w:rsidRPr="00B768C9" w:rsidRDefault="002C667C" w:rsidP="00747762">
      <w:pPr>
        <w:ind w:left="227" w:right="198" w:hanging="227"/>
        <w:jc w:val="both"/>
        <w:rPr>
          <w:rFonts w:cs="Times New Roman"/>
          <w:sz w:val="22"/>
        </w:rPr>
      </w:pPr>
      <w:r w:rsidRPr="00B768C9">
        <w:rPr>
          <w:rFonts w:cs="Times New Roman"/>
          <w:sz w:val="22"/>
        </w:rPr>
        <w:t xml:space="preserve">AL-Busaidi, H. (2008). Oman's experience in issuing and implementation of the code of corporate governance. </w:t>
      </w:r>
      <w:r w:rsidRPr="00B768C9">
        <w:rPr>
          <w:rFonts w:cs="Times New Roman"/>
          <w:i/>
          <w:iCs/>
          <w:sz w:val="22"/>
        </w:rPr>
        <w:t>Working Paper</w:t>
      </w:r>
      <w:r w:rsidRPr="00B768C9">
        <w:rPr>
          <w:rFonts w:cs="Times New Roman"/>
          <w:sz w:val="22"/>
        </w:rPr>
        <w:t>, available at: http://w.w.w.mcg.cc/cg/presentations/, accessed on 19 May 2011.</w:t>
      </w:r>
    </w:p>
    <w:p w:rsidR="002C667C" w:rsidRPr="00B768C9" w:rsidRDefault="002C667C" w:rsidP="005561C2">
      <w:pPr>
        <w:ind w:left="227" w:right="198" w:hanging="227"/>
        <w:jc w:val="both"/>
        <w:rPr>
          <w:rFonts w:cs="Times New Roman"/>
          <w:sz w:val="22"/>
        </w:rPr>
      </w:pPr>
      <w:r w:rsidRPr="00B768C9">
        <w:rPr>
          <w:rFonts w:cs="Times New Roman"/>
          <w:sz w:val="22"/>
        </w:rPr>
        <w:t xml:space="preserve">Allen, F., Qian, J., &amp; Qian, M. (2005). Law, finance, and economic growth in China. </w:t>
      </w:r>
      <w:r w:rsidRPr="00B768C9">
        <w:rPr>
          <w:rFonts w:cs="Times New Roman"/>
          <w:i/>
          <w:iCs/>
          <w:sz w:val="22"/>
        </w:rPr>
        <w:t>Journal of Financial Economics</w:t>
      </w:r>
      <w:r w:rsidRPr="00B768C9">
        <w:rPr>
          <w:rFonts w:cs="Times New Roman"/>
          <w:sz w:val="22"/>
        </w:rPr>
        <w:t xml:space="preserve">, </w:t>
      </w:r>
      <w:r w:rsidRPr="00B768C9">
        <w:rPr>
          <w:rFonts w:cs="Times New Roman"/>
          <w:i/>
          <w:sz w:val="22"/>
        </w:rPr>
        <w:t>77</w:t>
      </w:r>
      <w:r w:rsidRPr="00B768C9">
        <w:rPr>
          <w:rFonts w:cs="Times New Roman"/>
          <w:sz w:val="22"/>
        </w:rPr>
        <w:t xml:space="preserve">(1), 57-116. </w:t>
      </w:r>
    </w:p>
    <w:p w:rsidR="002C667C" w:rsidRPr="00B768C9" w:rsidRDefault="002C667C" w:rsidP="00747762">
      <w:pPr>
        <w:ind w:left="227" w:right="198" w:hanging="227"/>
        <w:jc w:val="both"/>
        <w:rPr>
          <w:rFonts w:cs="Times New Roman"/>
          <w:sz w:val="22"/>
        </w:rPr>
      </w:pPr>
      <w:r w:rsidRPr="00B768C9">
        <w:rPr>
          <w:rFonts w:cs="Times New Roman"/>
          <w:sz w:val="22"/>
        </w:rPr>
        <w:t xml:space="preserve">Alves, S. (2012). Ownership structure and earnings management: Evidence from Portugal. </w:t>
      </w:r>
      <w:r w:rsidRPr="00B768C9">
        <w:rPr>
          <w:rFonts w:cs="Times New Roman"/>
          <w:i/>
          <w:iCs/>
          <w:sz w:val="22"/>
        </w:rPr>
        <w:t>Australasian Accounting Business and Finance Journal</w:t>
      </w:r>
      <w:r w:rsidRPr="00B768C9">
        <w:rPr>
          <w:rFonts w:cs="Times New Roman"/>
          <w:sz w:val="22"/>
        </w:rPr>
        <w:t xml:space="preserve">, </w:t>
      </w:r>
      <w:r w:rsidRPr="00B768C9">
        <w:rPr>
          <w:rFonts w:cs="Times New Roman"/>
          <w:i/>
          <w:sz w:val="22"/>
        </w:rPr>
        <w:t>6</w:t>
      </w:r>
      <w:r w:rsidRPr="00B768C9">
        <w:rPr>
          <w:rFonts w:cs="Times New Roman"/>
          <w:sz w:val="22"/>
        </w:rPr>
        <w:t>(1), 57-74.</w:t>
      </w:r>
    </w:p>
    <w:p w:rsidR="002C667C" w:rsidRPr="00B768C9" w:rsidRDefault="002C667C" w:rsidP="005561C2">
      <w:pPr>
        <w:ind w:left="227" w:right="198" w:hanging="227"/>
        <w:jc w:val="both"/>
        <w:rPr>
          <w:rFonts w:cs="Times New Roman"/>
          <w:sz w:val="22"/>
        </w:rPr>
      </w:pPr>
      <w:r w:rsidRPr="00B768C9">
        <w:rPr>
          <w:rFonts w:cs="Times New Roman"/>
          <w:sz w:val="22"/>
        </w:rPr>
        <w:t xml:space="preserve">Anglin, P., Edelstein, R., Gao, Y., &amp;Tsang, D. (2013). What is the relationship between REIT governance and earnings management?, </w:t>
      </w:r>
      <w:r w:rsidRPr="00B768C9">
        <w:rPr>
          <w:rFonts w:cs="Times New Roman"/>
          <w:i/>
          <w:iCs/>
          <w:sz w:val="22"/>
        </w:rPr>
        <w:t>Journal of Real Estate Finance economics</w:t>
      </w:r>
      <w:r w:rsidRPr="00B768C9">
        <w:rPr>
          <w:rFonts w:cs="Times New Roman"/>
          <w:sz w:val="22"/>
        </w:rPr>
        <w:t xml:space="preserve">, </w:t>
      </w:r>
      <w:r w:rsidRPr="00B768C9">
        <w:rPr>
          <w:rFonts w:cs="Times New Roman"/>
          <w:i/>
          <w:sz w:val="22"/>
        </w:rPr>
        <w:t>47</w:t>
      </w:r>
      <w:r w:rsidR="00B768C9" w:rsidRPr="00B768C9">
        <w:rPr>
          <w:rFonts w:cs="Times New Roman"/>
          <w:sz w:val="22"/>
        </w:rPr>
        <w:t>(</w:t>
      </w:r>
      <w:r w:rsidRPr="00B768C9">
        <w:rPr>
          <w:rFonts w:cs="Times New Roman"/>
          <w:sz w:val="22"/>
        </w:rPr>
        <w:t>3</w:t>
      </w:r>
      <w:r w:rsidR="00B768C9" w:rsidRPr="00B768C9">
        <w:rPr>
          <w:rFonts w:cs="Times New Roman"/>
          <w:sz w:val="22"/>
        </w:rPr>
        <w:t xml:space="preserve">), </w:t>
      </w:r>
      <w:r w:rsidRPr="00B768C9">
        <w:rPr>
          <w:rFonts w:cs="Times New Roman"/>
          <w:sz w:val="22"/>
        </w:rPr>
        <w:t>538-563.</w:t>
      </w:r>
    </w:p>
    <w:p w:rsidR="002C667C" w:rsidRPr="00B768C9" w:rsidRDefault="002C667C" w:rsidP="002C667C">
      <w:pPr>
        <w:ind w:left="170" w:hanging="170"/>
        <w:jc w:val="both"/>
        <w:rPr>
          <w:rFonts w:cs="Times New Roman"/>
          <w:sz w:val="22"/>
        </w:rPr>
      </w:pPr>
      <w:r w:rsidRPr="00B768C9">
        <w:rPr>
          <w:rFonts w:cs="Times New Roman"/>
          <w:sz w:val="22"/>
        </w:rPr>
        <w:t>Archer, S., Karim, R.A.A., &amp; Al-Deehani, T. (1998)</w:t>
      </w:r>
      <w:r w:rsidR="007472E9" w:rsidRPr="00B768C9">
        <w:rPr>
          <w:rFonts w:cs="Times New Roman"/>
          <w:sz w:val="22"/>
        </w:rPr>
        <w:t>.</w:t>
      </w:r>
      <w:r w:rsidRPr="00B768C9">
        <w:rPr>
          <w:rFonts w:cs="Times New Roman"/>
          <w:sz w:val="22"/>
        </w:rPr>
        <w:t xml:space="preserve"> Financial contracting, governance structures and the accounting regulation of Islamic banks: An analysis in terms of agency of theory and transaction cost economics. </w:t>
      </w:r>
      <w:r w:rsidRPr="00B768C9">
        <w:rPr>
          <w:rFonts w:cs="Times New Roman"/>
          <w:i/>
          <w:sz w:val="22"/>
        </w:rPr>
        <w:t>Journal of Management and Governance</w:t>
      </w:r>
      <w:r w:rsidRPr="00B768C9">
        <w:rPr>
          <w:rFonts w:cs="Times New Roman"/>
          <w:sz w:val="22"/>
        </w:rPr>
        <w:t xml:space="preserve">, </w:t>
      </w:r>
      <w:r w:rsidRPr="00B768C9">
        <w:rPr>
          <w:rFonts w:cs="Times New Roman"/>
          <w:i/>
          <w:sz w:val="22"/>
        </w:rPr>
        <w:t>2</w:t>
      </w:r>
      <w:r w:rsidRPr="00B768C9">
        <w:rPr>
          <w:rFonts w:cs="Times New Roman"/>
          <w:sz w:val="22"/>
        </w:rPr>
        <w:t>, 149-170.</w:t>
      </w:r>
    </w:p>
    <w:p w:rsidR="002C667C" w:rsidRPr="00B768C9" w:rsidRDefault="002C667C" w:rsidP="00747762">
      <w:pPr>
        <w:ind w:left="227" w:right="198" w:hanging="227"/>
        <w:jc w:val="both"/>
        <w:rPr>
          <w:rFonts w:cs="Times New Roman"/>
          <w:sz w:val="22"/>
        </w:rPr>
      </w:pPr>
      <w:r w:rsidRPr="00B768C9">
        <w:rPr>
          <w:rFonts w:cs="Times New Roman"/>
          <w:sz w:val="22"/>
        </w:rPr>
        <w:t xml:space="preserve">Bartke, S., &amp; Schwarze, R. (2008). Risk-Averse by nation or by religion? Some insights on the determinants of individual risk attitudes, available at: </w:t>
      </w:r>
      <w:hyperlink r:id="rId18" w:history="1">
        <w:r w:rsidRPr="00B768C9">
          <w:rPr>
            <w:rFonts w:cs="Times New Roman"/>
            <w:sz w:val="22"/>
          </w:rPr>
          <w:t>http://ssrn.com/abstract=1285520</w:t>
        </w:r>
      </w:hyperlink>
      <w:r w:rsidRPr="00B768C9">
        <w:rPr>
          <w:rFonts w:cs="Times New Roman"/>
          <w:sz w:val="22"/>
        </w:rPr>
        <w:t>,  accessed on 19</w:t>
      </w:r>
      <w:r w:rsidRPr="00B768C9">
        <w:rPr>
          <w:rFonts w:cs="Times New Roman"/>
          <w:sz w:val="22"/>
          <w:vertAlign w:val="superscript"/>
        </w:rPr>
        <w:t>th</w:t>
      </w:r>
      <w:r w:rsidRPr="00B768C9">
        <w:rPr>
          <w:rFonts w:cs="Times New Roman"/>
          <w:sz w:val="22"/>
        </w:rPr>
        <w:t xml:space="preserve">, July 2013.  </w:t>
      </w:r>
    </w:p>
    <w:p w:rsidR="002C667C" w:rsidRPr="00B768C9" w:rsidRDefault="002C667C" w:rsidP="00747762">
      <w:pPr>
        <w:ind w:left="227" w:right="198" w:hanging="227"/>
        <w:jc w:val="both"/>
        <w:rPr>
          <w:rFonts w:cs="Times New Roman"/>
          <w:sz w:val="22"/>
        </w:rPr>
      </w:pPr>
      <w:r w:rsidRPr="00B768C9">
        <w:rPr>
          <w:rFonts w:cs="Times New Roman"/>
          <w:sz w:val="22"/>
        </w:rPr>
        <w:t xml:space="preserve">Beiner, S., Drobetz, W., Schmid, M.M., &amp; Zimmermann, H. (2006). An integrated framework of corporate governance and firm valuation. </w:t>
      </w:r>
      <w:r w:rsidRPr="00B768C9">
        <w:rPr>
          <w:rFonts w:cs="Times New Roman"/>
          <w:i/>
          <w:iCs/>
          <w:sz w:val="22"/>
        </w:rPr>
        <w:t>European Financial Management</w:t>
      </w:r>
      <w:r w:rsidRPr="00B768C9">
        <w:rPr>
          <w:rFonts w:cs="Times New Roman"/>
          <w:sz w:val="22"/>
        </w:rPr>
        <w:t xml:space="preserve">, </w:t>
      </w:r>
      <w:r w:rsidRPr="00B768C9">
        <w:rPr>
          <w:rFonts w:cs="Times New Roman"/>
          <w:i/>
          <w:sz w:val="22"/>
        </w:rPr>
        <w:t>12</w:t>
      </w:r>
      <w:r w:rsidRPr="00B768C9">
        <w:rPr>
          <w:rFonts w:cs="Times New Roman"/>
          <w:sz w:val="22"/>
        </w:rPr>
        <w:t>(2), 249-283.</w:t>
      </w:r>
    </w:p>
    <w:p w:rsidR="002C667C" w:rsidRPr="00B768C9" w:rsidRDefault="002C667C" w:rsidP="00747762">
      <w:pPr>
        <w:ind w:left="227" w:right="198" w:hanging="227"/>
        <w:jc w:val="both"/>
        <w:rPr>
          <w:rFonts w:cs="Times New Roman"/>
          <w:sz w:val="22"/>
        </w:rPr>
      </w:pPr>
      <w:r w:rsidRPr="00B768C9">
        <w:rPr>
          <w:rFonts w:cs="Times New Roman"/>
          <w:sz w:val="22"/>
        </w:rPr>
        <w:t xml:space="preserve">Bekiris, F.V., &amp; Doukakis, L.C. (2011). Corporate governance and accruals earnings management. </w:t>
      </w:r>
      <w:r w:rsidRPr="00B768C9">
        <w:rPr>
          <w:rFonts w:cs="Times New Roman"/>
          <w:i/>
          <w:iCs/>
          <w:sz w:val="22"/>
        </w:rPr>
        <w:t>Managerial and Decision Economics</w:t>
      </w:r>
      <w:r w:rsidRPr="00B768C9">
        <w:rPr>
          <w:rFonts w:cs="Times New Roman"/>
          <w:sz w:val="22"/>
        </w:rPr>
        <w:t xml:space="preserve">, </w:t>
      </w:r>
      <w:r w:rsidRPr="00B768C9">
        <w:rPr>
          <w:rFonts w:cs="Times New Roman"/>
          <w:i/>
          <w:sz w:val="22"/>
        </w:rPr>
        <w:t>32</w:t>
      </w:r>
      <w:r w:rsidRPr="00B768C9">
        <w:rPr>
          <w:rFonts w:cs="Times New Roman"/>
          <w:sz w:val="22"/>
        </w:rPr>
        <w:t>, 439-456.</w:t>
      </w:r>
    </w:p>
    <w:p w:rsidR="002C667C" w:rsidRPr="00B768C9" w:rsidRDefault="002C667C" w:rsidP="00747762">
      <w:pPr>
        <w:ind w:left="227" w:right="198" w:hanging="227"/>
        <w:jc w:val="both"/>
        <w:rPr>
          <w:rFonts w:cs="Times New Roman"/>
          <w:sz w:val="22"/>
        </w:rPr>
      </w:pPr>
      <w:r w:rsidRPr="00B768C9">
        <w:rPr>
          <w:rFonts w:cs="Times New Roman"/>
          <w:sz w:val="22"/>
        </w:rPr>
        <w:t xml:space="preserve">Bernardi, R.A., &amp; Arnold, D.F. (1997). An examination of moral development within public accounting by gender, staff level, and firm. </w:t>
      </w:r>
      <w:r w:rsidRPr="00B768C9">
        <w:rPr>
          <w:rFonts w:cs="Times New Roman"/>
          <w:i/>
          <w:iCs/>
          <w:sz w:val="22"/>
        </w:rPr>
        <w:t>Contemporary Accounting Research</w:t>
      </w:r>
      <w:r w:rsidRPr="00B768C9">
        <w:rPr>
          <w:rFonts w:cs="Times New Roman"/>
          <w:sz w:val="22"/>
        </w:rPr>
        <w:t xml:space="preserve">, </w:t>
      </w:r>
      <w:r w:rsidRPr="00B768C9">
        <w:rPr>
          <w:rFonts w:cs="Times New Roman"/>
          <w:i/>
          <w:sz w:val="22"/>
        </w:rPr>
        <w:t>14</w:t>
      </w:r>
      <w:r w:rsidRPr="00B768C9">
        <w:rPr>
          <w:rFonts w:cs="Times New Roman"/>
          <w:sz w:val="22"/>
        </w:rPr>
        <w:t>(4), 653-668.</w:t>
      </w:r>
    </w:p>
    <w:p w:rsidR="002C667C" w:rsidRPr="00B768C9" w:rsidRDefault="002C667C" w:rsidP="00747762">
      <w:pPr>
        <w:ind w:left="227" w:right="198" w:hanging="227"/>
        <w:jc w:val="both"/>
        <w:rPr>
          <w:rFonts w:cs="Times New Roman"/>
          <w:sz w:val="22"/>
        </w:rPr>
      </w:pPr>
      <w:r w:rsidRPr="00B768C9">
        <w:rPr>
          <w:rFonts w:cs="Times New Roman"/>
          <w:sz w:val="22"/>
        </w:rPr>
        <w:t xml:space="preserve">Bishara, N.D. (2011). Governance and corruption constraints in the Middle East: Overcoming the business ethics glass ceiling. </w:t>
      </w:r>
      <w:r w:rsidRPr="00B768C9">
        <w:rPr>
          <w:rFonts w:cs="Times New Roman"/>
          <w:i/>
          <w:iCs/>
          <w:sz w:val="22"/>
        </w:rPr>
        <w:t>American Business Law Journal</w:t>
      </w:r>
      <w:r w:rsidRPr="00B768C9">
        <w:rPr>
          <w:rFonts w:cs="Times New Roman"/>
          <w:sz w:val="22"/>
        </w:rPr>
        <w:t xml:space="preserve">, </w:t>
      </w:r>
      <w:r w:rsidRPr="00B768C9">
        <w:rPr>
          <w:rFonts w:cs="Times New Roman"/>
          <w:i/>
          <w:sz w:val="22"/>
        </w:rPr>
        <w:t>48</w:t>
      </w:r>
      <w:r w:rsidRPr="00B768C9">
        <w:rPr>
          <w:rFonts w:cs="Times New Roman"/>
          <w:sz w:val="22"/>
        </w:rPr>
        <w:t xml:space="preserve">(2), 227-283. </w:t>
      </w:r>
    </w:p>
    <w:p w:rsidR="002C667C" w:rsidRPr="00B768C9" w:rsidRDefault="002C667C" w:rsidP="00747762">
      <w:pPr>
        <w:ind w:left="227" w:right="198" w:hanging="227"/>
        <w:jc w:val="both"/>
        <w:rPr>
          <w:rFonts w:cs="Times New Roman"/>
          <w:sz w:val="22"/>
        </w:rPr>
      </w:pPr>
      <w:r w:rsidRPr="00B768C9">
        <w:rPr>
          <w:rFonts w:cs="Times New Roman"/>
          <w:sz w:val="22"/>
        </w:rPr>
        <w:t xml:space="preserve">Bowen, R.M., Rajgopal, S., &amp; Venkatachalam, M. (2008). Accounting discretion, corporate governance, and firm performance. </w:t>
      </w:r>
      <w:r w:rsidRPr="00B768C9">
        <w:rPr>
          <w:rFonts w:cs="Times New Roman"/>
          <w:i/>
          <w:iCs/>
          <w:sz w:val="22"/>
        </w:rPr>
        <w:t>Contemporary Accounting Research</w:t>
      </w:r>
      <w:r w:rsidRPr="00B768C9">
        <w:rPr>
          <w:rFonts w:cs="Times New Roman"/>
          <w:sz w:val="22"/>
        </w:rPr>
        <w:t xml:space="preserve">, </w:t>
      </w:r>
      <w:r w:rsidRPr="00B768C9">
        <w:rPr>
          <w:rFonts w:cs="Times New Roman"/>
          <w:i/>
          <w:sz w:val="22"/>
        </w:rPr>
        <w:t>25</w:t>
      </w:r>
      <w:r w:rsidRPr="00B768C9">
        <w:rPr>
          <w:rFonts w:cs="Times New Roman"/>
          <w:sz w:val="22"/>
        </w:rPr>
        <w:t>(2), 351-405.</w:t>
      </w:r>
    </w:p>
    <w:p w:rsidR="002C667C" w:rsidRPr="00B768C9" w:rsidRDefault="002C667C" w:rsidP="002C667C">
      <w:pPr>
        <w:ind w:left="170" w:hanging="170"/>
        <w:jc w:val="both"/>
        <w:rPr>
          <w:rFonts w:cs="Times New Roman"/>
          <w:sz w:val="22"/>
        </w:rPr>
      </w:pPr>
      <w:r w:rsidRPr="00B768C9">
        <w:rPr>
          <w:rFonts w:cs="Times New Roman"/>
          <w:sz w:val="22"/>
        </w:rPr>
        <w:t xml:space="preserve">Boytsun, A., Deloof, M., &amp; Matthyssens, P. (2011). Social norms, social cohesion, and corporate governance, </w:t>
      </w:r>
      <w:r w:rsidRPr="00B768C9">
        <w:rPr>
          <w:rFonts w:cs="Times New Roman"/>
          <w:i/>
          <w:iCs/>
          <w:sz w:val="22"/>
        </w:rPr>
        <w:t>Corporate Governance: An International Review</w:t>
      </w:r>
      <w:r w:rsidRPr="00B768C9">
        <w:rPr>
          <w:rFonts w:cs="Times New Roman"/>
          <w:sz w:val="22"/>
        </w:rPr>
        <w:t xml:space="preserve">, </w:t>
      </w:r>
      <w:r w:rsidRPr="00B768C9">
        <w:rPr>
          <w:rFonts w:cs="Times New Roman"/>
          <w:i/>
          <w:sz w:val="22"/>
        </w:rPr>
        <w:t>19</w:t>
      </w:r>
      <w:r w:rsidRPr="00B768C9">
        <w:rPr>
          <w:rFonts w:cs="Times New Roman"/>
          <w:sz w:val="22"/>
        </w:rPr>
        <w:t>(1), 41-60.</w:t>
      </w:r>
    </w:p>
    <w:p w:rsidR="002C667C" w:rsidRPr="00B768C9" w:rsidRDefault="002C667C" w:rsidP="002C667C">
      <w:pPr>
        <w:ind w:left="170" w:hanging="170"/>
        <w:jc w:val="both"/>
        <w:rPr>
          <w:rFonts w:cs="Times New Roman"/>
          <w:sz w:val="22"/>
        </w:rPr>
      </w:pPr>
      <w:r w:rsidRPr="00B768C9">
        <w:rPr>
          <w:rFonts w:cs="Times New Roman"/>
          <w:sz w:val="22"/>
        </w:rPr>
        <w:t xml:space="preserve">Brammer, S., Williams, G., &amp; Zinkin, J. (2007). Religion and attitudes to corporate social responsibility in a large cross-country Sample. </w:t>
      </w:r>
      <w:r w:rsidRPr="00B768C9">
        <w:rPr>
          <w:rFonts w:cs="Times New Roman"/>
          <w:i/>
          <w:sz w:val="22"/>
        </w:rPr>
        <w:t>Journal of Business Ethics</w:t>
      </w:r>
      <w:r w:rsidRPr="00B768C9">
        <w:rPr>
          <w:rFonts w:cs="Times New Roman"/>
          <w:sz w:val="22"/>
        </w:rPr>
        <w:t xml:space="preserve">, </w:t>
      </w:r>
      <w:r w:rsidRPr="00B768C9">
        <w:rPr>
          <w:rFonts w:cs="Times New Roman"/>
          <w:i/>
          <w:sz w:val="22"/>
        </w:rPr>
        <w:t>71</w:t>
      </w:r>
      <w:r w:rsidRPr="00B768C9">
        <w:rPr>
          <w:rFonts w:cs="Times New Roman"/>
          <w:sz w:val="22"/>
        </w:rPr>
        <w:t>(3), 229-243.</w:t>
      </w:r>
    </w:p>
    <w:p w:rsidR="002C667C" w:rsidRPr="00B768C9" w:rsidRDefault="002C667C" w:rsidP="00747762">
      <w:pPr>
        <w:ind w:left="227" w:right="198" w:hanging="227"/>
        <w:jc w:val="both"/>
        <w:rPr>
          <w:rFonts w:cs="Times New Roman"/>
          <w:sz w:val="22"/>
        </w:rPr>
      </w:pPr>
      <w:r w:rsidRPr="00B768C9">
        <w:rPr>
          <w:rFonts w:cs="Times New Roman"/>
          <w:sz w:val="22"/>
        </w:rPr>
        <w:t xml:space="preserve">Callen, J.L., Morel, M., &amp; Richardson, G. (2011). Do culture and religion mitigate earnings management?. Evidence from a cross-country analysis. </w:t>
      </w:r>
      <w:r w:rsidRPr="00B768C9">
        <w:rPr>
          <w:rFonts w:cs="Times New Roman"/>
          <w:i/>
          <w:iCs/>
          <w:sz w:val="22"/>
        </w:rPr>
        <w:t>International Journal of Disclosure and Governance</w:t>
      </w:r>
      <w:r w:rsidRPr="00B768C9">
        <w:rPr>
          <w:rFonts w:cs="Times New Roman"/>
          <w:sz w:val="22"/>
        </w:rPr>
        <w:t xml:space="preserve">, </w:t>
      </w:r>
      <w:r w:rsidRPr="00B768C9">
        <w:rPr>
          <w:rFonts w:cs="Times New Roman"/>
          <w:i/>
          <w:sz w:val="22"/>
        </w:rPr>
        <w:t>8</w:t>
      </w:r>
      <w:r w:rsidRPr="00B768C9">
        <w:rPr>
          <w:rFonts w:cs="Times New Roman"/>
          <w:sz w:val="22"/>
        </w:rPr>
        <w:t>(2), 103-121.</w:t>
      </w:r>
    </w:p>
    <w:p w:rsidR="002C667C" w:rsidRPr="00B768C9" w:rsidRDefault="002C667C" w:rsidP="00747762">
      <w:pPr>
        <w:ind w:left="227" w:right="198" w:hanging="227"/>
        <w:jc w:val="both"/>
        <w:rPr>
          <w:rFonts w:cs="Times New Roman"/>
          <w:sz w:val="22"/>
        </w:rPr>
      </w:pPr>
      <w:r w:rsidRPr="00B768C9">
        <w:rPr>
          <w:rFonts w:cs="Times New Roman"/>
          <w:sz w:val="22"/>
        </w:rPr>
        <w:t xml:space="preserve">Chen, J.J., &amp; Zhang, H.  (2012). The impact of the corporate governance code on earnings management-Evidence from Chinese listed companies, </w:t>
      </w:r>
      <w:r w:rsidRPr="00B768C9">
        <w:rPr>
          <w:rFonts w:cs="Times New Roman"/>
          <w:i/>
          <w:iCs/>
          <w:sz w:val="22"/>
        </w:rPr>
        <w:t>European Financial Management</w:t>
      </w:r>
      <w:r w:rsidRPr="00B768C9">
        <w:rPr>
          <w:rFonts w:cs="Times New Roman"/>
          <w:sz w:val="22"/>
        </w:rPr>
        <w:t xml:space="preserve">, </w:t>
      </w:r>
      <w:r w:rsidRPr="00B768C9">
        <w:rPr>
          <w:rFonts w:cs="Times New Roman"/>
          <w:i/>
          <w:sz w:val="22"/>
        </w:rPr>
        <w:t>20</w:t>
      </w:r>
      <w:r w:rsidRPr="00B768C9">
        <w:rPr>
          <w:rFonts w:cs="Times New Roman"/>
          <w:sz w:val="22"/>
        </w:rPr>
        <w:t>(3), 596-632.</w:t>
      </w:r>
    </w:p>
    <w:p w:rsidR="002C667C" w:rsidRPr="00B768C9" w:rsidRDefault="002C667C" w:rsidP="00747762">
      <w:pPr>
        <w:ind w:left="227" w:right="198" w:hanging="227"/>
        <w:jc w:val="both"/>
        <w:rPr>
          <w:rFonts w:cs="Times New Roman"/>
          <w:sz w:val="22"/>
        </w:rPr>
      </w:pPr>
      <w:r w:rsidRPr="00B768C9">
        <w:rPr>
          <w:rFonts w:cs="Times New Roman"/>
          <w:sz w:val="22"/>
        </w:rPr>
        <w:t xml:space="preserve">Chia, Y.M., Lapsley, I., &amp; Lee, H. (2007). Choice of auditors and earnings management during the Asian financial crisis. </w:t>
      </w:r>
      <w:r w:rsidRPr="00B768C9">
        <w:rPr>
          <w:rFonts w:cs="Times New Roman"/>
          <w:i/>
          <w:iCs/>
          <w:sz w:val="22"/>
        </w:rPr>
        <w:t>Managerial Auditing Journal</w:t>
      </w:r>
      <w:r w:rsidRPr="00B768C9">
        <w:rPr>
          <w:rFonts w:cs="Times New Roman"/>
          <w:sz w:val="22"/>
        </w:rPr>
        <w:t xml:space="preserve">, </w:t>
      </w:r>
      <w:r w:rsidRPr="00B768C9">
        <w:rPr>
          <w:rFonts w:cs="Times New Roman"/>
          <w:i/>
          <w:sz w:val="22"/>
        </w:rPr>
        <w:t>22</w:t>
      </w:r>
      <w:r w:rsidRPr="00B768C9">
        <w:rPr>
          <w:rFonts w:cs="Times New Roman"/>
          <w:sz w:val="22"/>
        </w:rPr>
        <w:t>(2), 177-196.</w:t>
      </w:r>
    </w:p>
    <w:p w:rsidR="002C667C" w:rsidRPr="00B768C9" w:rsidRDefault="002C667C" w:rsidP="002C667C">
      <w:pPr>
        <w:ind w:left="170" w:hanging="170"/>
        <w:jc w:val="both"/>
        <w:rPr>
          <w:rFonts w:cs="Times New Roman"/>
          <w:sz w:val="22"/>
        </w:rPr>
      </w:pPr>
      <w:r w:rsidRPr="00B768C9">
        <w:rPr>
          <w:rFonts w:cs="Times New Roman"/>
          <w:sz w:val="22"/>
        </w:rPr>
        <w:t xml:space="preserve">Choudhury, M.A. &amp; Hoque, M. (2006). Corporate governance in Islamic perspective. </w:t>
      </w:r>
      <w:r w:rsidRPr="00B768C9">
        <w:rPr>
          <w:rFonts w:cs="Times New Roman"/>
          <w:i/>
          <w:sz w:val="22"/>
        </w:rPr>
        <w:t>Corporate Governance</w:t>
      </w:r>
      <w:r w:rsidRPr="00B768C9">
        <w:rPr>
          <w:rFonts w:cs="Times New Roman"/>
          <w:sz w:val="22"/>
        </w:rPr>
        <w:t xml:space="preserve">, 6(2), 116-128. </w:t>
      </w:r>
    </w:p>
    <w:p w:rsidR="002C667C" w:rsidRPr="00B768C9" w:rsidRDefault="002C667C" w:rsidP="00747762">
      <w:pPr>
        <w:ind w:left="227" w:right="198" w:hanging="227"/>
        <w:jc w:val="both"/>
        <w:rPr>
          <w:rFonts w:cs="Times New Roman"/>
          <w:sz w:val="22"/>
        </w:rPr>
      </w:pPr>
      <w:r w:rsidRPr="00B768C9">
        <w:rPr>
          <w:rFonts w:cs="Times New Roman"/>
          <w:sz w:val="22"/>
        </w:rPr>
        <w:t xml:space="preserve">Chung, R., Firth, M., &amp; Kim, J.B. (2002). Institutional monitoring and opportunistic earnings management. </w:t>
      </w:r>
      <w:r w:rsidRPr="00B768C9">
        <w:rPr>
          <w:rFonts w:cs="Times New Roman"/>
          <w:i/>
          <w:iCs/>
          <w:sz w:val="22"/>
        </w:rPr>
        <w:t>Journal of Corporate Finance</w:t>
      </w:r>
      <w:r w:rsidRPr="00B768C9">
        <w:rPr>
          <w:rFonts w:cs="Times New Roman"/>
          <w:sz w:val="22"/>
        </w:rPr>
        <w:t xml:space="preserve">, </w:t>
      </w:r>
      <w:r w:rsidRPr="00B768C9">
        <w:rPr>
          <w:rFonts w:cs="Times New Roman"/>
          <w:i/>
          <w:sz w:val="22"/>
        </w:rPr>
        <w:t>8</w:t>
      </w:r>
      <w:r w:rsidRPr="00B768C9">
        <w:rPr>
          <w:rFonts w:cs="Times New Roman"/>
          <w:sz w:val="22"/>
        </w:rPr>
        <w:t xml:space="preserve">(1), 29-48. </w:t>
      </w:r>
    </w:p>
    <w:p w:rsidR="00903139" w:rsidRDefault="002C667C" w:rsidP="00903139">
      <w:pPr>
        <w:ind w:left="227" w:right="198" w:hanging="227"/>
        <w:jc w:val="both"/>
        <w:rPr>
          <w:rFonts w:cs="Times New Roman"/>
          <w:sz w:val="22"/>
        </w:rPr>
      </w:pPr>
      <w:r w:rsidRPr="00B768C9">
        <w:rPr>
          <w:rFonts w:cs="Times New Roman"/>
          <w:sz w:val="22"/>
        </w:rPr>
        <w:t xml:space="preserve">Clikeman, P.M., Geiger, M.A., &amp; O'connell, B.T. (2001). Student perceptions of earnings management: The effects of national origin and gender. </w:t>
      </w:r>
      <w:r w:rsidRPr="00B768C9">
        <w:rPr>
          <w:rFonts w:cs="Times New Roman"/>
          <w:i/>
          <w:iCs/>
          <w:sz w:val="22"/>
        </w:rPr>
        <w:t>Teaching Business Ethics</w:t>
      </w:r>
      <w:r w:rsidRPr="00B768C9">
        <w:rPr>
          <w:rFonts w:cs="Times New Roman"/>
          <w:sz w:val="22"/>
        </w:rPr>
        <w:t xml:space="preserve">, </w:t>
      </w:r>
      <w:r w:rsidRPr="00B768C9">
        <w:rPr>
          <w:rFonts w:cs="Times New Roman"/>
          <w:i/>
          <w:sz w:val="22"/>
        </w:rPr>
        <w:t>5</w:t>
      </w:r>
      <w:r w:rsidRPr="00B768C9">
        <w:rPr>
          <w:rFonts w:cs="Times New Roman"/>
          <w:sz w:val="22"/>
        </w:rPr>
        <w:t>, 389-410.</w:t>
      </w:r>
    </w:p>
    <w:p w:rsidR="00903139" w:rsidRPr="00903139" w:rsidRDefault="00903139" w:rsidP="00903139">
      <w:pPr>
        <w:ind w:left="227" w:right="198" w:hanging="227"/>
        <w:jc w:val="both"/>
        <w:rPr>
          <w:rFonts w:cs="Times New Roman"/>
          <w:sz w:val="22"/>
        </w:rPr>
      </w:pPr>
      <w:r>
        <w:t xml:space="preserve">Cohen, D. A., Dey, A., &amp; Lys, T. Z. (2008). Real and accrual-based earnings management in the pre-and post-Sarbanes-Oxley periods. </w:t>
      </w:r>
      <w:r w:rsidRPr="005D7E37">
        <w:rPr>
          <w:i/>
        </w:rPr>
        <w:t>Accounting Review</w:t>
      </w:r>
      <w:r>
        <w:t>, 83, 3, 757-787.</w:t>
      </w:r>
    </w:p>
    <w:p w:rsidR="002C667C" w:rsidRPr="00B768C9" w:rsidRDefault="002C667C" w:rsidP="00747762">
      <w:pPr>
        <w:ind w:left="227" w:right="198" w:hanging="227"/>
        <w:jc w:val="both"/>
        <w:rPr>
          <w:rFonts w:cs="Times New Roman"/>
          <w:sz w:val="22"/>
        </w:rPr>
      </w:pPr>
      <w:r w:rsidRPr="00B768C9">
        <w:rPr>
          <w:rFonts w:cs="Times New Roman"/>
          <w:sz w:val="22"/>
        </w:rPr>
        <w:t xml:space="preserve">Cornett, M. M., Marcus, A.J., &amp; Tehranian, H. (2008). Corporate governance and pay-for-performance: The impact of earnings management, </w:t>
      </w:r>
      <w:r w:rsidRPr="00B768C9">
        <w:rPr>
          <w:rFonts w:cs="Times New Roman"/>
          <w:i/>
          <w:iCs/>
          <w:sz w:val="22"/>
        </w:rPr>
        <w:t>Journal of Financial Economics</w:t>
      </w:r>
      <w:r w:rsidRPr="00B768C9">
        <w:rPr>
          <w:rFonts w:cs="Times New Roman"/>
          <w:sz w:val="22"/>
        </w:rPr>
        <w:t xml:space="preserve">, </w:t>
      </w:r>
      <w:r w:rsidRPr="00B768C9">
        <w:rPr>
          <w:rFonts w:cs="Times New Roman"/>
          <w:i/>
          <w:sz w:val="22"/>
        </w:rPr>
        <w:t>87</w:t>
      </w:r>
      <w:r w:rsidRPr="00B768C9">
        <w:rPr>
          <w:rFonts w:cs="Times New Roman"/>
          <w:sz w:val="22"/>
        </w:rPr>
        <w:t>(2), 357-373.</w:t>
      </w:r>
    </w:p>
    <w:p w:rsidR="00A1252B" w:rsidRPr="00B768C9" w:rsidRDefault="00A1252B" w:rsidP="00747762">
      <w:pPr>
        <w:ind w:left="227" w:right="198" w:hanging="227"/>
        <w:jc w:val="both"/>
        <w:rPr>
          <w:rFonts w:cs="Times New Roman"/>
          <w:sz w:val="22"/>
        </w:rPr>
      </w:pPr>
      <w:r w:rsidRPr="00B768C9">
        <w:rPr>
          <w:rFonts w:cs="Times New Roman"/>
          <w:sz w:val="22"/>
        </w:rPr>
        <w:t xml:space="preserve">Daily, C.M., Dalton, D.R., &amp; Cannella, A.A. (2003). Corporate governance: Decades of dialogue and data. </w:t>
      </w:r>
      <w:r w:rsidRPr="00B768C9">
        <w:rPr>
          <w:rFonts w:cs="Times New Roman"/>
          <w:i/>
          <w:sz w:val="22"/>
        </w:rPr>
        <w:t>Academy of Management Review</w:t>
      </w:r>
      <w:r w:rsidRPr="00B768C9">
        <w:rPr>
          <w:rFonts w:cs="Times New Roman"/>
          <w:sz w:val="22"/>
        </w:rPr>
        <w:t xml:space="preserve">, </w:t>
      </w:r>
      <w:r w:rsidRPr="00B768C9">
        <w:rPr>
          <w:rFonts w:cs="Times New Roman"/>
          <w:i/>
          <w:sz w:val="22"/>
        </w:rPr>
        <w:t>28</w:t>
      </w:r>
      <w:r w:rsidRPr="00B768C9">
        <w:rPr>
          <w:rFonts w:cs="Times New Roman"/>
          <w:sz w:val="22"/>
        </w:rPr>
        <w:t>, 371-382.</w:t>
      </w:r>
    </w:p>
    <w:p w:rsidR="00210416" w:rsidRPr="00B768C9" w:rsidRDefault="00210416" w:rsidP="00747762">
      <w:pPr>
        <w:ind w:left="227" w:right="198" w:hanging="227"/>
        <w:jc w:val="both"/>
        <w:rPr>
          <w:rFonts w:cs="Times New Roman"/>
          <w:sz w:val="22"/>
        </w:rPr>
      </w:pPr>
      <w:r w:rsidRPr="00B768C9">
        <w:rPr>
          <w:rFonts w:cs="Times New Roman"/>
          <w:sz w:val="22"/>
        </w:rPr>
        <w:t xml:space="preserve">Hambrick, D.C., van Werder, A.V., &amp; Zajac, E.J. (2008). New directions on corporate governance research. </w:t>
      </w:r>
      <w:r w:rsidRPr="00B768C9">
        <w:rPr>
          <w:rFonts w:cs="Times New Roman"/>
          <w:i/>
          <w:sz w:val="22"/>
        </w:rPr>
        <w:t>Organization Science</w:t>
      </w:r>
      <w:r w:rsidRPr="00B768C9">
        <w:rPr>
          <w:rFonts w:cs="Times New Roman"/>
          <w:sz w:val="22"/>
        </w:rPr>
        <w:t xml:space="preserve">, </w:t>
      </w:r>
      <w:r w:rsidRPr="00B768C9">
        <w:rPr>
          <w:rFonts w:cs="Times New Roman"/>
          <w:i/>
          <w:sz w:val="22"/>
        </w:rPr>
        <w:t>19</w:t>
      </w:r>
      <w:r w:rsidRPr="00B768C9">
        <w:rPr>
          <w:rFonts w:cs="Times New Roman"/>
          <w:sz w:val="22"/>
        </w:rPr>
        <w:t>, 381-385.</w:t>
      </w:r>
    </w:p>
    <w:p w:rsidR="002C667C" w:rsidRPr="00B768C9" w:rsidRDefault="002C667C" w:rsidP="00747762">
      <w:pPr>
        <w:ind w:left="227" w:right="198" w:hanging="227"/>
        <w:jc w:val="both"/>
        <w:rPr>
          <w:rFonts w:cs="Times New Roman"/>
          <w:sz w:val="22"/>
        </w:rPr>
      </w:pPr>
      <w:r w:rsidRPr="00B768C9">
        <w:rPr>
          <w:rFonts w:cs="Times New Roman"/>
          <w:sz w:val="22"/>
        </w:rPr>
        <w:t xml:space="preserve">Davidson, R., Goodwin-Stewart, J. &amp; Kent, P. (2005). Internal governance structures and earnings management. </w:t>
      </w:r>
      <w:r w:rsidRPr="00B768C9">
        <w:rPr>
          <w:rFonts w:cs="Times New Roman"/>
          <w:i/>
          <w:iCs/>
          <w:sz w:val="22"/>
        </w:rPr>
        <w:t>Accounting and Finance</w:t>
      </w:r>
      <w:r w:rsidRPr="00B768C9">
        <w:rPr>
          <w:rFonts w:cs="Times New Roman"/>
          <w:sz w:val="22"/>
        </w:rPr>
        <w:t xml:space="preserve">, </w:t>
      </w:r>
      <w:r w:rsidRPr="00B768C9">
        <w:rPr>
          <w:rFonts w:cs="Times New Roman"/>
          <w:i/>
          <w:sz w:val="22"/>
        </w:rPr>
        <w:t>45</w:t>
      </w:r>
      <w:r w:rsidRPr="00B768C9">
        <w:rPr>
          <w:rFonts w:cs="Times New Roman"/>
          <w:sz w:val="22"/>
        </w:rPr>
        <w:t>(2), 241-267.</w:t>
      </w:r>
    </w:p>
    <w:p w:rsidR="002C667C" w:rsidRPr="00B768C9" w:rsidRDefault="002C667C" w:rsidP="00747762">
      <w:pPr>
        <w:ind w:left="227" w:hanging="227"/>
        <w:jc w:val="both"/>
        <w:rPr>
          <w:rFonts w:cs="Times New Roman"/>
          <w:sz w:val="22"/>
        </w:rPr>
      </w:pPr>
      <w:r w:rsidRPr="00B768C9">
        <w:rPr>
          <w:rFonts w:cs="Times New Roman"/>
          <w:sz w:val="22"/>
        </w:rPr>
        <w:t xml:space="preserve">DeAngelo, L.E. (1981). Auditor size and audit Quality. </w:t>
      </w:r>
      <w:r w:rsidRPr="00B768C9">
        <w:rPr>
          <w:rFonts w:cs="Times New Roman"/>
          <w:i/>
          <w:iCs/>
          <w:sz w:val="22"/>
        </w:rPr>
        <w:t>Journal of Accounting and Economics</w:t>
      </w:r>
      <w:r w:rsidRPr="00B768C9">
        <w:rPr>
          <w:rFonts w:cs="Times New Roman"/>
          <w:sz w:val="22"/>
        </w:rPr>
        <w:t xml:space="preserve">, </w:t>
      </w:r>
      <w:r w:rsidRPr="00B768C9">
        <w:rPr>
          <w:rFonts w:cs="Times New Roman"/>
          <w:i/>
          <w:sz w:val="22"/>
        </w:rPr>
        <w:t>3</w:t>
      </w:r>
      <w:r w:rsidRPr="00B768C9">
        <w:rPr>
          <w:rFonts w:cs="Times New Roman"/>
          <w:sz w:val="22"/>
        </w:rPr>
        <w:t>(3), 183-199.</w:t>
      </w:r>
    </w:p>
    <w:p w:rsidR="002C667C" w:rsidRPr="00B768C9" w:rsidRDefault="002C667C" w:rsidP="00747762">
      <w:pPr>
        <w:ind w:left="227" w:right="198" w:hanging="227"/>
        <w:jc w:val="both"/>
        <w:rPr>
          <w:rFonts w:cs="Times New Roman"/>
          <w:sz w:val="22"/>
        </w:rPr>
      </w:pPr>
      <w:r w:rsidRPr="00B768C9">
        <w:rPr>
          <w:rFonts w:cs="Times New Roman"/>
          <w:sz w:val="22"/>
        </w:rPr>
        <w:t xml:space="preserve">Donnelly, R., &amp; Mulcahy, M. (2008). Board structure, ownership, and voluntary disclosure in Ireland. </w:t>
      </w:r>
      <w:r w:rsidRPr="00B768C9">
        <w:rPr>
          <w:rFonts w:cs="Times New Roman"/>
          <w:i/>
          <w:iCs/>
          <w:sz w:val="22"/>
        </w:rPr>
        <w:t>Corporate Governance: An International Review</w:t>
      </w:r>
      <w:r w:rsidRPr="00B768C9">
        <w:rPr>
          <w:rFonts w:cs="Times New Roman"/>
          <w:sz w:val="22"/>
        </w:rPr>
        <w:t xml:space="preserve">, </w:t>
      </w:r>
      <w:r w:rsidRPr="00B768C9">
        <w:rPr>
          <w:rFonts w:cs="Times New Roman"/>
          <w:i/>
          <w:sz w:val="22"/>
        </w:rPr>
        <w:t>16</w:t>
      </w:r>
      <w:r w:rsidRPr="00B768C9">
        <w:rPr>
          <w:rFonts w:cs="Times New Roman"/>
          <w:sz w:val="22"/>
        </w:rPr>
        <w:t>(5), 416-429.</w:t>
      </w:r>
    </w:p>
    <w:p w:rsidR="002C667C" w:rsidRPr="00B768C9" w:rsidRDefault="002C667C" w:rsidP="002C667C">
      <w:pPr>
        <w:ind w:left="170" w:hanging="170"/>
        <w:jc w:val="both"/>
        <w:rPr>
          <w:rFonts w:cs="Times New Roman"/>
          <w:sz w:val="22"/>
        </w:rPr>
      </w:pPr>
      <w:r w:rsidRPr="00B768C9">
        <w:rPr>
          <w:rFonts w:cs="Times New Roman"/>
          <w:sz w:val="22"/>
        </w:rPr>
        <w:t xml:space="preserve">Du, X. (2013). Does religion matter to owner-manager agency costs? Evidence from China. </w:t>
      </w:r>
      <w:r w:rsidRPr="00B768C9">
        <w:rPr>
          <w:rFonts w:cs="Times New Roman"/>
          <w:i/>
          <w:iCs/>
          <w:sz w:val="22"/>
        </w:rPr>
        <w:t>Journal of Business Ethics</w:t>
      </w:r>
      <w:r w:rsidRPr="00B768C9">
        <w:rPr>
          <w:rFonts w:cs="Times New Roman"/>
          <w:sz w:val="22"/>
        </w:rPr>
        <w:t xml:space="preserve">, </w:t>
      </w:r>
      <w:r w:rsidRPr="00B768C9">
        <w:rPr>
          <w:rFonts w:cs="Times New Roman"/>
          <w:i/>
          <w:sz w:val="22"/>
        </w:rPr>
        <w:t>118</w:t>
      </w:r>
      <w:r w:rsidRPr="00B768C9">
        <w:rPr>
          <w:rFonts w:cs="Times New Roman"/>
          <w:sz w:val="22"/>
        </w:rPr>
        <w:t>(2), 319-347.</w:t>
      </w:r>
    </w:p>
    <w:p w:rsidR="002C667C" w:rsidRPr="00B768C9" w:rsidRDefault="002C667C" w:rsidP="002C667C">
      <w:pPr>
        <w:ind w:left="170" w:hanging="170"/>
        <w:jc w:val="both"/>
        <w:rPr>
          <w:rFonts w:cs="Times New Roman"/>
          <w:sz w:val="22"/>
        </w:rPr>
      </w:pPr>
      <w:r w:rsidRPr="00B768C9">
        <w:rPr>
          <w:rFonts w:cs="Times New Roman"/>
          <w:sz w:val="22"/>
        </w:rPr>
        <w:t xml:space="preserve">Du, X. (2014). Does religion mitigate tunneling? Evidence from Chinese Buddheism. </w:t>
      </w:r>
      <w:r w:rsidRPr="00B768C9">
        <w:rPr>
          <w:rFonts w:cs="Times New Roman"/>
          <w:i/>
          <w:sz w:val="22"/>
        </w:rPr>
        <w:t>Journal of Business Ethics</w:t>
      </w:r>
      <w:r w:rsidRPr="00B768C9">
        <w:rPr>
          <w:rFonts w:cs="Times New Roman"/>
          <w:sz w:val="22"/>
        </w:rPr>
        <w:t xml:space="preserve">, </w:t>
      </w:r>
      <w:r w:rsidRPr="00B768C9">
        <w:rPr>
          <w:rFonts w:cs="Times New Roman"/>
          <w:i/>
          <w:sz w:val="22"/>
        </w:rPr>
        <w:t>125</w:t>
      </w:r>
      <w:r w:rsidRPr="00B768C9">
        <w:rPr>
          <w:rFonts w:cs="Times New Roman"/>
          <w:sz w:val="22"/>
        </w:rPr>
        <w:t xml:space="preserve">, 299-327. </w:t>
      </w:r>
    </w:p>
    <w:p w:rsidR="002C667C" w:rsidRPr="00B768C9" w:rsidRDefault="002C667C" w:rsidP="002C667C">
      <w:pPr>
        <w:ind w:left="170" w:hanging="170"/>
        <w:jc w:val="both"/>
        <w:rPr>
          <w:rFonts w:cs="Times New Roman"/>
          <w:sz w:val="22"/>
        </w:rPr>
      </w:pPr>
      <w:r w:rsidRPr="00B768C9">
        <w:rPr>
          <w:rFonts w:cs="Times New Roman"/>
          <w:sz w:val="22"/>
        </w:rPr>
        <w:t xml:space="preserve">Du, X., Jian, W., Du, Y., Feng, W., &amp; Zeng, Q. (2014). Religion, the nature of ultimate owner, and corporate philanthropic giving: Evidence from China. </w:t>
      </w:r>
      <w:r w:rsidRPr="00B768C9">
        <w:rPr>
          <w:rFonts w:cs="Times New Roman"/>
          <w:i/>
          <w:sz w:val="22"/>
        </w:rPr>
        <w:t>Journal of Business Ethics</w:t>
      </w:r>
      <w:r w:rsidRPr="00B768C9">
        <w:rPr>
          <w:rFonts w:cs="Times New Roman"/>
          <w:sz w:val="22"/>
        </w:rPr>
        <w:t xml:space="preserve">, </w:t>
      </w:r>
      <w:r w:rsidRPr="00B768C9">
        <w:rPr>
          <w:rFonts w:cs="Times New Roman"/>
          <w:i/>
          <w:sz w:val="22"/>
        </w:rPr>
        <w:t>123</w:t>
      </w:r>
      <w:r w:rsidRPr="00B768C9">
        <w:rPr>
          <w:rFonts w:cs="Times New Roman"/>
          <w:sz w:val="22"/>
        </w:rPr>
        <w:t>(2), 235-256.</w:t>
      </w:r>
    </w:p>
    <w:p w:rsidR="002C667C" w:rsidRPr="00B768C9" w:rsidRDefault="002C667C" w:rsidP="002C667C">
      <w:pPr>
        <w:ind w:left="170" w:hanging="170"/>
        <w:jc w:val="both"/>
        <w:rPr>
          <w:rFonts w:cs="Times New Roman"/>
          <w:sz w:val="22"/>
        </w:rPr>
      </w:pPr>
      <w:r w:rsidRPr="00B768C9">
        <w:rPr>
          <w:rFonts w:cs="Times New Roman"/>
          <w:sz w:val="22"/>
        </w:rPr>
        <w:t xml:space="preserve">Du, X., Jian, W., Lai, S., Du, Y., &amp; Pei, H. (2015). Does religion mitigate earnings management? Evidence from China. </w:t>
      </w:r>
      <w:r w:rsidRPr="00B768C9">
        <w:rPr>
          <w:rFonts w:cs="Times New Roman"/>
          <w:i/>
          <w:sz w:val="22"/>
        </w:rPr>
        <w:t xml:space="preserve">Journal of Business Ethics, </w:t>
      </w:r>
      <w:r w:rsidRPr="00B768C9">
        <w:rPr>
          <w:rFonts w:cs="Times New Roman"/>
          <w:sz w:val="22"/>
        </w:rPr>
        <w:t>Forthcoming.</w:t>
      </w:r>
    </w:p>
    <w:p w:rsidR="002C667C" w:rsidRPr="00B768C9" w:rsidRDefault="002C667C" w:rsidP="002C667C">
      <w:pPr>
        <w:ind w:left="170" w:hanging="170"/>
        <w:jc w:val="both"/>
        <w:rPr>
          <w:rFonts w:cs="Times New Roman"/>
          <w:sz w:val="22"/>
        </w:rPr>
      </w:pPr>
      <w:r w:rsidRPr="00B768C9">
        <w:rPr>
          <w:rFonts w:cs="Times New Roman"/>
          <w:sz w:val="22"/>
        </w:rPr>
        <w:t xml:space="preserve">Dyreng, S.D., Mayew, W.J., and Williams, C.D. (2012). Religious social norms and corporate financial reporting. </w:t>
      </w:r>
      <w:r w:rsidRPr="00B768C9">
        <w:rPr>
          <w:rFonts w:cs="Times New Roman"/>
          <w:i/>
          <w:iCs/>
          <w:sz w:val="22"/>
        </w:rPr>
        <w:t>Journal of Business Finance and Accounting</w:t>
      </w:r>
      <w:r w:rsidRPr="00B768C9">
        <w:rPr>
          <w:rFonts w:cs="Times New Roman"/>
          <w:sz w:val="22"/>
        </w:rPr>
        <w:t>, 39(7-8), 845-875.</w:t>
      </w:r>
    </w:p>
    <w:p w:rsidR="002C667C" w:rsidRPr="00B768C9" w:rsidRDefault="002C667C" w:rsidP="002C667C">
      <w:pPr>
        <w:ind w:left="170" w:hanging="170"/>
        <w:jc w:val="both"/>
        <w:rPr>
          <w:rFonts w:cs="Times New Roman"/>
          <w:sz w:val="22"/>
        </w:rPr>
      </w:pPr>
      <w:r w:rsidRPr="00B768C9">
        <w:rPr>
          <w:rFonts w:cs="Times New Roman"/>
          <w:sz w:val="22"/>
        </w:rPr>
        <w:t xml:space="preserve">El Ghoul, S., Guedhami, O., Ni, Y., Pittman, J., &amp; Saadi, S. (2012). Does religion matter to equity pricing? </w:t>
      </w:r>
      <w:r w:rsidRPr="00B768C9">
        <w:rPr>
          <w:rFonts w:cs="Times New Roman"/>
          <w:i/>
          <w:sz w:val="22"/>
        </w:rPr>
        <w:t>Journal of business ethics</w:t>
      </w:r>
      <w:r w:rsidRPr="00B768C9">
        <w:rPr>
          <w:rFonts w:cs="Times New Roman"/>
          <w:sz w:val="22"/>
        </w:rPr>
        <w:t xml:space="preserve">, </w:t>
      </w:r>
      <w:r w:rsidRPr="00B768C9">
        <w:rPr>
          <w:rFonts w:cs="Times New Roman"/>
          <w:i/>
          <w:sz w:val="22"/>
        </w:rPr>
        <w:t>111</w:t>
      </w:r>
      <w:r w:rsidRPr="00B768C9">
        <w:rPr>
          <w:rFonts w:cs="Times New Roman"/>
          <w:sz w:val="22"/>
        </w:rPr>
        <w:t>(4), 491-518.</w:t>
      </w:r>
      <w:r w:rsidRPr="00B768C9">
        <w:rPr>
          <w:rFonts w:cs="Times New Roman"/>
          <w:sz w:val="22"/>
          <w:rtl/>
        </w:rPr>
        <w:t>‏</w:t>
      </w:r>
    </w:p>
    <w:p w:rsidR="002C667C" w:rsidRPr="00B768C9" w:rsidRDefault="002C667C" w:rsidP="00747762">
      <w:pPr>
        <w:ind w:left="227" w:right="198" w:hanging="227"/>
        <w:jc w:val="both"/>
        <w:rPr>
          <w:rFonts w:cs="Times New Roman"/>
          <w:sz w:val="22"/>
        </w:rPr>
      </w:pPr>
      <w:r w:rsidRPr="00B768C9">
        <w:rPr>
          <w:rFonts w:cs="Times New Roman"/>
          <w:sz w:val="22"/>
        </w:rPr>
        <w:t xml:space="preserve">Epps, R.W., &amp; Ismail, T.H. (2009). Board of directors' governance challenges and earnings management, </w:t>
      </w:r>
      <w:r w:rsidRPr="00B768C9">
        <w:rPr>
          <w:rFonts w:cs="Times New Roman"/>
          <w:i/>
          <w:iCs/>
          <w:sz w:val="22"/>
        </w:rPr>
        <w:t>Journal of Accounting &amp; Organisational Change</w:t>
      </w:r>
      <w:r w:rsidRPr="00B768C9">
        <w:rPr>
          <w:rFonts w:cs="Times New Roman"/>
          <w:sz w:val="22"/>
        </w:rPr>
        <w:t xml:space="preserve">, </w:t>
      </w:r>
      <w:r w:rsidRPr="00B768C9">
        <w:rPr>
          <w:rFonts w:cs="Times New Roman"/>
          <w:i/>
          <w:sz w:val="22"/>
        </w:rPr>
        <w:t>5</w:t>
      </w:r>
      <w:r w:rsidRPr="00B768C9">
        <w:rPr>
          <w:rFonts w:cs="Times New Roman"/>
          <w:sz w:val="22"/>
        </w:rPr>
        <w:t>(3), 390-416.</w:t>
      </w:r>
    </w:p>
    <w:p w:rsidR="002C667C" w:rsidRPr="00B768C9" w:rsidRDefault="002C667C" w:rsidP="00747762">
      <w:pPr>
        <w:ind w:left="227" w:right="198" w:hanging="227"/>
        <w:jc w:val="both"/>
        <w:rPr>
          <w:rFonts w:cs="Times New Roman"/>
          <w:sz w:val="22"/>
        </w:rPr>
      </w:pPr>
      <w:r w:rsidRPr="00B768C9">
        <w:rPr>
          <w:rFonts w:cs="Times New Roman"/>
          <w:sz w:val="22"/>
        </w:rPr>
        <w:t xml:space="preserve">Fama, E.F. (1980). Agency problems and the theory of the firm. </w:t>
      </w:r>
      <w:r w:rsidRPr="00B768C9">
        <w:rPr>
          <w:rFonts w:cs="Times New Roman"/>
          <w:i/>
          <w:iCs/>
          <w:sz w:val="22"/>
        </w:rPr>
        <w:t>Journal of Political Economy</w:t>
      </w:r>
      <w:r w:rsidRPr="00B768C9">
        <w:rPr>
          <w:rFonts w:cs="Times New Roman"/>
          <w:sz w:val="22"/>
        </w:rPr>
        <w:t xml:space="preserve">, </w:t>
      </w:r>
      <w:r w:rsidRPr="00B768C9">
        <w:rPr>
          <w:rFonts w:cs="Times New Roman"/>
          <w:i/>
          <w:sz w:val="22"/>
        </w:rPr>
        <w:t>88</w:t>
      </w:r>
      <w:r w:rsidRPr="00B768C9">
        <w:rPr>
          <w:rFonts w:cs="Times New Roman"/>
          <w:sz w:val="22"/>
        </w:rPr>
        <w:t>(2), 288-307.</w:t>
      </w:r>
    </w:p>
    <w:p w:rsidR="002C667C" w:rsidRPr="00B768C9" w:rsidRDefault="002C667C" w:rsidP="00747762">
      <w:pPr>
        <w:ind w:left="227" w:right="198" w:hanging="227"/>
        <w:jc w:val="both"/>
        <w:rPr>
          <w:rFonts w:cs="Times New Roman"/>
          <w:sz w:val="22"/>
        </w:rPr>
      </w:pPr>
      <w:r w:rsidRPr="00B768C9">
        <w:rPr>
          <w:rFonts w:cs="Times New Roman"/>
          <w:sz w:val="22"/>
        </w:rPr>
        <w:t xml:space="preserve">Fama, E.F., &amp; Jensen, M. C. (1983). Separation of ownership and control. </w:t>
      </w:r>
      <w:r w:rsidRPr="00B768C9">
        <w:rPr>
          <w:rFonts w:cs="Times New Roman"/>
          <w:i/>
          <w:iCs/>
          <w:sz w:val="22"/>
        </w:rPr>
        <w:t>Law and Economics Journal</w:t>
      </w:r>
      <w:r w:rsidRPr="00B768C9">
        <w:rPr>
          <w:rFonts w:cs="Times New Roman"/>
          <w:sz w:val="22"/>
        </w:rPr>
        <w:t xml:space="preserve">, </w:t>
      </w:r>
      <w:r w:rsidRPr="00B768C9">
        <w:rPr>
          <w:rFonts w:cs="Times New Roman"/>
          <w:i/>
          <w:sz w:val="22"/>
        </w:rPr>
        <w:t>26</w:t>
      </w:r>
      <w:r w:rsidRPr="00B768C9">
        <w:rPr>
          <w:rFonts w:cs="Times New Roman"/>
          <w:sz w:val="22"/>
        </w:rPr>
        <w:t>(2), 301-325.</w:t>
      </w:r>
    </w:p>
    <w:p w:rsidR="002C667C" w:rsidRPr="00B768C9" w:rsidRDefault="002C667C" w:rsidP="00747762">
      <w:pPr>
        <w:ind w:left="227" w:right="198" w:hanging="227"/>
        <w:jc w:val="both"/>
        <w:rPr>
          <w:rFonts w:cs="Times New Roman"/>
          <w:sz w:val="22"/>
        </w:rPr>
      </w:pPr>
      <w:r w:rsidRPr="00B768C9">
        <w:rPr>
          <w:rFonts w:cs="Times New Roman"/>
          <w:sz w:val="22"/>
        </w:rPr>
        <w:t xml:space="preserve">Farook, S., Hassan, M.K., &amp; Lanis, R. (2011). Determinants of corporate social responsibility disclosure: The case of Islamic banks. </w:t>
      </w:r>
      <w:r w:rsidRPr="00B768C9">
        <w:rPr>
          <w:rFonts w:cs="Times New Roman"/>
          <w:i/>
          <w:sz w:val="22"/>
        </w:rPr>
        <w:t>Journal of Islamic Accounting and Business Research</w:t>
      </w:r>
      <w:r w:rsidRPr="00B768C9">
        <w:rPr>
          <w:rFonts w:cs="Times New Roman"/>
          <w:sz w:val="22"/>
        </w:rPr>
        <w:t xml:space="preserve">, </w:t>
      </w:r>
      <w:r w:rsidRPr="00B768C9">
        <w:rPr>
          <w:rFonts w:cs="Times New Roman"/>
          <w:i/>
          <w:sz w:val="22"/>
        </w:rPr>
        <w:t>2</w:t>
      </w:r>
      <w:r w:rsidRPr="00B768C9">
        <w:rPr>
          <w:rFonts w:cs="Times New Roman"/>
          <w:sz w:val="22"/>
        </w:rPr>
        <w:t>(2), 114-141.</w:t>
      </w:r>
    </w:p>
    <w:p w:rsidR="002C667C" w:rsidRPr="00B768C9" w:rsidRDefault="002C667C" w:rsidP="00747762">
      <w:pPr>
        <w:ind w:left="227" w:right="198" w:hanging="227"/>
        <w:jc w:val="both"/>
        <w:rPr>
          <w:rFonts w:cs="Times New Roman"/>
          <w:sz w:val="22"/>
        </w:rPr>
      </w:pPr>
      <w:r w:rsidRPr="00B768C9">
        <w:rPr>
          <w:rFonts w:cs="Times New Roman"/>
          <w:sz w:val="22"/>
        </w:rPr>
        <w:t xml:space="preserve">Firth, M., Fung, P.M.Y., &amp; Rui, O.M. (2007). Ownership, two-tier board structure, and the informativeness of earnings: Evidence from China. </w:t>
      </w:r>
      <w:r w:rsidRPr="00B768C9">
        <w:rPr>
          <w:rFonts w:cs="Times New Roman"/>
          <w:i/>
          <w:iCs/>
          <w:sz w:val="22"/>
        </w:rPr>
        <w:t>Journal of Accounting and Public Policy</w:t>
      </w:r>
      <w:r w:rsidRPr="00B768C9">
        <w:rPr>
          <w:rFonts w:cs="Times New Roman"/>
          <w:sz w:val="22"/>
        </w:rPr>
        <w:t xml:space="preserve">, </w:t>
      </w:r>
      <w:r w:rsidRPr="00B768C9">
        <w:rPr>
          <w:rFonts w:cs="Times New Roman"/>
          <w:i/>
          <w:sz w:val="22"/>
        </w:rPr>
        <w:t>26</w:t>
      </w:r>
      <w:r w:rsidRPr="00B768C9">
        <w:rPr>
          <w:rFonts w:cs="Times New Roman"/>
          <w:sz w:val="22"/>
        </w:rPr>
        <w:t xml:space="preserve">, 463-496. </w:t>
      </w:r>
    </w:p>
    <w:p w:rsidR="002C667C" w:rsidRPr="00B768C9" w:rsidRDefault="002C667C" w:rsidP="00747762">
      <w:pPr>
        <w:ind w:left="227" w:right="198" w:hanging="227"/>
        <w:jc w:val="both"/>
        <w:rPr>
          <w:rFonts w:cs="Times New Roman"/>
          <w:sz w:val="22"/>
        </w:rPr>
      </w:pPr>
      <w:r w:rsidRPr="00B768C9">
        <w:rPr>
          <w:rFonts w:cs="Times New Roman"/>
          <w:sz w:val="22"/>
        </w:rPr>
        <w:t xml:space="preserve">Fleety, S. (2010). </w:t>
      </w:r>
      <w:r w:rsidRPr="00B768C9">
        <w:rPr>
          <w:rFonts w:cs="Times New Roman"/>
          <w:i/>
          <w:iCs/>
          <w:sz w:val="22"/>
        </w:rPr>
        <w:t>Corporate Governance in Omani Listed Firms</w:t>
      </w:r>
      <w:r w:rsidRPr="00B768C9">
        <w:rPr>
          <w:rFonts w:cs="Times New Roman"/>
          <w:sz w:val="22"/>
        </w:rPr>
        <w:t>. Amman: Dar Osama.</w:t>
      </w:r>
    </w:p>
    <w:p w:rsidR="002C667C" w:rsidRPr="00B768C9" w:rsidRDefault="002C667C" w:rsidP="00747762">
      <w:pPr>
        <w:ind w:left="227" w:right="198" w:hanging="227"/>
        <w:jc w:val="both"/>
        <w:rPr>
          <w:rFonts w:cs="Times New Roman"/>
          <w:sz w:val="22"/>
        </w:rPr>
      </w:pPr>
      <w:r w:rsidRPr="00B768C9">
        <w:rPr>
          <w:rFonts w:cs="Times New Roman"/>
          <w:sz w:val="22"/>
        </w:rPr>
        <w:t xml:space="preserve">Francis, J., &amp; Wang, D. (2008). The joint effect of investor protection and big 4 auditors on earnings quality around the world. </w:t>
      </w:r>
      <w:r w:rsidRPr="00B768C9">
        <w:rPr>
          <w:rFonts w:cs="Times New Roman"/>
          <w:i/>
          <w:iCs/>
          <w:sz w:val="22"/>
        </w:rPr>
        <w:t>Contemporary Accounting Research</w:t>
      </w:r>
      <w:r w:rsidRPr="00B768C9">
        <w:rPr>
          <w:rFonts w:cs="Times New Roman"/>
          <w:sz w:val="22"/>
        </w:rPr>
        <w:t xml:space="preserve">, </w:t>
      </w:r>
      <w:r w:rsidRPr="00B768C9">
        <w:rPr>
          <w:rFonts w:cs="Times New Roman"/>
          <w:i/>
          <w:sz w:val="22"/>
        </w:rPr>
        <w:t>25</w:t>
      </w:r>
      <w:r w:rsidRPr="00B768C9">
        <w:rPr>
          <w:rFonts w:cs="Times New Roman"/>
          <w:sz w:val="22"/>
        </w:rPr>
        <w:t xml:space="preserve">(1), 157-191. </w:t>
      </w:r>
    </w:p>
    <w:p w:rsidR="002C667C" w:rsidRPr="00B768C9" w:rsidRDefault="002C667C" w:rsidP="00624181">
      <w:pPr>
        <w:ind w:left="227" w:right="198" w:hanging="227"/>
        <w:jc w:val="both"/>
        <w:rPr>
          <w:rFonts w:cs="Times New Roman"/>
          <w:sz w:val="22"/>
        </w:rPr>
      </w:pPr>
      <w:r w:rsidRPr="00B768C9">
        <w:rPr>
          <w:rFonts w:cs="Times New Roman"/>
          <w:sz w:val="22"/>
        </w:rPr>
        <w:t xml:space="preserve">Gabrielsson, J., &amp; Huse, M. (2004). Context, behavior, and evolution: Challenges in research on boards and governance. </w:t>
      </w:r>
      <w:r w:rsidRPr="00B768C9">
        <w:rPr>
          <w:rFonts w:cs="Times New Roman"/>
          <w:i/>
          <w:sz w:val="22"/>
        </w:rPr>
        <w:t>International Studies of Management and Organizations</w:t>
      </w:r>
      <w:r w:rsidRPr="00B768C9">
        <w:rPr>
          <w:rFonts w:cs="Times New Roman"/>
          <w:sz w:val="22"/>
        </w:rPr>
        <w:t xml:space="preserve">, </w:t>
      </w:r>
      <w:r w:rsidRPr="00B768C9">
        <w:rPr>
          <w:rFonts w:cs="Times New Roman"/>
          <w:i/>
          <w:sz w:val="22"/>
        </w:rPr>
        <w:t>34</w:t>
      </w:r>
      <w:r w:rsidRPr="00B768C9">
        <w:rPr>
          <w:rFonts w:cs="Times New Roman"/>
          <w:sz w:val="22"/>
        </w:rPr>
        <w:t>, 11-36.</w:t>
      </w:r>
    </w:p>
    <w:p w:rsidR="002C667C" w:rsidRPr="00B768C9" w:rsidRDefault="002C667C" w:rsidP="00747762">
      <w:pPr>
        <w:ind w:left="227" w:right="198" w:hanging="227"/>
        <w:jc w:val="both"/>
        <w:rPr>
          <w:rFonts w:cs="Times New Roman"/>
          <w:sz w:val="22"/>
        </w:rPr>
      </w:pPr>
      <w:r w:rsidRPr="00B768C9">
        <w:rPr>
          <w:rFonts w:cs="Times New Roman"/>
          <w:sz w:val="22"/>
        </w:rPr>
        <w:t xml:space="preserve">Gavious, I., Segev, E., &amp; Yosef, R. (2012). Female directors and earnings management in high-technology firms. </w:t>
      </w:r>
      <w:r w:rsidRPr="00B768C9">
        <w:rPr>
          <w:rFonts w:cs="Times New Roman"/>
          <w:i/>
          <w:iCs/>
          <w:sz w:val="22"/>
        </w:rPr>
        <w:t>Pacific Accounting Review</w:t>
      </w:r>
      <w:r w:rsidRPr="00B768C9">
        <w:rPr>
          <w:rFonts w:cs="Times New Roman"/>
          <w:sz w:val="22"/>
        </w:rPr>
        <w:t xml:space="preserve">, </w:t>
      </w:r>
      <w:r w:rsidRPr="00B768C9">
        <w:rPr>
          <w:rFonts w:cs="Times New Roman"/>
          <w:i/>
          <w:sz w:val="22"/>
        </w:rPr>
        <w:t>24</w:t>
      </w:r>
      <w:r w:rsidRPr="00B768C9">
        <w:rPr>
          <w:rFonts w:cs="Times New Roman"/>
          <w:sz w:val="22"/>
        </w:rPr>
        <w:t>(1), 4-32.</w:t>
      </w:r>
    </w:p>
    <w:p w:rsidR="002C667C" w:rsidRPr="00B768C9" w:rsidRDefault="002C667C" w:rsidP="00747762">
      <w:pPr>
        <w:ind w:left="227" w:right="198" w:hanging="227"/>
        <w:jc w:val="both"/>
        <w:rPr>
          <w:rFonts w:cs="Times New Roman"/>
          <w:sz w:val="22"/>
        </w:rPr>
      </w:pPr>
      <w:r w:rsidRPr="00B768C9">
        <w:rPr>
          <w:rFonts w:cs="Times New Roman"/>
          <w:sz w:val="22"/>
        </w:rPr>
        <w:t xml:space="preserve">Ghosh, A., Marra, A., &amp; Moon, D. (2010). Corporate boards, audit committees and earnings management: Pre-and post-SOX evidence. </w:t>
      </w:r>
      <w:r w:rsidRPr="00B768C9">
        <w:rPr>
          <w:rFonts w:cs="Times New Roman"/>
          <w:i/>
          <w:iCs/>
          <w:sz w:val="22"/>
        </w:rPr>
        <w:t>Journal of Business Finance &amp; Accounting</w:t>
      </w:r>
      <w:r w:rsidRPr="00B768C9">
        <w:rPr>
          <w:rFonts w:cs="Times New Roman"/>
          <w:sz w:val="22"/>
        </w:rPr>
        <w:t xml:space="preserve">, </w:t>
      </w:r>
      <w:r w:rsidRPr="00B768C9">
        <w:rPr>
          <w:rFonts w:cs="Times New Roman"/>
          <w:i/>
          <w:sz w:val="22"/>
        </w:rPr>
        <w:t>37</w:t>
      </w:r>
      <w:r w:rsidRPr="00B768C9">
        <w:rPr>
          <w:rFonts w:cs="Times New Roman"/>
          <w:sz w:val="22"/>
        </w:rPr>
        <w:t>(9-10), 1145-1176.</w:t>
      </w:r>
    </w:p>
    <w:p w:rsidR="002C667C" w:rsidRDefault="002C667C" w:rsidP="00747762">
      <w:pPr>
        <w:ind w:left="227" w:right="198" w:hanging="227"/>
        <w:jc w:val="both"/>
        <w:rPr>
          <w:rFonts w:cs="Times New Roman"/>
          <w:sz w:val="22"/>
        </w:rPr>
      </w:pPr>
      <w:r w:rsidRPr="00B768C9">
        <w:rPr>
          <w:rFonts w:cs="Times New Roman"/>
          <w:sz w:val="22"/>
        </w:rPr>
        <w:t xml:space="preserve">Ginena, K. (2014). Shariah risk and corporate governance of Islamic banks. </w:t>
      </w:r>
      <w:r w:rsidRPr="00B768C9">
        <w:rPr>
          <w:rFonts w:cs="Times New Roman"/>
          <w:i/>
          <w:sz w:val="22"/>
        </w:rPr>
        <w:t>Corporate Governance</w:t>
      </w:r>
      <w:r w:rsidRPr="00B768C9">
        <w:rPr>
          <w:rFonts w:cs="Times New Roman"/>
          <w:sz w:val="22"/>
        </w:rPr>
        <w:t xml:space="preserve">, </w:t>
      </w:r>
      <w:r w:rsidRPr="00B768C9">
        <w:rPr>
          <w:rFonts w:cs="Times New Roman"/>
          <w:i/>
          <w:sz w:val="22"/>
        </w:rPr>
        <w:t>14</w:t>
      </w:r>
      <w:r w:rsidRPr="00B768C9">
        <w:rPr>
          <w:rFonts w:cs="Times New Roman"/>
          <w:sz w:val="22"/>
        </w:rPr>
        <w:t>(1), 86-103.</w:t>
      </w:r>
    </w:p>
    <w:p w:rsidR="00F44B5C" w:rsidRPr="00F44B5C" w:rsidRDefault="00F44B5C" w:rsidP="00747762">
      <w:pPr>
        <w:ind w:left="227" w:right="198" w:hanging="227"/>
        <w:jc w:val="both"/>
        <w:rPr>
          <w:rFonts w:cs="Times New Roman"/>
          <w:sz w:val="22"/>
        </w:rPr>
      </w:pPr>
      <w:r>
        <w:rPr>
          <w:rFonts w:cs="Times New Roman"/>
          <w:sz w:val="22"/>
        </w:rPr>
        <w:t>Hamdi, M.F., &amp;</w:t>
      </w:r>
      <w:r w:rsidRPr="00F44B5C">
        <w:rPr>
          <w:rFonts w:cs="Times New Roman"/>
          <w:sz w:val="22"/>
        </w:rPr>
        <w:t xml:space="preserve"> Zarai, M.A. (2012)</w:t>
      </w:r>
      <w:r>
        <w:rPr>
          <w:rFonts w:cs="Times New Roman"/>
          <w:sz w:val="22"/>
        </w:rPr>
        <w:t>.</w:t>
      </w:r>
      <w:r w:rsidRPr="00F44B5C">
        <w:rPr>
          <w:rFonts w:cs="Times New Roman"/>
          <w:sz w:val="22"/>
        </w:rPr>
        <w:t xml:space="preserve"> Earnings management to avoid earnings decreases and losses: Empirical evidenc</w:t>
      </w:r>
      <w:r>
        <w:rPr>
          <w:rFonts w:cs="Times New Roman"/>
          <w:sz w:val="22"/>
        </w:rPr>
        <w:t>e from Islamic banking industry.</w:t>
      </w:r>
      <w:r w:rsidRPr="00F44B5C">
        <w:rPr>
          <w:rFonts w:cs="Times New Roman"/>
          <w:sz w:val="22"/>
        </w:rPr>
        <w:t xml:space="preserve"> </w:t>
      </w:r>
      <w:r w:rsidRPr="00F44B5C">
        <w:rPr>
          <w:rFonts w:cs="Times New Roman"/>
          <w:i/>
          <w:sz w:val="22"/>
        </w:rPr>
        <w:t>Research Journal of Finance and Accounting</w:t>
      </w:r>
      <w:r>
        <w:rPr>
          <w:rFonts w:cs="Times New Roman"/>
          <w:sz w:val="22"/>
        </w:rPr>
        <w:t xml:space="preserve">, </w:t>
      </w:r>
      <w:r w:rsidRPr="00F44B5C">
        <w:rPr>
          <w:rFonts w:cs="Times New Roman"/>
          <w:i/>
          <w:sz w:val="22"/>
        </w:rPr>
        <w:t>3</w:t>
      </w:r>
      <w:r>
        <w:rPr>
          <w:rFonts w:cs="Times New Roman"/>
          <w:sz w:val="22"/>
        </w:rPr>
        <w:t xml:space="preserve">, </w:t>
      </w:r>
      <w:r w:rsidRPr="00F44B5C">
        <w:rPr>
          <w:rFonts w:cs="Times New Roman"/>
          <w:sz w:val="22"/>
        </w:rPr>
        <w:t>88-107.</w:t>
      </w:r>
    </w:p>
    <w:p w:rsidR="002C667C" w:rsidRPr="00B768C9" w:rsidRDefault="002C667C" w:rsidP="00747762">
      <w:pPr>
        <w:ind w:left="227" w:hanging="227"/>
        <w:jc w:val="both"/>
        <w:rPr>
          <w:rFonts w:cs="Times New Roman"/>
          <w:sz w:val="22"/>
        </w:rPr>
      </w:pPr>
      <w:r w:rsidRPr="00B768C9">
        <w:rPr>
          <w:rFonts w:cs="Times New Roman"/>
          <w:sz w:val="22"/>
        </w:rPr>
        <w:t xml:space="preserve">Haniffa, R.M. &amp; Cooke, T.E. (2002). Culture, corporate governance and disclosure in Malaysian corporations. </w:t>
      </w:r>
      <w:r w:rsidRPr="00B768C9">
        <w:rPr>
          <w:rFonts w:cs="Times New Roman"/>
          <w:i/>
          <w:iCs/>
          <w:sz w:val="22"/>
        </w:rPr>
        <w:t>A Journal of Accounting, Finance and Business Studies</w:t>
      </w:r>
      <w:r w:rsidRPr="00B768C9">
        <w:rPr>
          <w:rFonts w:cs="Times New Roman"/>
          <w:sz w:val="22"/>
        </w:rPr>
        <w:t xml:space="preserve">, </w:t>
      </w:r>
      <w:r w:rsidRPr="00B768C9">
        <w:rPr>
          <w:rFonts w:cs="Times New Roman"/>
          <w:i/>
          <w:sz w:val="22"/>
        </w:rPr>
        <w:t>38</w:t>
      </w:r>
      <w:r w:rsidRPr="00B768C9">
        <w:rPr>
          <w:rFonts w:cs="Times New Roman"/>
          <w:sz w:val="22"/>
        </w:rPr>
        <w:t>(3), 317-349.</w:t>
      </w:r>
    </w:p>
    <w:p w:rsidR="002C667C" w:rsidRPr="00B768C9" w:rsidRDefault="002C667C" w:rsidP="00747762">
      <w:pPr>
        <w:ind w:left="227" w:right="198" w:hanging="227"/>
        <w:jc w:val="both"/>
        <w:rPr>
          <w:rFonts w:cs="Times New Roman"/>
          <w:sz w:val="22"/>
        </w:rPr>
      </w:pPr>
      <w:r w:rsidRPr="00B768C9">
        <w:rPr>
          <w:rFonts w:cs="Times New Roman"/>
          <w:sz w:val="22"/>
        </w:rPr>
        <w:t xml:space="preserve">Healy, P.M., &amp; Wahlen, J.M. (1999). A review of the earnings management literature and its implications for standard setting. </w:t>
      </w:r>
      <w:r w:rsidRPr="00B768C9">
        <w:rPr>
          <w:rFonts w:cs="Times New Roman"/>
          <w:i/>
          <w:iCs/>
          <w:sz w:val="22"/>
        </w:rPr>
        <w:t>Accounting Horizons</w:t>
      </w:r>
      <w:r w:rsidRPr="00B768C9">
        <w:rPr>
          <w:rFonts w:cs="Times New Roman"/>
          <w:sz w:val="22"/>
        </w:rPr>
        <w:t xml:space="preserve">, </w:t>
      </w:r>
      <w:r w:rsidRPr="00B768C9">
        <w:rPr>
          <w:rFonts w:cs="Times New Roman"/>
          <w:i/>
          <w:sz w:val="22"/>
        </w:rPr>
        <w:t>13</w:t>
      </w:r>
      <w:r w:rsidRPr="00B768C9">
        <w:rPr>
          <w:rFonts w:cs="Times New Roman"/>
          <w:sz w:val="22"/>
        </w:rPr>
        <w:t>(4), 365-383.</w:t>
      </w:r>
    </w:p>
    <w:p w:rsidR="002C667C" w:rsidRPr="00B768C9" w:rsidRDefault="002C667C" w:rsidP="00747762">
      <w:pPr>
        <w:ind w:left="227" w:right="198" w:hanging="227"/>
        <w:jc w:val="both"/>
        <w:rPr>
          <w:rFonts w:cs="Times New Roman"/>
          <w:sz w:val="22"/>
        </w:rPr>
      </w:pPr>
      <w:r w:rsidRPr="00B768C9">
        <w:rPr>
          <w:rFonts w:cs="Times New Roman"/>
          <w:sz w:val="22"/>
        </w:rPr>
        <w:t xml:space="preserve">Hilary, G., &amp; Hui, K.W. (2009). Does religion matter in corporate decision making in America? </w:t>
      </w:r>
      <w:r w:rsidRPr="00B768C9">
        <w:rPr>
          <w:rFonts w:cs="Times New Roman"/>
          <w:i/>
          <w:iCs/>
          <w:sz w:val="22"/>
        </w:rPr>
        <w:t>Journal of Financial Economics</w:t>
      </w:r>
      <w:r w:rsidRPr="00B768C9">
        <w:rPr>
          <w:rFonts w:cs="Times New Roman"/>
          <w:sz w:val="22"/>
        </w:rPr>
        <w:t xml:space="preserve">, </w:t>
      </w:r>
      <w:r w:rsidRPr="00B768C9">
        <w:rPr>
          <w:rFonts w:cs="Times New Roman"/>
          <w:i/>
          <w:sz w:val="22"/>
        </w:rPr>
        <w:t>93</w:t>
      </w:r>
      <w:r w:rsidRPr="00B768C9">
        <w:rPr>
          <w:rFonts w:cs="Times New Roman"/>
          <w:sz w:val="22"/>
        </w:rPr>
        <w:t>(3), 455-473.</w:t>
      </w:r>
    </w:p>
    <w:p w:rsidR="002C667C" w:rsidRPr="00B768C9" w:rsidRDefault="002C667C" w:rsidP="00747762">
      <w:pPr>
        <w:ind w:left="227" w:right="198" w:hanging="227"/>
        <w:jc w:val="both"/>
        <w:rPr>
          <w:rFonts w:cs="Times New Roman"/>
          <w:sz w:val="22"/>
        </w:rPr>
      </w:pPr>
      <w:r w:rsidRPr="00B768C9">
        <w:rPr>
          <w:rFonts w:cs="Times New Roman"/>
          <w:sz w:val="22"/>
        </w:rPr>
        <w:t xml:space="preserve">Hribar, P. and Collins, D.W. (2002). Errors in estimating accruals: Implications for empirical research, </w:t>
      </w:r>
      <w:r w:rsidRPr="00B768C9">
        <w:rPr>
          <w:rFonts w:cs="Times New Roman"/>
          <w:i/>
          <w:iCs/>
          <w:sz w:val="22"/>
        </w:rPr>
        <w:t>Journal of Accounting Research</w:t>
      </w:r>
      <w:r w:rsidRPr="00B768C9">
        <w:rPr>
          <w:rFonts w:cs="Times New Roman"/>
          <w:sz w:val="22"/>
        </w:rPr>
        <w:t xml:space="preserve">, </w:t>
      </w:r>
      <w:r w:rsidRPr="00B768C9">
        <w:rPr>
          <w:rFonts w:cs="Times New Roman"/>
          <w:i/>
          <w:sz w:val="22"/>
        </w:rPr>
        <w:t>40</w:t>
      </w:r>
      <w:r w:rsidRPr="00B768C9">
        <w:rPr>
          <w:rFonts w:cs="Times New Roman"/>
          <w:sz w:val="22"/>
        </w:rPr>
        <w:t>(1), 105-134.</w:t>
      </w:r>
    </w:p>
    <w:p w:rsidR="002C667C" w:rsidRPr="00B768C9" w:rsidRDefault="002C667C" w:rsidP="00624181">
      <w:pPr>
        <w:ind w:left="227" w:right="198" w:hanging="227"/>
        <w:jc w:val="both"/>
        <w:rPr>
          <w:rFonts w:cs="Times New Roman"/>
          <w:sz w:val="22"/>
        </w:rPr>
      </w:pPr>
      <w:r w:rsidRPr="00B768C9">
        <w:rPr>
          <w:rFonts w:cs="Times New Roman"/>
          <w:sz w:val="22"/>
        </w:rPr>
        <w:t xml:space="preserve">Huse, M., Hoskisson, R., Zattoni A., &amp; Vigano, R. (2011). New perspectives on board research: Changing the research agenda. </w:t>
      </w:r>
      <w:r w:rsidRPr="00B768C9">
        <w:rPr>
          <w:rFonts w:cs="Times New Roman"/>
          <w:i/>
          <w:sz w:val="22"/>
        </w:rPr>
        <w:t>Journal of Management and Governance</w:t>
      </w:r>
      <w:r w:rsidRPr="00B768C9">
        <w:rPr>
          <w:rFonts w:cs="Times New Roman"/>
          <w:sz w:val="22"/>
        </w:rPr>
        <w:t xml:space="preserve">, </w:t>
      </w:r>
      <w:r w:rsidRPr="00B768C9">
        <w:rPr>
          <w:rFonts w:cs="Times New Roman"/>
          <w:i/>
          <w:sz w:val="22"/>
        </w:rPr>
        <w:t>15</w:t>
      </w:r>
      <w:r w:rsidRPr="00B768C9">
        <w:rPr>
          <w:rFonts w:cs="Times New Roman"/>
          <w:sz w:val="22"/>
        </w:rPr>
        <w:t>, 5-28.</w:t>
      </w:r>
    </w:p>
    <w:p w:rsidR="002C667C" w:rsidRPr="00B768C9" w:rsidRDefault="002C667C" w:rsidP="00747762">
      <w:pPr>
        <w:ind w:left="227" w:right="198" w:hanging="227"/>
        <w:jc w:val="both"/>
        <w:rPr>
          <w:rFonts w:cs="Times New Roman"/>
          <w:sz w:val="22"/>
        </w:rPr>
      </w:pPr>
      <w:r w:rsidRPr="00B768C9">
        <w:rPr>
          <w:rFonts w:cs="Times New Roman"/>
          <w:sz w:val="22"/>
        </w:rPr>
        <w:t xml:space="preserve">Iatridis, G. (2012). Terrorist attacks and company financial numbers: Evidence on earnings management and value relevance from Madrid, London and Istanbul. </w:t>
      </w:r>
      <w:r w:rsidRPr="00B768C9">
        <w:rPr>
          <w:rFonts w:cs="Times New Roman"/>
          <w:i/>
          <w:iCs/>
          <w:sz w:val="22"/>
        </w:rPr>
        <w:t>Research in International Business and Finance</w:t>
      </w:r>
      <w:r w:rsidRPr="00B768C9">
        <w:rPr>
          <w:rFonts w:cs="Times New Roman"/>
          <w:sz w:val="22"/>
        </w:rPr>
        <w:t xml:space="preserve">, </w:t>
      </w:r>
      <w:r w:rsidRPr="00B768C9">
        <w:rPr>
          <w:rFonts w:cs="Times New Roman"/>
          <w:i/>
          <w:sz w:val="22"/>
        </w:rPr>
        <w:t>26</w:t>
      </w:r>
      <w:r w:rsidRPr="00B768C9">
        <w:rPr>
          <w:rFonts w:cs="Times New Roman"/>
          <w:sz w:val="22"/>
        </w:rPr>
        <w:t>(2), 204-220.</w:t>
      </w:r>
    </w:p>
    <w:p w:rsidR="002C667C" w:rsidRPr="00B768C9" w:rsidRDefault="002C667C" w:rsidP="00747762">
      <w:pPr>
        <w:ind w:left="227" w:right="198" w:hanging="227"/>
        <w:jc w:val="both"/>
        <w:rPr>
          <w:rFonts w:cs="Times New Roman"/>
          <w:sz w:val="22"/>
        </w:rPr>
      </w:pPr>
      <w:r w:rsidRPr="00B768C9">
        <w:rPr>
          <w:rFonts w:cs="Times New Roman"/>
          <w:sz w:val="22"/>
        </w:rPr>
        <w:t xml:space="preserve">Jaggi, B., &amp; Tsui, J. (2007). Insider trading, earnings management and corporate governance: Empirical evidence based on Hong Kong firms. </w:t>
      </w:r>
      <w:r w:rsidRPr="00B768C9">
        <w:rPr>
          <w:rFonts w:cs="Times New Roman"/>
          <w:i/>
          <w:iCs/>
          <w:sz w:val="22"/>
        </w:rPr>
        <w:t>Journal of International Financial Management and Accounting</w:t>
      </w:r>
      <w:r w:rsidRPr="00B768C9">
        <w:rPr>
          <w:rFonts w:cs="Times New Roman"/>
          <w:sz w:val="22"/>
        </w:rPr>
        <w:t xml:space="preserve">, </w:t>
      </w:r>
      <w:r w:rsidRPr="00B768C9">
        <w:rPr>
          <w:rFonts w:cs="Times New Roman"/>
          <w:i/>
          <w:sz w:val="22"/>
        </w:rPr>
        <w:t>18</w:t>
      </w:r>
      <w:r w:rsidRPr="00B768C9">
        <w:rPr>
          <w:rFonts w:cs="Times New Roman"/>
          <w:sz w:val="22"/>
        </w:rPr>
        <w:t>(3), 192-222.</w:t>
      </w:r>
    </w:p>
    <w:p w:rsidR="002C667C" w:rsidRPr="00B768C9" w:rsidRDefault="002C667C" w:rsidP="00747762">
      <w:pPr>
        <w:ind w:left="227" w:right="198" w:hanging="227"/>
        <w:jc w:val="both"/>
        <w:rPr>
          <w:rFonts w:cs="Times New Roman"/>
          <w:sz w:val="22"/>
        </w:rPr>
      </w:pPr>
      <w:r w:rsidRPr="00B768C9">
        <w:rPr>
          <w:rFonts w:cs="Times New Roman"/>
          <w:sz w:val="22"/>
        </w:rPr>
        <w:t xml:space="preserve">Jensen, M.C. (1993). The modern industrial revolution, exit, and the failure of internal Control Systems. </w:t>
      </w:r>
      <w:r w:rsidRPr="00B768C9">
        <w:rPr>
          <w:rFonts w:cs="Times New Roman"/>
          <w:i/>
          <w:iCs/>
          <w:sz w:val="22"/>
        </w:rPr>
        <w:t>Journal of Finance</w:t>
      </w:r>
      <w:r w:rsidRPr="00B768C9">
        <w:rPr>
          <w:rFonts w:cs="Times New Roman"/>
          <w:sz w:val="22"/>
        </w:rPr>
        <w:t xml:space="preserve">, </w:t>
      </w:r>
      <w:r w:rsidRPr="00B768C9">
        <w:rPr>
          <w:rFonts w:cs="Times New Roman"/>
          <w:i/>
          <w:sz w:val="22"/>
        </w:rPr>
        <w:t>48</w:t>
      </w:r>
      <w:r w:rsidRPr="00B768C9">
        <w:rPr>
          <w:rFonts w:cs="Times New Roman"/>
          <w:sz w:val="22"/>
        </w:rPr>
        <w:t>(3), 831-880.</w:t>
      </w:r>
    </w:p>
    <w:p w:rsidR="002C667C" w:rsidRPr="00B768C9" w:rsidRDefault="002C667C" w:rsidP="00747762">
      <w:pPr>
        <w:ind w:left="227" w:right="198" w:hanging="227"/>
        <w:jc w:val="both"/>
        <w:rPr>
          <w:rFonts w:cs="Times New Roman"/>
          <w:sz w:val="22"/>
        </w:rPr>
      </w:pPr>
      <w:r w:rsidRPr="00B768C9">
        <w:rPr>
          <w:rFonts w:cs="Times New Roman"/>
          <w:sz w:val="22"/>
        </w:rPr>
        <w:t xml:space="preserve">Jensen, M.C., &amp; Meckling, W. H. (1976). Theory of the firm: managerial behaviour, agency costs and ownership structure. </w:t>
      </w:r>
      <w:r w:rsidRPr="00B768C9">
        <w:rPr>
          <w:rFonts w:cs="Times New Roman"/>
          <w:i/>
          <w:iCs/>
          <w:sz w:val="22"/>
        </w:rPr>
        <w:t>Journal of Financial Economics</w:t>
      </w:r>
      <w:r w:rsidRPr="00B768C9">
        <w:rPr>
          <w:rFonts w:cs="Times New Roman"/>
          <w:sz w:val="22"/>
        </w:rPr>
        <w:t xml:space="preserve">, </w:t>
      </w:r>
      <w:r w:rsidRPr="00B768C9">
        <w:rPr>
          <w:rFonts w:cs="Times New Roman"/>
          <w:i/>
          <w:sz w:val="22"/>
        </w:rPr>
        <w:t>3</w:t>
      </w:r>
      <w:r w:rsidRPr="00B768C9">
        <w:rPr>
          <w:rFonts w:cs="Times New Roman"/>
          <w:sz w:val="22"/>
        </w:rPr>
        <w:t>(4), 305-360.</w:t>
      </w:r>
    </w:p>
    <w:p w:rsidR="002C667C" w:rsidRPr="00B768C9" w:rsidRDefault="002C667C" w:rsidP="00747762">
      <w:pPr>
        <w:ind w:left="227" w:right="198" w:hanging="227"/>
        <w:jc w:val="both"/>
        <w:rPr>
          <w:rFonts w:cs="Times New Roman"/>
          <w:sz w:val="22"/>
        </w:rPr>
      </w:pPr>
      <w:r w:rsidRPr="00B768C9">
        <w:rPr>
          <w:rFonts w:cs="Times New Roman"/>
          <w:sz w:val="22"/>
        </w:rPr>
        <w:t xml:space="preserve">Jiang, W., Lee, P., &amp; Anadarajan, A. (2008). The association between corporate governance and earnings quality: Further evidence using the GOV-score. </w:t>
      </w:r>
      <w:r w:rsidRPr="00B768C9">
        <w:rPr>
          <w:rFonts w:cs="Times New Roman"/>
          <w:i/>
          <w:iCs/>
          <w:sz w:val="22"/>
        </w:rPr>
        <w:t>Advances in Accounting, Incorporating Advances in International Accounting</w:t>
      </w:r>
      <w:r w:rsidRPr="00B768C9">
        <w:rPr>
          <w:rFonts w:cs="Times New Roman"/>
          <w:sz w:val="22"/>
        </w:rPr>
        <w:t xml:space="preserve">, </w:t>
      </w:r>
      <w:r w:rsidRPr="00B768C9">
        <w:rPr>
          <w:rFonts w:cs="Times New Roman"/>
          <w:i/>
          <w:sz w:val="22"/>
        </w:rPr>
        <w:t>24</w:t>
      </w:r>
      <w:r w:rsidRPr="00B768C9">
        <w:rPr>
          <w:rFonts w:cs="Times New Roman"/>
          <w:sz w:val="22"/>
        </w:rPr>
        <w:t>(2), 191-201.</w:t>
      </w:r>
    </w:p>
    <w:p w:rsidR="002C667C" w:rsidRDefault="002C667C" w:rsidP="00747762">
      <w:pPr>
        <w:ind w:left="227" w:right="198" w:hanging="227"/>
        <w:jc w:val="both"/>
        <w:rPr>
          <w:rFonts w:cs="Times New Roman"/>
          <w:sz w:val="22"/>
        </w:rPr>
      </w:pPr>
      <w:r w:rsidRPr="00B768C9">
        <w:rPr>
          <w:rFonts w:cs="Times New Roman"/>
          <w:sz w:val="22"/>
        </w:rPr>
        <w:t xml:space="preserve">Jiraporn, P., &amp; Gleason, K.C. (2007). Delaware incorporation and earnings management: An empirical analysis. </w:t>
      </w:r>
      <w:r w:rsidRPr="00B768C9">
        <w:rPr>
          <w:rFonts w:cs="Times New Roman"/>
          <w:i/>
          <w:iCs/>
          <w:sz w:val="22"/>
        </w:rPr>
        <w:t>Journal of Applied Finance</w:t>
      </w:r>
      <w:r w:rsidRPr="00B768C9">
        <w:rPr>
          <w:rFonts w:cs="Times New Roman"/>
          <w:sz w:val="22"/>
        </w:rPr>
        <w:t xml:space="preserve">, </w:t>
      </w:r>
      <w:r w:rsidRPr="00B768C9">
        <w:rPr>
          <w:rFonts w:cs="Times New Roman"/>
          <w:i/>
          <w:sz w:val="22"/>
        </w:rPr>
        <w:t>17</w:t>
      </w:r>
      <w:r w:rsidRPr="00B768C9">
        <w:rPr>
          <w:rFonts w:cs="Times New Roman"/>
          <w:sz w:val="22"/>
        </w:rPr>
        <w:t>, 40-51.</w:t>
      </w:r>
    </w:p>
    <w:p w:rsidR="004B76CB" w:rsidRPr="004B76CB" w:rsidRDefault="004B76CB" w:rsidP="00747762">
      <w:pPr>
        <w:ind w:left="227" w:right="198" w:hanging="227"/>
        <w:jc w:val="both"/>
        <w:rPr>
          <w:rFonts w:cs="Times New Roman"/>
          <w:sz w:val="22"/>
        </w:rPr>
      </w:pPr>
      <w:r>
        <w:rPr>
          <w:rFonts w:cs="Times New Roman"/>
          <w:sz w:val="22"/>
        </w:rPr>
        <w:t xml:space="preserve">Judge, W. (2010). Editorial – Corporate governance mechanisms throughout the world. </w:t>
      </w:r>
      <w:r>
        <w:rPr>
          <w:rFonts w:cs="Times New Roman"/>
          <w:i/>
          <w:sz w:val="22"/>
        </w:rPr>
        <w:t>Corporate Governance: An International Review</w:t>
      </w:r>
      <w:r>
        <w:rPr>
          <w:rFonts w:cs="Times New Roman"/>
          <w:sz w:val="22"/>
        </w:rPr>
        <w:t xml:space="preserve">, </w:t>
      </w:r>
      <w:r>
        <w:rPr>
          <w:rFonts w:cs="Times New Roman"/>
          <w:i/>
          <w:sz w:val="22"/>
        </w:rPr>
        <w:t>18</w:t>
      </w:r>
      <w:r>
        <w:rPr>
          <w:rFonts w:cs="Times New Roman"/>
          <w:sz w:val="22"/>
        </w:rPr>
        <w:t>(3), 159-160.</w:t>
      </w:r>
    </w:p>
    <w:p w:rsidR="002C667C" w:rsidRPr="00B768C9" w:rsidRDefault="002C667C" w:rsidP="00747762">
      <w:pPr>
        <w:ind w:left="227" w:right="198" w:hanging="227"/>
        <w:jc w:val="both"/>
        <w:rPr>
          <w:rFonts w:cs="Times New Roman"/>
          <w:sz w:val="22"/>
        </w:rPr>
      </w:pPr>
      <w:r w:rsidRPr="00B768C9">
        <w:rPr>
          <w:rFonts w:cs="Times New Roman"/>
          <w:sz w:val="22"/>
        </w:rPr>
        <w:t xml:space="preserve">Kamla, R., Gallhofer, S., &amp; Haslam, J. (2006). Islam, nature and accounting: Islamic principles and the nation of accounting for the environment. </w:t>
      </w:r>
      <w:r w:rsidRPr="00B768C9">
        <w:rPr>
          <w:rFonts w:cs="Times New Roman"/>
          <w:i/>
          <w:iCs/>
          <w:sz w:val="22"/>
        </w:rPr>
        <w:t>Accounting Forum</w:t>
      </w:r>
      <w:r w:rsidRPr="00B768C9">
        <w:rPr>
          <w:rFonts w:cs="Times New Roman"/>
          <w:sz w:val="22"/>
        </w:rPr>
        <w:t xml:space="preserve">, </w:t>
      </w:r>
      <w:r w:rsidRPr="00B768C9">
        <w:rPr>
          <w:rFonts w:cs="Times New Roman"/>
          <w:i/>
          <w:sz w:val="22"/>
        </w:rPr>
        <w:t>30</w:t>
      </w:r>
      <w:r w:rsidRPr="00B768C9">
        <w:rPr>
          <w:rFonts w:cs="Times New Roman"/>
          <w:sz w:val="22"/>
        </w:rPr>
        <w:t>(3), 245-265.</w:t>
      </w:r>
    </w:p>
    <w:p w:rsidR="002C667C" w:rsidRPr="00B768C9" w:rsidRDefault="002C667C" w:rsidP="002C667C">
      <w:pPr>
        <w:ind w:left="170" w:hanging="170"/>
        <w:jc w:val="both"/>
        <w:rPr>
          <w:rFonts w:cs="Times New Roman"/>
          <w:sz w:val="22"/>
        </w:rPr>
      </w:pPr>
      <w:r w:rsidRPr="00B768C9">
        <w:rPr>
          <w:rFonts w:cs="Times New Roman"/>
          <w:sz w:val="22"/>
        </w:rPr>
        <w:t xml:space="preserve">Kanagaretnam, K., Lobo, G.J., &amp; Chong Wang, C. (2015). Religiosity and earnings management: International evidence from the banking Industry. </w:t>
      </w:r>
      <w:r w:rsidRPr="00B768C9">
        <w:rPr>
          <w:rFonts w:cs="Times New Roman"/>
          <w:i/>
          <w:sz w:val="22"/>
        </w:rPr>
        <w:t>Journal of Business Ethics</w:t>
      </w:r>
      <w:r w:rsidRPr="00B768C9">
        <w:rPr>
          <w:rFonts w:cs="Times New Roman"/>
          <w:sz w:val="22"/>
        </w:rPr>
        <w:t>, forthcoming.</w:t>
      </w:r>
    </w:p>
    <w:p w:rsidR="002C667C" w:rsidRPr="00B768C9" w:rsidRDefault="002C667C" w:rsidP="00747762">
      <w:pPr>
        <w:ind w:left="227" w:right="198" w:hanging="227"/>
        <w:jc w:val="both"/>
        <w:rPr>
          <w:rFonts w:cs="Times New Roman"/>
          <w:sz w:val="22"/>
        </w:rPr>
      </w:pPr>
      <w:r w:rsidRPr="00B768C9">
        <w:rPr>
          <w:rFonts w:cs="Times New Roman"/>
          <w:sz w:val="22"/>
        </w:rPr>
        <w:t xml:space="preserve">Karamanou, I., &amp; Vafeas, N. (2005). The association between corporate boards, audit committees, and management earnings forecasts: An empirical analysis. </w:t>
      </w:r>
      <w:r w:rsidRPr="00B768C9">
        <w:rPr>
          <w:rFonts w:cs="Times New Roman"/>
          <w:i/>
          <w:iCs/>
          <w:sz w:val="22"/>
        </w:rPr>
        <w:t>Journal of Accounting Research</w:t>
      </w:r>
      <w:r w:rsidRPr="00B768C9">
        <w:rPr>
          <w:rFonts w:cs="Times New Roman"/>
          <w:sz w:val="22"/>
        </w:rPr>
        <w:t xml:space="preserve">, </w:t>
      </w:r>
      <w:r w:rsidRPr="00B768C9">
        <w:rPr>
          <w:rFonts w:cs="Times New Roman"/>
          <w:i/>
          <w:sz w:val="22"/>
        </w:rPr>
        <w:t>43</w:t>
      </w:r>
      <w:r w:rsidRPr="00B768C9">
        <w:rPr>
          <w:rFonts w:cs="Times New Roman"/>
          <w:sz w:val="22"/>
        </w:rPr>
        <w:t>(3), 453-486.</w:t>
      </w:r>
    </w:p>
    <w:p w:rsidR="002C667C" w:rsidRPr="00B768C9" w:rsidRDefault="002C667C" w:rsidP="00747762">
      <w:pPr>
        <w:ind w:left="227" w:right="198" w:hanging="227"/>
        <w:jc w:val="both"/>
        <w:rPr>
          <w:rFonts w:cs="Times New Roman"/>
          <w:sz w:val="22"/>
        </w:rPr>
      </w:pPr>
      <w:r w:rsidRPr="00B768C9">
        <w:rPr>
          <w:rFonts w:cs="Times New Roman"/>
          <w:sz w:val="22"/>
        </w:rPr>
        <w:t xml:space="preserve">Kent, P., Routledge, J., &amp; Stewart, J. (2010). Innate and discretionary accruals quality and corporate governance. </w:t>
      </w:r>
      <w:r w:rsidRPr="00B768C9">
        <w:rPr>
          <w:rFonts w:cs="Times New Roman"/>
          <w:i/>
          <w:iCs/>
          <w:sz w:val="22"/>
        </w:rPr>
        <w:t>Accounting and Finance</w:t>
      </w:r>
      <w:r w:rsidRPr="00B768C9">
        <w:rPr>
          <w:rFonts w:cs="Times New Roman"/>
          <w:sz w:val="22"/>
        </w:rPr>
        <w:t xml:space="preserve">, </w:t>
      </w:r>
      <w:r w:rsidRPr="00B768C9">
        <w:rPr>
          <w:rFonts w:cs="Times New Roman"/>
          <w:i/>
          <w:sz w:val="22"/>
        </w:rPr>
        <w:t>50</w:t>
      </w:r>
      <w:r w:rsidRPr="00B768C9">
        <w:rPr>
          <w:rFonts w:cs="Times New Roman"/>
          <w:sz w:val="22"/>
        </w:rPr>
        <w:t xml:space="preserve">(1), 171-195. </w:t>
      </w:r>
    </w:p>
    <w:p w:rsidR="00903139" w:rsidRDefault="002C667C" w:rsidP="00903139">
      <w:pPr>
        <w:ind w:left="227" w:right="198" w:hanging="227"/>
        <w:jc w:val="both"/>
        <w:rPr>
          <w:rFonts w:cs="Times New Roman"/>
          <w:sz w:val="22"/>
        </w:rPr>
      </w:pPr>
      <w:r w:rsidRPr="00B768C9">
        <w:rPr>
          <w:rFonts w:cs="Times New Roman"/>
          <w:sz w:val="22"/>
        </w:rPr>
        <w:t xml:space="preserve">Klein, A. (2002). Audit committee, board of director characteristics, and earnings management, </w:t>
      </w:r>
      <w:r w:rsidRPr="00B768C9">
        <w:rPr>
          <w:rFonts w:cs="Times New Roman"/>
          <w:i/>
          <w:iCs/>
          <w:sz w:val="22"/>
        </w:rPr>
        <w:t>Journal of Accounting and Economics</w:t>
      </w:r>
      <w:r w:rsidRPr="00B768C9">
        <w:rPr>
          <w:rFonts w:cs="Times New Roman"/>
          <w:sz w:val="22"/>
        </w:rPr>
        <w:t xml:space="preserve">, </w:t>
      </w:r>
      <w:r w:rsidRPr="00B768C9">
        <w:rPr>
          <w:rFonts w:cs="Times New Roman"/>
          <w:i/>
          <w:sz w:val="22"/>
        </w:rPr>
        <w:t>33</w:t>
      </w:r>
      <w:r w:rsidRPr="00B768C9">
        <w:rPr>
          <w:rFonts w:cs="Times New Roman"/>
          <w:sz w:val="22"/>
        </w:rPr>
        <w:t>(3), 375-400.</w:t>
      </w:r>
    </w:p>
    <w:p w:rsidR="00903139" w:rsidRDefault="00903139" w:rsidP="00903139">
      <w:pPr>
        <w:ind w:left="227" w:right="198" w:hanging="227"/>
        <w:jc w:val="both"/>
        <w:rPr>
          <w:rFonts w:cs="Times New Roman"/>
          <w:sz w:val="22"/>
        </w:rPr>
      </w:pPr>
      <w:r>
        <w:t xml:space="preserve">Kothari, S.P., Leone, A. J., &amp; Wasley, C.E. (2005). Performance matched discretionary accrual measures. </w:t>
      </w:r>
      <w:r w:rsidRPr="005D7E37">
        <w:rPr>
          <w:i/>
        </w:rPr>
        <w:t>Journal of Accounting and Economics</w:t>
      </w:r>
      <w:r>
        <w:t>, 39(1), 163-197.</w:t>
      </w:r>
    </w:p>
    <w:p w:rsidR="00903139" w:rsidRPr="00903139" w:rsidRDefault="00903139" w:rsidP="00903139">
      <w:pPr>
        <w:ind w:left="227" w:right="198" w:hanging="227"/>
        <w:jc w:val="both"/>
        <w:rPr>
          <w:rFonts w:cs="Times New Roman"/>
          <w:sz w:val="22"/>
        </w:rPr>
      </w:pPr>
      <w:r>
        <w:t xml:space="preserve">Kothari, S.P., Mizik, N., &amp; Roychowdhury, S. (2015). Managing for the moment: The role of earnings management via real activities versus accruals in SEO valuation. </w:t>
      </w:r>
      <w:r w:rsidRPr="005D7E37">
        <w:rPr>
          <w:i/>
        </w:rPr>
        <w:t>Accounting Review</w:t>
      </w:r>
      <w:r>
        <w:t>, Forthcoming.</w:t>
      </w:r>
    </w:p>
    <w:p w:rsidR="002C667C" w:rsidRPr="00B768C9" w:rsidRDefault="002C667C" w:rsidP="00747762">
      <w:pPr>
        <w:ind w:left="227" w:right="198" w:hanging="227"/>
        <w:jc w:val="both"/>
        <w:rPr>
          <w:rFonts w:cs="Times New Roman"/>
          <w:sz w:val="22"/>
        </w:rPr>
      </w:pPr>
      <w:r w:rsidRPr="00B768C9">
        <w:rPr>
          <w:rFonts w:cs="Times New Roman"/>
          <w:sz w:val="22"/>
        </w:rPr>
        <w:t xml:space="preserve">Krishnan, G.V., &amp; Parsons, L.M. (2008). Getting to the bottom line: An exploration of gender and earnings quality. </w:t>
      </w:r>
      <w:r w:rsidRPr="00B768C9">
        <w:rPr>
          <w:rFonts w:cs="Times New Roman"/>
          <w:i/>
          <w:iCs/>
          <w:sz w:val="22"/>
        </w:rPr>
        <w:t>Journal of Business and Ethics</w:t>
      </w:r>
      <w:r w:rsidRPr="00B768C9">
        <w:rPr>
          <w:rFonts w:cs="Times New Roman"/>
          <w:sz w:val="22"/>
        </w:rPr>
        <w:t xml:space="preserve">, </w:t>
      </w:r>
      <w:r w:rsidRPr="00B768C9">
        <w:rPr>
          <w:rFonts w:cs="Times New Roman"/>
          <w:i/>
          <w:sz w:val="22"/>
        </w:rPr>
        <w:t>78</w:t>
      </w:r>
      <w:r w:rsidRPr="00B768C9">
        <w:rPr>
          <w:rFonts w:cs="Times New Roman"/>
          <w:sz w:val="22"/>
        </w:rPr>
        <w:t>(1-2), 65-76.</w:t>
      </w:r>
    </w:p>
    <w:p w:rsidR="002C667C" w:rsidRPr="00B768C9" w:rsidRDefault="002C667C" w:rsidP="00747762">
      <w:pPr>
        <w:ind w:left="227" w:right="198" w:hanging="227"/>
        <w:jc w:val="both"/>
        <w:rPr>
          <w:rFonts w:cs="Times New Roman"/>
          <w:sz w:val="22"/>
        </w:rPr>
      </w:pPr>
      <w:r w:rsidRPr="00B768C9">
        <w:rPr>
          <w:rFonts w:cs="Times New Roman"/>
          <w:sz w:val="22"/>
        </w:rPr>
        <w:t xml:space="preserve">Lang, M., &amp; Lundholm, R. (1993). Cross-sectional determinants of analyst ratings of corporate disclosures. </w:t>
      </w:r>
      <w:r w:rsidRPr="00B768C9">
        <w:rPr>
          <w:rFonts w:cs="Times New Roman"/>
          <w:i/>
          <w:iCs/>
          <w:sz w:val="22"/>
        </w:rPr>
        <w:t>Journal of Accounting Research</w:t>
      </w:r>
      <w:r w:rsidRPr="00B768C9">
        <w:rPr>
          <w:rFonts w:cs="Times New Roman"/>
          <w:sz w:val="22"/>
        </w:rPr>
        <w:t xml:space="preserve">, </w:t>
      </w:r>
      <w:r w:rsidRPr="00B768C9">
        <w:rPr>
          <w:rFonts w:cs="Times New Roman"/>
          <w:i/>
          <w:sz w:val="22"/>
        </w:rPr>
        <w:t>31</w:t>
      </w:r>
      <w:r w:rsidRPr="00B768C9">
        <w:rPr>
          <w:rFonts w:cs="Times New Roman"/>
          <w:sz w:val="22"/>
        </w:rPr>
        <w:t>(2), 246-271.</w:t>
      </w:r>
    </w:p>
    <w:p w:rsidR="002C667C" w:rsidRPr="00B768C9" w:rsidRDefault="002C667C" w:rsidP="00747762">
      <w:pPr>
        <w:ind w:left="227" w:right="198" w:hanging="227"/>
        <w:jc w:val="both"/>
        <w:rPr>
          <w:rFonts w:cs="Times New Roman"/>
          <w:sz w:val="22"/>
        </w:rPr>
      </w:pPr>
      <w:r w:rsidRPr="00B768C9">
        <w:rPr>
          <w:rFonts w:cs="Times New Roman"/>
          <w:sz w:val="22"/>
        </w:rPr>
        <w:t xml:space="preserve">Larcker, D.F., &amp; Rusticus, T.O. (2010). On the use of instrumental variables in accounting research. </w:t>
      </w:r>
      <w:r w:rsidRPr="00B768C9">
        <w:rPr>
          <w:rFonts w:cs="Times New Roman"/>
          <w:i/>
          <w:iCs/>
          <w:sz w:val="22"/>
        </w:rPr>
        <w:t>Journal of Accounting and Economics</w:t>
      </w:r>
      <w:r w:rsidRPr="00B768C9">
        <w:rPr>
          <w:rFonts w:cs="Times New Roman"/>
          <w:sz w:val="22"/>
        </w:rPr>
        <w:t xml:space="preserve">, </w:t>
      </w:r>
      <w:r w:rsidRPr="00B768C9">
        <w:rPr>
          <w:rFonts w:cs="Times New Roman"/>
          <w:i/>
          <w:sz w:val="22"/>
        </w:rPr>
        <w:t>49</w:t>
      </w:r>
      <w:r w:rsidRPr="00B768C9">
        <w:rPr>
          <w:rFonts w:cs="Times New Roman"/>
          <w:sz w:val="22"/>
        </w:rPr>
        <w:t>, 186-205.</w:t>
      </w:r>
    </w:p>
    <w:p w:rsidR="002C667C" w:rsidRPr="00B768C9" w:rsidRDefault="002C667C" w:rsidP="00747762">
      <w:pPr>
        <w:ind w:left="227" w:right="198" w:hanging="227"/>
        <w:jc w:val="both"/>
        <w:rPr>
          <w:rFonts w:cs="Times New Roman"/>
          <w:sz w:val="22"/>
        </w:rPr>
      </w:pPr>
      <w:r w:rsidRPr="00B768C9">
        <w:rPr>
          <w:rFonts w:cs="Times New Roman"/>
          <w:sz w:val="22"/>
        </w:rPr>
        <w:t xml:space="preserve">Leventis, S., &amp; Dimitropoulos, P. (2012). The role of corporate governance in earnings management: Experience from US banks. </w:t>
      </w:r>
      <w:r w:rsidRPr="00B768C9">
        <w:rPr>
          <w:rFonts w:cs="Times New Roman"/>
          <w:i/>
          <w:iCs/>
          <w:sz w:val="22"/>
        </w:rPr>
        <w:t>Journal of Applied Accounting Research</w:t>
      </w:r>
      <w:r w:rsidRPr="00B768C9">
        <w:rPr>
          <w:rFonts w:cs="Times New Roman"/>
          <w:sz w:val="22"/>
        </w:rPr>
        <w:t xml:space="preserve">, </w:t>
      </w:r>
      <w:r w:rsidRPr="00B768C9">
        <w:rPr>
          <w:rFonts w:cs="Times New Roman"/>
          <w:i/>
          <w:sz w:val="22"/>
        </w:rPr>
        <w:t>13</w:t>
      </w:r>
      <w:r w:rsidRPr="00B768C9">
        <w:rPr>
          <w:rFonts w:cs="Times New Roman"/>
          <w:sz w:val="22"/>
        </w:rPr>
        <w:t>(2), 161-177.</w:t>
      </w:r>
    </w:p>
    <w:p w:rsidR="002C667C" w:rsidRPr="00B768C9" w:rsidRDefault="002C667C" w:rsidP="002C667C">
      <w:pPr>
        <w:ind w:left="170" w:hanging="170"/>
        <w:jc w:val="both"/>
        <w:rPr>
          <w:rFonts w:cs="Times New Roman"/>
          <w:sz w:val="22"/>
        </w:rPr>
      </w:pPr>
      <w:r w:rsidRPr="00B768C9">
        <w:rPr>
          <w:rFonts w:cs="Times New Roman"/>
          <w:sz w:val="22"/>
        </w:rPr>
        <w:t xml:space="preserve">Lewis, M.K. (2005). Islamic corporate governance. </w:t>
      </w:r>
      <w:r w:rsidRPr="00B768C9">
        <w:rPr>
          <w:rFonts w:cs="Times New Roman"/>
          <w:i/>
          <w:sz w:val="22"/>
        </w:rPr>
        <w:t>Review of Islamic Economics</w:t>
      </w:r>
      <w:r w:rsidRPr="00B768C9">
        <w:rPr>
          <w:rFonts w:cs="Times New Roman"/>
          <w:sz w:val="22"/>
        </w:rPr>
        <w:t xml:space="preserve">, </w:t>
      </w:r>
      <w:r w:rsidRPr="00B768C9">
        <w:rPr>
          <w:rFonts w:cs="Times New Roman"/>
          <w:i/>
          <w:sz w:val="22"/>
        </w:rPr>
        <w:t>9</w:t>
      </w:r>
      <w:r w:rsidRPr="00B768C9">
        <w:rPr>
          <w:rFonts w:cs="Times New Roman"/>
          <w:sz w:val="22"/>
        </w:rPr>
        <w:t>(1), 5-29.</w:t>
      </w:r>
    </w:p>
    <w:p w:rsidR="002C667C" w:rsidRPr="00B768C9" w:rsidRDefault="002C667C" w:rsidP="00747762">
      <w:pPr>
        <w:ind w:left="227" w:right="198" w:hanging="227"/>
        <w:jc w:val="both"/>
        <w:rPr>
          <w:rFonts w:cs="Times New Roman"/>
          <w:sz w:val="22"/>
        </w:rPr>
      </w:pPr>
      <w:r w:rsidRPr="00B768C9">
        <w:rPr>
          <w:rFonts w:cs="Times New Roman"/>
          <w:sz w:val="22"/>
        </w:rPr>
        <w:t>Lin, J.W., Li, J.F.</w:t>
      </w:r>
      <w:r w:rsidR="00B768C9" w:rsidRPr="00B768C9">
        <w:rPr>
          <w:rFonts w:cs="Times New Roman"/>
          <w:sz w:val="22"/>
        </w:rPr>
        <w:t>,</w:t>
      </w:r>
      <w:r w:rsidRPr="00B768C9">
        <w:rPr>
          <w:rFonts w:cs="Times New Roman"/>
          <w:sz w:val="22"/>
        </w:rPr>
        <w:t xml:space="preserve"> &amp; Yang, J.S. (2006). The effect of audit committee performance on earnings quality, </w:t>
      </w:r>
      <w:r w:rsidRPr="00B768C9">
        <w:rPr>
          <w:rFonts w:cs="Times New Roman"/>
          <w:i/>
          <w:iCs/>
          <w:sz w:val="22"/>
        </w:rPr>
        <w:t>Managerial Auditing Journal</w:t>
      </w:r>
      <w:r w:rsidRPr="00B768C9">
        <w:rPr>
          <w:rFonts w:cs="Times New Roman"/>
          <w:sz w:val="22"/>
        </w:rPr>
        <w:t xml:space="preserve">, </w:t>
      </w:r>
      <w:r w:rsidRPr="00B768C9">
        <w:rPr>
          <w:rFonts w:cs="Times New Roman"/>
          <w:i/>
          <w:sz w:val="22"/>
        </w:rPr>
        <w:t>21</w:t>
      </w:r>
      <w:r w:rsidRPr="00B768C9">
        <w:rPr>
          <w:rFonts w:cs="Times New Roman"/>
          <w:sz w:val="22"/>
        </w:rPr>
        <w:t>(9), 921-933.</w:t>
      </w:r>
    </w:p>
    <w:p w:rsidR="002C667C" w:rsidRPr="00B768C9" w:rsidRDefault="002C667C" w:rsidP="00747762">
      <w:pPr>
        <w:ind w:left="227" w:right="198" w:hanging="227"/>
        <w:jc w:val="both"/>
        <w:rPr>
          <w:rFonts w:cs="Times New Roman"/>
          <w:sz w:val="22"/>
        </w:rPr>
      </w:pPr>
      <w:r w:rsidRPr="00B768C9">
        <w:rPr>
          <w:rFonts w:cs="Times New Roman"/>
          <w:sz w:val="22"/>
        </w:rPr>
        <w:t xml:space="preserve">Lipton, M. &amp; Lorsch, J. (1992). A modest proposal for improved corporate governance, </w:t>
      </w:r>
      <w:r w:rsidRPr="00B768C9">
        <w:rPr>
          <w:rFonts w:cs="Times New Roman"/>
          <w:i/>
          <w:iCs/>
          <w:sz w:val="22"/>
        </w:rPr>
        <w:t>Business Lawyer</w:t>
      </w:r>
      <w:r w:rsidRPr="00B768C9">
        <w:rPr>
          <w:rFonts w:cs="Times New Roman"/>
          <w:sz w:val="22"/>
        </w:rPr>
        <w:t>, 48, (1), 59-77.</w:t>
      </w:r>
    </w:p>
    <w:p w:rsidR="002C667C" w:rsidRPr="00B768C9" w:rsidRDefault="002C667C" w:rsidP="005561C2">
      <w:pPr>
        <w:ind w:left="227" w:right="198" w:hanging="227"/>
        <w:jc w:val="both"/>
        <w:rPr>
          <w:rFonts w:cs="Times New Roman"/>
          <w:sz w:val="22"/>
        </w:rPr>
      </w:pPr>
      <w:r w:rsidRPr="00B768C9">
        <w:rPr>
          <w:rFonts w:cs="Times New Roman"/>
          <w:sz w:val="22"/>
        </w:rPr>
        <w:t xml:space="preserve">Lo, A.W.Y., Wong, R.M.K., &amp; Firth, M. (2010). Can corporate governance deter management from manipulating earnings?: Evidence from related-party sales transactions in China. </w:t>
      </w:r>
      <w:r w:rsidRPr="00B768C9">
        <w:rPr>
          <w:rFonts w:cs="Times New Roman"/>
          <w:i/>
          <w:iCs/>
          <w:sz w:val="22"/>
        </w:rPr>
        <w:t>Journal of Corporate Finance</w:t>
      </w:r>
      <w:r w:rsidRPr="00B768C9">
        <w:rPr>
          <w:rFonts w:cs="Times New Roman"/>
          <w:sz w:val="22"/>
        </w:rPr>
        <w:t xml:space="preserve">, </w:t>
      </w:r>
      <w:r w:rsidRPr="00B768C9">
        <w:rPr>
          <w:rFonts w:cs="Times New Roman"/>
          <w:i/>
          <w:sz w:val="22"/>
        </w:rPr>
        <w:t>16</w:t>
      </w:r>
      <w:r w:rsidRPr="00B768C9">
        <w:rPr>
          <w:rFonts w:cs="Times New Roman"/>
          <w:sz w:val="22"/>
        </w:rPr>
        <w:t>(2), 225-235.</w:t>
      </w:r>
    </w:p>
    <w:p w:rsidR="002C667C" w:rsidRPr="00B768C9" w:rsidRDefault="002C667C" w:rsidP="00747762">
      <w:pPr>
        <w:ind w:left="227" w:right="198" w:hanging="227"/>
        <w:jc w:val="both"/>
        <w:rPr>
          <w:rFonts w:cs="Times New Roman"/>
          <w:sz w:val="22"/>
        </w:rPr>
      </w:pPr>
      <w:r w:rsidRPr="00B768C9">
        <w:rPr>
          <w:rFonts w:cs="Times New Roman"/>
          <w:sz w:val="22"/>
        </w:rPr>
        <w:t xml:space="preserve">McCabe, M., &amp; Nowak, M.T (2008). The independent director on the board of company directors. </w:t>
      </w:r>
      <w:r w:rsidRPr="00B768C9">
        <w:rPr>
          <w:rFonts w:cs="Times New Roman"/>
          <w:i/>
          <w:iCs/>
          <w:sz w:val="22"/>
        </w:rPr>
        <w:t>Managerial Auditing Journal</w:t>
      </w:r>
      <w:r w:rsidRPr="00B768C9">
        <w:rPr>
          <w:rFonts w:cs="Times New Roman"/>
          <w:sz w:val="22"/>
        </w:rPr>
        <w:t xml:space="preserve">, </w:t>
      </w:r>
      <w:r w:rsidRPr="00B768C9">
        <w:rPr>
          <w:rFonts w:cs="Times New Roman"/>
          <w:i/>
          <w:sz w:val="22"/>
        </w:rPr>
        <w:t>23</w:t>
      </w:r>
      <w:r w:rsidRPr="00B768C9">
        <w:rPr>
          <w:rFonts w:cs="Times New Roman"/>
          <w:sz w:val="22"/>
        </w:rPr>
        <w:t>(6), 545-566.</w:t>
      </w:r>
    </w:p>
    <w:p w:rsidR="002C667C" w:rsidRPr="00B768C9" w:rsidRDefault="002C667C" w:rsidP="00747762">
      <w:pPr>
        <w:ind w:left="227" w:right="198" w:hanging="227"/>
        <w:jc w:val="both"/>
        <w:rPr>
          <w:rFonts w:cs="Times New Roman"/>
          <w:sz w:val="22"/>
        </w:rPr>
      </w:pPr>
      <w:r w:rsidRPr="00B768C9">
        <w:rPr>
          <w:rFonts w:cs="Times New Roman"/>
          <w:sz w:val="22"/>
        </w:rPr>
        <w:t xml:space="preserve">McGuire, S.T., Omer, T.C., &amp; Sharp, N.Y.  (2012). The impact of religion on financial reporting irregularities. </w:t>
      </w:r>
      <w:r w:rsidRPr="00B768C9">
        <w:rPr>
          <w:rFonts w:cs="Times New Roman"/>
          <w:i/>
          <w:iCs/>
          <w:sz w:val="22"/>
        </w:rPr>
        <w:t>Accounting Review</w:t>
      </w:r>
      <w:r w:rsidRPr="00B768C9">
        <w:rPr>
          <w:rFonts w:cs="Times New Roman"/>
          <w:sz w:val="22"/>
        </w:rPr>
        <w:t xml:space="preserve">, </w:t>
      </w:r>
      <w:r w:rsidRPr="00B768C9">
        <w:rPr>
          <w:rFonts w:cs="Times New Roman"/>
          <w:i/>
          <w:sz w:val="22"/>
        </w:rPr>
        <w:t>87</w:t>
      </w:r>
      <w:r w:rsidRPr="00B768C9">
        <w:rPr>
          <w:rFonts w:cs="Times New Roman"/>
          <w:sz w:val="22"/>
        </w:rPr>
        <w:t xml:space="preserve">(2), 645-673. </w:t>
      </w:r>
    </w:p>
    <w:p w:rsidR="002C667C" w:rsidRPr="00B768C9" w:rsidRDefault="002C667C" w:rsidP="00747762">
      <w:pPr>
        <w:ind w:left="227" w:right="198" w:hanging="227"/>
        <w:jc w:val="both"/>
        <w:rPr>
          <w:rFonts w:cs="Times New Roman"/>
          <w:sz w:val="22"/>
        </w:rPr>
      </w:pPr>
      <w:r w:rsidRPr="00B768C9">
        <w:rPr>
          <w:rFonts w:cs="Times New Roman"/>
          <w:sz w:val="22"/>
        </w:rPr>
        <w:t xml:space="preserve">McNichols, M.F. (2000). Research design issues in earnings management studies. </w:t>
      </w:r>
      <w:r w:rsidRPr="00B768C9">
        <w:rPr>
          <w:rFonts w:cs="Times New Roman"/>
          <w:i/>
          <w:iCs/>
          <w:sz w:val="22"/>
        </w:rPr>
        <w:t>Journal of Accounting and Public Policy</w:t>
      </w:r>
      <w:r w:rsidRPr="00B768C9">
        <w:rPr>
          <w:rFonts w:cs="Times New Roman"/>
          <w:sz w:val="22"/>
        </w:rPr>
        <w:t xml:space="preserve">, </w:t>
      </w:r>
      <w:r w:rsidRPr="00B768C9">
        <w:rPr>
          <w:rFonts w:cs="Times New Roman"/>
          <w:i/>
          <w:sz w:val="22"/>
        </w:rPr>
        <w:t>19</w:t>
      </w:r>
      <w:r w:rsidRPr="00B768C9">
        <w:rPr>
          <w:rFonts w:cs="Times New Roman"/>
          <w:sz w:val="22"/>
        </w:rPr>
        <w:t>(4-5), 313-345.</w:t>
      </w:r>
    </w:p>
    <w:p w:rsidR="002C667C" w:rsidRPr="00B768C9" w:rsidRDefault="002C667C" w:rsidP="002C667C">
      <w:pPr>
        <w:ind w:left="170" w:hanging="170"/>
        <w:jc w:val="both"/>
        <w:rPr>
          <w:rFonts w:cs="Times New Roman"/>
          <w:sz w:val="22"/>
        </w:rPr>
      </w:pPr>
      <w:r w:rsidRPr="00B768C9">
        <w:rPr>
          <w:rFonts w:cs="Times New Roman"/>
          <w:sz w:val="22"/>
        </w:rPr>
        <w:t xml:space="preserve">Mensah, Y.M. (2014). An analysis of the effect of culture and religion on perceived corruption in a global context. </w:t>
      </w:r>
      <w:r w:rsidRPr="00B768C9">
        <w:rPr>
          <w:rFonts w:cs="Times New Roman"/>
          <w:i/>
          <w:sz w:val="22"/>
        </w:rPr>
        <w:t>Journal of Business Ethics</w:t>
      </w:r>
      <w:r w:rsidRPr="00B768C9">
        <w:rPr>
          <w:rFonts w:cs="Times New Roman"/>
          <w:sz w:val="22"/>
        </w:rPr>
        <w:t xml:space="preserve">, </w:t>
      </w:r>
      <w:r w:rsidRPr="00B768C9">
        <w:rPr>
          <w:rFonts w:cs="Times New Roman"/>
          <w:i/>
          <w:sz w:val="22"/>
        </w:rPr>
        <w:t>121</w:t>
      </w:r>
      <w:r w:rsidRPr="00B768C9">
        <w:rPr>
          <w:rFonts w:cs="Times New Roman"/>
          <w:sz w:val="22"/>
        </w:rPr>
        <w:t>(2), 255-282.</w:t>
      </w:r>
    </w:p>
    <w:p w:rsidR="00FB38A5" w:rsidRDefault="002C667C" w:rsidP="00FB38A5">
      <w:pPr>
        <w:ind w:left="227" w:right="198" w:hanging="227"/>
        <w:jc w:val="both"/>
        <w:rPr>
          <w:rFonts w:cs="Times New Roman"/>
          <w:sz w:val="22"/>
        </w:rPr>
      </w:pPr>
      <w:r w:rsidRPr="00B768C9">
        <w:rPr>
          <w:rFonts w:cs="Times New Roman"/>
          <w:sz w:val="22"/>
        </w:rPr>
        <w:t xml:space="preserve">Mitra, S., &amp; Cready, W.M. (2005). Institutional stock ownership, accrual management, and information environment. </w:t>
      </w:r>
      <w:r w:rsidRPr="00B768C9">
        <w:rPr>
          <w:rFonts w:cs="Times New Roman"/>
          <w:i/>
          <w:iCs/>
          <w:sz w:val="22"/>
        </w:rPr>
        <w:t>Journal of Accounting, Auditing and Finance</w:t>
      </w:r>
      <w:r w:rsidRPr="00B768C9">
        <w:rPr>
          <w:rFonts w:cs="Times New Roman"/>
          <w:sz w:val="22"/>
        </w:rPr>
        <w:t xml:space="preserve">, </w:t>
      </w:r>
      <w:r w:rsidRPr="00B768C9">
        <w:rPr>
          <w:rFonts w:cs="Times New Roman"/>
          <w:i/>
          <w:sz w:val="22"/>
        </w:rPr>
        <w:t>20</w:t>
      </w:r>
      <w:r w:rsidRPr="00B768C9">
        <w:rPr>
          <w:rFonts w:cs="Times New Roman"/>
          <w:sz w:val="22"/>
        </w:rPr>
        <w:t>, 257-265.</w:t>
      </w:r>
    </w:p>
    <w:p w:rsidR="00FB38A5" w:rsidRPr="00311462" w:rsidRDefault="00FB38A5" w:rsidP="00FB38A5">
      <w:pPr>
        <w:ind w:left="227" w:right="198" w:hanging="227"/>
        <w:jc w:val="both"/>
        <w:rPr>
          <w:rFonts w:cs="Times New Roman"/>
          <w:sz w:val="22"/>
        </w:rPr>
      </w:pPr>
      <w:r>
        <w:rPr>
          <w:rFonts w:cs="Times New Roman"/>
          <w:sz w:val="22"/>
        </w:rPr>
        <w:t>Mollah, S. &amp; Zaman, M. (2015</w:t>
      </w:r>
      <w:r w:rsidRPr="00FB38A5">
        <w:t xml:space="preserve">). </w:t>
      </w:r>
      <w:r w:rsidRPr="00FB38A5">
        <w:rPr>
          <w:sz w:val="22"/>
        </w:rPr>
        <w:t>Shari’ah supervision, corporate governance and performance: Conventional vs. Islamic banks</w:t>
      </w:r>
      <w:r>
        <w:rPr>
          <w:sz w:val="22"/>
        </w:rPr>
        <w:t xml:space="preserve">. </w:t>
      </w:r>
      <w:r>
        <w:rPr>
          <w:i/>
          <w:sz w:val="22"/>
        </w:rPr>
        <w:t>Journal of Banking &amp; Finance</w:t>
      </w:r>
      <w:r>
        <w:rPr>
          <w:sz w:val="22"/>
        </w:rPr>
        <w:t xml:space="preserve">, </w:t>
      </w:r>
      <w:r w:rsidR="00311462">
        <w:rPr>
          <w:i/>
          <w:sz w:val="22"/>
        </w:rPr>
        <w:t>58</w:t>
      </w:r>
      <w:r w:rsidR="00311462">
        <w:rPr>
          <w:sz w:val="22"/>
        </w:rPr>
        <w:t>, 418-435.</w:t>
      </w:r>
    </w:p>
    <w:p w:rsidR="002C667C" w:rsidRPr="00B768C9" w:rsidRDefault="002C667C" w:rsidP="00747762">
      <w:pPr>
        <w:ind w:left="227" w:right="198" w:hanging="227"/>
        <w:jc w:val="both"/>
        <w:rPr>
          <w:rFonts w:cs="Times New Roman"/>
          <w:sz w:val="22"/>
        </w:rPr>
      </w:pPr>
      <w:r w:rsidRPr="00B768C9">
        <w:rPr>
          <w:rFonts w:cs="Times New Roman"/>
          <w:sz w:val="22"/>
        </w:rPr>
        <w:t xml:space="preserve">Najib, H. (2007). State of corporate governance in Arab countries: An overview. </w:t>
      </w:r>
      <w:r w:rsidRPr="00B768C9">
        <w:rPr>
          <w:rFonts w:cs="Times New Roman"/>
          <w:i/>
          <w:iCs/>
          <w:sz w:val="22"/>
        </w:rPr>
        <w:t>Working Paper</w:t>
      </w:r>
      <w:r w:rsidRPr="00B768C9">
        <w:rPr>
          <w:rFonts w:cs="Times New Roman"/>
          <w:sz w:val="22"/>
        </w:rPr>
        <w:t xml:space="preserve">, available at: </w:t>
      </w:r>
      <w:hyperlink r:id="rId19" w:history="1">
        <w:r w:rsidRPr="00B768C9">
          <w:rPr>
            <w:rFonts w:cs="Times New Roman"/>
            <w:sz w:val="22"/>
          </w:rPr>
          <w:t>http://mpar.ub.uni-muenchen.de/4566</w:t>
        </w:r>
      </w:hyperlink>
      <w:r w:rsidRPr="00B768C9">
        <w:rPr>
          <w:rFonts w:cs="Times New Roman"/>
          <w:sz w:val="22"/>
        </w:rPr>
        <w:t>, accessed on 2</w:t>
      </w:r>
      <w:r w:rsidRPr="00B768C9">
        <w:rPr>
          <w:rFonts w:cs="Times New Roman"/>
          <w:sz w:val="22"/>
          <w:vertAlign w:val="superscript"/>
        </w:rPr>
        <w:t>nd</w:t>
      </w:r>
      <w:r w:rsidRPr="00B768C9">
        <w:rPr>
          <w:rFonts w:cs="Times New Roman"/>
          <w:sz w:val="22"/>
        </w:rPr>
        <w:t>, January 2011.</w:t>
      </w:r>
    </w:p>
    <w:p w:rsidR="002C667C" w:rsidRPr="00B768C9" w:rsidRDefault="002C667C" w:rsidP="00747762">
      <w:pPr>
        <w:ind w:left="227" w:right="198" w:hanging="227"/>
        <w:jc w:val="both"/>
        <w:rPr>
          <w:rFonts w:cs="Times New Roman"/>
          <w:sz w:val="22"/>
        </w:rPr>
      </w:pPr>
      <w:r w:rsidRPr="00B768C9">
        <w:rPr>
          <w:rFonts w:cs="Times New Roman"/>
          <w:sz w:val="22"/>
        </w:rPr>
        <w:t xml:space="preserve">Nielsen, S., &amp; Huse, M. (2010). The contribution of women on boards of directors: Going beyond the surface. </w:t>
      </w:r>
      <w:r w:rsidRPr="00B768C9">
        <w:rPr>
          <w:rFonts w:cs="Times New Roman"/>
          <w:i/>
          <w:iCs/>
          <w:sz w:val="22"/>
        </w:rPr>
        <w:t>Corporate Governance: An International Review</w:t>
      </w:r>
      <w:r w:rsidRPr="00B768C9">
        <w:rPr>
          <w:rFonts w:cs="Times New Roman"/>
          <w:sz w:val="22"/>
        </w:rPr>
        <w:t xml:space="preserve">, </w:t>
      </w:r>
      <w:r w:rsidRPr="00B768C9">
        <w:rPr>
          <w:rFonts w:cs="Times New Roman"/>
          <w:i/>
          <w:sz w:val="22"/>
        </w:rPr>
        <w:t>18</w:t>
      </w:r>
      <w:r w:rsidRPr="00B768C9">
        <w:rPr>
          <w:rFonts w:cs="Times New Roman"/>
          <w:sz w:val="22"/>
        </w:rPr>
        <w:t>(2), 136-148.</w:t>
      </w:r>
    </w:p>
    <w:p w:rsidR="002C667C" w:rsidRPr="002E1853" w:rsidRDefault="002C667C" w:rsidP="007B2443">
      <w:pPr>
        <w:ind w:left="170" w:hanging="170"/>
        <w:jc w:val="both"/>
        <w:rPr>
          <w:rFonts w:cs="Times New Roman"/>
          <w:bCs/>
          <w:sz w:val="22"/>
        </w:rPr>
      </w:pPr>
      <w:r w:rsidRPr="006753E4">
        <w:rPr>
          <w:rFonts w:cs="Times New Roman"/>
          <w:sz w:val="22"/>
        </w:rPr>
        <w:t xml:space="preserve">Ntim, C.G. (2015). </w:t>
      </w:r>
      <w:r w:rsidRPr="007130C1">
        <w:rPr>
          <w:rFonts w:cs="Times New Roman"/>
          <w:bCs/>
          <w:sz w:val="22"/>
        </w:rPr>
        <w:t>Board diversity and organizational valuati</w:t>
      </w:r>
      <w:r w:rsidRPr="00DA2C75">
        <w:rPr>
          <w:rFonts w:cs="Times New Roman"/>
          <w:bCs/>
          <w:sz w:val="22"/>
        </w:rPr>
        <w:t xml:space="preserve">on: Unravelling the effects of ethnicity and gender. </w:t>
      </w:r>
      <w:r w:rsidRPr="00342768">
        <w:rPr>
          <w:rFonts w:cs="Times New Roman"/>
          <w:bCs/>
          <w:i/>
          <w:sz w:val="22"/>
        </w:rPr>
        <w:t>Journal of Management and Governance</w:t>
      </w:r>
      <w:r w:rsidRPr="00DE44FB">
        <w:rPr>
          <w:rFonts w:cs="Times New Roman"/>
          <w:bCs/>
          <w:sz w:val="22"/>
        </w:rPr>
        <w:t xml:space="preserve">, </w:t>
      </w:r>
      <w:r w:rsidRPr="00DE44FB">
        <w:rPr>
          <w:rFonts w:cs="Times New Roman"/>
          <w:bCs/>
          <w:i/>
          <w:sz w:val="22"/>
        </w:rPr>
        <w:t>19</w:t>
      </w:r>
      <w:r w:rsidRPr="00DE44FB">
        <w:rPr>
          <w:rFonts w:cs="Times New Roman"/>
          <w:bCs/>
          <w:sz w:val="22"/>
        </w:rPr>
        <w:t>, 167-195.</w:t>
      </w:r>
    </w:p>
    <w:p w:rsidR="002C667C" w:rsidRPr="00A0544D" w:rsidRDefault="002C667C" w:rsidP="007B2443">
      <w:pPr>
        <w:ind w:left="170" w:hanging="170"/>
        <w:jc w:val="both"/>
        <w:rPr>
          <w:rFonts w:cs="Times New Roman"/>
          <w:bCs/>
          <w:sz w:val="22"/>
        </w:rPr>
      </w:pPr>
      <w:r w:rsidRPr="00AB17A1">
        <w:rPr>
          <w:rFonts w:cs="Times New Roman"/>
          <w:sz w:val="22"/>
        </w:rPr>
        <w:t>Ntim, C.G., Opong, K.K., &amp; Danbolt, J. (2015</w:t>
      </w:r>
      <w:r w:rsidR="00E52860" w:rsidRPr="00AB17A1">
        <w:rPr>
          <w:rFonts w:cs="Times New Roman"/>
          <w:sz w:val="22"/>
        </w:rPr>
        <w:t>a</w:t>
      </w:r>
      <w:r w:rsidRPr="00AB17A1">
        <w:rPr>
          <w:rFonts w:cs="Times New Roman"/>
          <w:sz w:val="22"/>
        </w:rPr>
        <w:t>). Board Size, corporate regulations and firm valuation in an emerging Market: A simultaneous equation approach.</w:t>
      </w:r>
      <w:r w:rsidRPr="00AB17A1">
        <w:rPr>
          <w:rFonts w:cs="Times New Roman"/>
          <w:bCs/>
          <w:sz w:val="22"/>
        </w:rPr>
        <w:t xml:space="preserve"> </w:t>
      </w:r>
      <w:r w:rsidRPr="00AB17A1">
        <w:rPr>
          <w:rFonts w:cs="Times New Roman"/>
          <w:bCs/>
          <w:i/>
          <w:sz w:val="22"/>
        </w:rPr>
        <w:t>International Review of Applied Economics</w:t>
      </w:r>
      <w:r w:rsidRPr="00AB17A1">
        <w:rPr>
          <w:rFonts w:cs="Times New Roman"/>
          <w:bCs/>
          <w:sz w:val="22"/>
        </w:rPr>
        <w:t>,</w:t>
      </w:r>
      <w:r w:rsidRPr="00EC45F4">
        <w:rPr>
          <w:rFonts w:cs="Times New Roman"/>
          <w:bCs/>
          <w:i/>
          <w:sz w:val="22"/>
        </w:rPr>
        <w:t xml:space="preserve"> 29</w:t>
      </w:r>
      <w:r w:rsidRPr="0097482E">
        <w:rPr>
          <w:rFonts w:cs="Times New Roman"/>
          <w:bCs/>
          <w:sz w:val="22"/>
        </w:rPr>
        <w:t>(2), 194-220.</w:t>
      </w:r>
    </w:p>
    <w:p w:rsidR="00E52860" w:rsidRPr="00B768C9" w:rsidRDefault="00E52860" w:rsidP="007B2443">
      <w:pPr>
        <w:ind w:left="170" w:hanging="170"/>
        <w:jc w:val="both"/>
        <w:rPr>
          <w:rFonts w:cs="Times New Roman"/>
          <w:bCs/>
          <w:sz w:val="22"/>
        </w:rPr>
      </w:pPr>
      <w:r w:rsidRPr="00B768C9">
        <w:rPr>
          <w:rFonts w:cs="Times New Roman"/>
          <w:color w:val="000000"/>
          <w:sz w:val="22"/>
        </w:rPr>
        <w:t xml:space="preserve">Ntim, C.G., Lindop, S., Osei, K.A., &amp; Thomas, D.A. (2015b). </w:t>
      </w:r>
      <w:r w:rsidRPr="00B768C9">
        <w:rPr>
          <w:rFonts w:cs="Times New Roman"/>
          <w:sz w:val="22"/>
        </w:rPr>
        <w:t xml:space="preserve">Executive director pay, corporate governance and performance: A simultaneous equation approach. </w:t>
      </w:r>
      <w:r w:rsidRPr="00B768C9">
        <w:rPr>
          <w:rFonts w:cs="Times New Roman"/>
          <w:i/>
          <w:sz w:val="22"/>
        </w:rPr>
        <w:t>Managerial and Decision Economics</w:t>
      </w:r>
      <w:r w:rsidRPr="00B768C9">
        <w:rPr>
          <w:rFonts w:cs="Times New Roman"/>
          <w:sz w:val="22"/>
        </w:rPr>
        <w:t xml:space="preserve">, </w:t>
      </w:r>
      <w:r w:rsidRPr="00B768C9">
        <w:rPr>
          <w:rFonts w:cs="Times New Roman"/>
          <w:i/>
          <w:sz w:val="22"/>
        </w:rPr>
        <w:t>36</w:t>
      </w:r>
      <w:r w:rsidRPr="00B768C9">
        <w:rPr>
          <w:rFonts w:cs="Times New Roman"/>
          <w:sz w:val="22"/>
        </w:rPr>
        <w:t>(2), 67-96.</w:t>
      </w:r>
    </w:p>
    <w:p w:rsidR="002C667C" w:rsidRPr="00B768C9" w:rsidRDefault="002C667C" w:rsidP="00747762">
      <w:pPr>
        <w:ind w:left="227" w:right="198" w:hanging="227"/>
        <w:jc w:val="both"/>
        <w:rPr>
          <w:rFonts w:cs="Times New Roman"/>
          <w:sz w:val="22"/>
        </w:rPr>
      </w:pPr>
      <w:r w:rsidRPr="00B768C9">
        <w:rPr>
          <w:rFonts w:cs="Times New Roman"/>
          <w:sz w:val="22"/>
        </w:rPr>
        <w:t xml:space="preserve">Ntim, C.G., Opong, K.K., Danbolt, J., &amp; Thomas, D.A. (2012a). Voluntary corporate governance disclosures by post-apartheid South African listed corporations. </w:t>
      </w:r>
      <w:r w:rsidRPr="00B768C9">
        <w:rPr>
          <w:rFonts w:cs="Times New Roman"/>
          <w:i/>
          <w:sz w:val="22"/>
        </w:rPr>
        <w:t>Journal of Applied Accounting Research</w:t>
      </w:r>
      <w:r w:rsidRPr="00B768C9">
        <w:rPr>
          <w:rFonts w:cs="Times New Roman"/>
          <w:sz w:val="22"/>
        </w:rPr>
        <w:t xml:space="preserve">, </w:t>
      </w:r>
      <w:r w:rsidRPr="00B768C9">
        <w:rPr>
          <w:rFonts w:cs="Times New Roman"/>
          <w:i/>
          <w:sz w:val="22"/>
        </w:rPr>
        <w:t>13</w:t>
      </w:r>
      <w:r w:rsidRPr="00B768C9">
        <w:rPr>
          <w:rFonts w:cs="Times New Roman"/>
          <w:sz w:val="22"/>
        </w:rPr>
        <w:t>(2), 122-144.</w:t>
      </w:r>
    </w:p>
    <w:p w:rsidR="00E52860" w:rsidRPr="00B768C9" w:rsidRDefault="00E52860" w:rsidP="00E52860">
      <w:pPr>
        <w:ind w:left="227" w:right="198" w:hanging="227"/>
        <w:jc w:val="both"/>
        <w:rPr>
          <w:rFonts w:cs="Times New Roman"/>
          <w:sz w:val="22"/>
        </w:rPr>
      </w:pPr>
      <w:r w:rsidRPr="00B768C9">
        <w:rPr>
          <w:rFonts w:cs="Times New Roman"/>
          <w:sz w:val="22"/>
        </w:rPr>
        <w:t xml:space="preserve">Ntim, C.G., Opong, K.K., &amp; Danbolt, J. (2012b).  The relative value relevance of shareholder versus stakeholder corporate governance disclosure policy reforms in South Africa. </w:t>
      </w:r>
      <w:r w:rsidRPr="00B768C9">
        <w:rPr>
          <w:rFonts w:cs="Times New Roman"/>
          <w:i/>
          <w:sz w:val="22"/>
        </w:rPr>
        <w:t>Corporate Governance: An International Review</w:t>
      </w:r>
      <w:r w:rsidRPr="00B768C9">
        <w:rPr>
          <w:rFonts w:cs="Times New Roman"/>
          <w:sz w:val="22"/>
        </w:rPr>
        <w:t xml:space="preserve">, </w:t>
      </w:r>
      <w:r w:rsidRPr="00B768C9">
        <w:rPr>
          <w:rFonts w:cs="Times New Roman"/>
          <w:i/>
          <w:sz w:val="22"/>
        </w:rPr>
        <w:t>20</w:t>
      </w:r>
      <w:r w:rsidRPr="00B768C9">
        <w:rPr>
          <w:rFonts w:cs="Times New Roman"/>
          <w:sz w:val="22"/>
        </w:rPr>
        <w:t>(1), 84-105.</w:t>
      </w:r>
    </w:p>
    <w:p w:rsidR="00A83420" w:rsidRPr="00AB17A1" w:rsidRDefault="00A83420" w:rsidP="00E52860">
      <w:pPr>
        <w:ind w:left="227" w:right="198" w:hanging="227"/>
        <w:jc w:val="both"/>
        <w:rPr>
          <w:rFonts w:cs="Times New Roman"/>
          <w:sz w:val="22"/>
        </w:rPr>
      </w:pPr>
      <w:r w:rsidRPr="006753E4">
        <w:rPr>
          <w:rFonts w:cs="Times New Roman"/>
          <w:color w:val="000000"/>
          <w:sz w:val="22"/>
        </w:rPr>
        <w:t xml:space="preserve">Ntim, C.G., Lindop, S., </w:t>
      </w:r>
      <w:r w:rsidRPr="007130C1">
        <w:rPr>
          <w:rFonts w:cs="Times New Roman"/>
          <w:color w:val="000000"/>
          <w:sz w:val="22"/>
        </w:rPr>
        <w:t>&amp;</w:t>
      </w:r>
      <w:r w:rsidRPr="00DA2C75">
        <w:rPr>
          <w:rFonts w:cs="Times New Roman"/>
          <w:color w:val="000000"/>
          <w:sz w:val="22"/>
        </w:rPr>
        <w:t xml:space="preserve"> Thomas, D.A. (2013).</w:t>
      </w:r>
      <w:r w:rsidRPr="00611EA5">
        <w:rPr>
          <w:rFonts w:cs="Times New Roman"/>
          <w:color w:val="000000"/>
          <w:sz w:val="22"/>
        </w:rPr>
        <w:t xml:space="preserve"> </w:t>
      </w:r>
      <w:r w:rsidRPr="00611EA5">
        <w:rPr>
          <w:rFonts w:cs="Times New Roman"/>
          <w:sz w:val="22"/>
        </w:rPr>
        <w:t xml:space="preserve">Corporate governance and risk reporting in South Africa: A study of corporate risk disclosures in the pre- and post-2007/2008 global financial crisis </w:t>
      </w:r>
      <w:r w:rsidRPr="00342768">
        <w:rPr>
          <w:rFonts w:cs="Times New Roman"/>
          <w:sz w:val="22"/>
        </w:rPr>
        <w:t>p</w:t>
      </w:r>
      <w:r w:rsidRPr="00DE44FB">
        <w:rPr>
          <w:rFonts w:cs="Times New Roman"/>
          <w:sz w:val="22"/>
        </w:rPr>
        <w:t xml:space="preserve">eriod. </w:t>
      </w:r>
      <w:r w:rsidRPr="002E1853">
        <w:rPr>
          <w:rFonts w:cs="Times New Roman"/>
          <w:i/>
          <w:sz w:val="22"/>
        </w:rPr>
        <w:t>International Review of Financial Analysis</w:t>
      </w:r>
      <w:r w:rsidRPr="00AB17A1">
        <w:rPr>
          <w:rFonts w:cs="Times New Roman"/>
          <w:sz w:val="22"/>
        </w:rPr>
        <w:t xml:space="preserve">, </w:t>
      </w:r>
      <w:r w:rsidRPr="00AB17A1">
        <w:rPr>
          <w:rFonts w:cs="Times New Roman"/>
          <w:i/>
          <w:sz w:val="22"/>
        </w:rPr>
        <w:t>30</w:t>
      </w:r>
      <w:r w:rsidRPr="00AB17A1">
        <w:rPr>
          <w:rFonts w:cs="Times New Roman"/>
          <w:sz w:val="22"/>
        </w:rPr>
        <w:t>, 363-383.</w:t>
      </w:r>
    </w:p>
    <w:p w:rsidR="00E9620E" w:rsidRPr="00B768C9" w:rsidRDefault="00E9620E" w:rsidP="00E52860">
      <w:pPr>
        <w:ind w:left="227" w:right="198" w:hanging="227"/>
        <w:jc w:val="both"/>
        <w:rPr>
          <w:rFonts w:cs="Times New Roman"/>
          <w:sz w:val="22"/>
        </w:rPr>
      </w:pPr>
      <w:r w:rsidRPr="00AB17A1">
        <w:rPr>
          <w:rFonts w:cs="Times New Roman"/>
          <w:sz w:val="22"/>
        </w:rPr>
        <w:t xml:space="preserve">Ntim, C.G., &amp; Soobaroyen, T. (2013). Corporate governance and performance in socially responsible corporations: New empirical insights from a neo-institutional framework. </w:t>
      </w:r>
      <w:r w:rsidRPr="00EC45F4">
        <w:rPr>
          <w:rFonts w:cs="Times New Roman"/>
          <w:i/>
          <w:sz w:val="22"/>
        </w:rPr>
        <w:t>Corporate Governance: An International Review</w:t>
      </w:r>
      <w:r w:rsidRPr="0097482E">
        <w:rPr>
          <w:rFonts w:cs="Times New Roman"/>
          <w:sz w:val="22"/>
        </w:rPr>
        <w:t>,</w:t>
      </w:r>
      <w:r w:rsidRPr="00A0544D">
        <w:rPr>
          <w:rFonts w:cs="Times New Roman"/>
          <w:i/>
          <w:sz w:val="22"/>
        </w:rPr>
        <w:t xml:space="preserve"> 2</w:t>
      </w:r>
      <w:r w:rsidRPr="001A7DCA">
        <w:rPr>
          <w:rFonts w:cs="Times New Roman"/>
          <w:sz w:val="22"/>
        </w:rPr>
        <w:t>(5), 468-494.</w:t>
      </w:r>
    </w:p>
    <w:p w:rsidR="002C667C" w:rsidRPr="00B768C9" w:rsidRDefault="002C667C" w:rsidP="00747762">
      <w:pPr>
        <w:ind w:left="227" w:right="198" w:hanging="227"/>
        <w:jc w:val="both"/>
        <w:rPr>
          <w:rFonts w:cs="Times New Roman"/>
          <w:sz w:val="22"/>
        </w:rPr>
      </w:pPr>
      <w:r w:rsidRPr="00B768C9">
        <w:rPr>
          <w:rFonts w:cs="Times New Roman"/>
          <w:sz w:val="22"/>
        </w:rPr>
        <w:t xml:space="preserve">Omran, M.M., Bolbol, A., &amp; Fatheldin, A. (2008). Corporate governance and firm performance in Arab equity markets: Does ownership concentration matter? </w:t>
      </w:r>
      <w:r w:rsidRPr="00B768C9">
        <w:rPr>
          <w:rFonts w:cs="Times New Roman"/>
          <w:i/>
          <w:iCs/>
          <w:sz w:val="22"/>
        </w:rPr>
        <w:t>International Review of Law and Economics</w:t>
      </w:r>
      <w:r w:rsidRPr="00B768C9">
        <w:rPr>
          <w:rFonts w:cs="Times New Roman"/>
          <w:sz w:val="22"/>
        </w:rPr>
        <w:t xml:space="preserve">, </w:t>
      </w:r>
      <w:r w:rsidRPr="00B768C9">
        <w:rPr>
          <w:rFonts w:cs="Times New Roman"/>
          <w:i/>
          <w:sz w:val="22"/>
        </w:rPr>
        <w:t>28</w:t>
      </w:r>
      <w:r w:rsidRPr="00B768C9">
        <w:rPr>
          <w:rFonts w:cs="Times New Roman"/>
          <w:sz w:val="22"/>
        </w:rPr>
        <w:t>(1), 32-45.</w:t>
      </w:r>
    </w:p>
    <w:p w:rsidR="002C667C" w:rsidRPr="00B768C9" w:rsidRDefault="002C667C" w:rsidP="00747762">
      <w:pPr>
        <w:ind w:left="227" w:right="198" w:hanging="227"/>
        <w:jc w:val="both"/>
        <w:rPr>
          <w:rFonts w:cs="Times New Roman"/>
          <w:sz w:val="22"/>
        </w:rPr>
      </w:pPr>
      <w:r w:rsidRPr="00B768C9">
        <w:rPr>
          <w:rFonts w:cs="Times New Roman"/>
          <w:sz w:val="22"/>
        </w:rPr>
        <w:t xml:space="preserve">Owusu-Ansah, S. (1998). The impact of corporate attributes on the extent of mandatory disclosure and reporting by listed companies in Zimbabwe. </w:t>
      </w:r>
      <w:r w:rsidRPr="00B768C9">
        <w:rPr>
          <w:rFonts w:cs="Times New Roman"/>
          <w:i/>
          <w:iCs/>
          <w:sz w:val="22"/>
        </w:rPr>
        <w:t>International Journal of Accounting</w:t>
      </w:r>
      <w:r w:rsidRPr="00B768C9">
        <w:rPr>
          <w:rFonts w:cs="Times New Roman"/>
          <w:sz w:val="22"/>
        </w:rPr>
        <w:t xml:space="preserve">, </w:t>
      </w:r>
      <w:r w:rsidRPr="00B768C9">
        <w:rPr>
          <w:rFonts w:cs="Times New Roman"/>
          <w:i/>
          <w:sz w:val="22"/>
        </w:rPr>
        <w:t>33</w:t>
      </w:r>
      <w:r w:rsidRPr="00B768C9">
        <w:rPr>
          <w:rFonts w:cs="Times New Roman"/>
          <w:sz w:val="22"/>
        </w:rPr>
        <w:t>(5), 605-631.</w:t>
      </w:r>
    </w:p>
    <w:p w:rsidR="002C667C" w:rsidRPr="00B768C9" w:rsidRDefault="002C667C" w:rsidP="00747762">
      <w:pPr>
        <w:ind w:left="227" w:right="198" w:hanging="227"/>
        <w:jc w:val="both"/>
        <w:rPr>
          <w:rFonts w:cs="Times New Roman"/>
          <w:sz w:val="22"/>
        </w:rPr>
      </w:pPr>
      <w:r w:rsidRPr="00B768C9">
        <w:rPr>
          <w:rFonts w:cs="Times New Roman"/>
          <w:sz w:val="22"/>
        </w:rPr>
        <w:t xml:space="preserve">Pallant, J. (2010). </w:t>
      </w:r>
      <w:r w:rsidRPr="00B768C9">
        <w:rPr>
          <w:rFonts w:cs="Times New Roman"/>
          <w:i/>
          <w:iCs/>
          <w:sz w:val="22"/>
        </w:rPr>
        <w:t>SPSS Survival Manual: A Step by Step Guide to Data Analysis Using the SPSS Program</w:t>
      </w:r>
      <w:r w:rsidRPr="00B768C9">
        <w:rPr>
          <w:rFonts w:cs="Times New Roman"/>
          <w:sz w:val="22"/>
        </w:rPr>
        <w:t>, McGraw Hill Education: London.</w:t>
      </w:r>
    </w:p>
    <w:p w:rsidR="002C667C" w:rsidRPr="00B768C9" w:rsidRDefault="002C667C" w:rsidP="00624181">
      <w:pPr>
        <w:ind w:left="227" w:right="198" w:hanging="227"/>
        <w:jc w:val="both"/>
        <w:rPr>
          <w:rFonts w:cs="Times New Roman"/>
          <w:sz w:val="22"/>
        </w:rPr>
      </w:pPr>
      <w:r w:rsidRPr="00B768C9">
        <w:rPr>
          <w:rFonts w:cs="Times New Roman"/>
          <w:sz w:val="22"/>
        </w:rPr>
        <w:t xml:space="preserve">Petersen, M.A. (2009). Estimating standard errors in finance panel data sets: Comparing approaches. </w:t>
      </w:r>
      <w:r w:rsidRPr="00B768C9">
        <w:rPr>
          <w:rFonts w:cs="Times New Roman"/>
          <w:i/>
          <w:sz w:val="22"/>
        </w:rPr>
        <w:t>Review of Financial Studies</w:t>
      </w:r>
      <w:r w:rsidRPr="00B768C9">
        <w:rPr>
          <w:rFonts w:cs="Times New Roman"/>
          <w:sz w:val="22"/>
        </w:rPr>
        <w:t xml:space="preserve">, </w:t>
      </w:r>
      <w:r w:rsidRPr="00B768C9">
        <w:rPr>
          <w:rFonts w:cs="Times New Roman"/>
          <w:i/>
          <w:sz w:val="22"/>
        </w:rPr>
        <w:t>22</w:t>
      </w:r>
      <w:r w:rsidRPr="00B768C9">
        <w:rPr>
          <w:rFonts w:cs="Times New Roman"/>
          <w:sz w:val="22"/>
        </w:rPr>
        <w:t>, 435-480.</w:t>
      </w:r>
    </w:p>
    <w:p w:rsidR="002C667C" w:rsidRPr="00B768C9" w:rsidRDefault="002C667C" w:rsidP="00747762">
      <w:pPr>
        <w:ind w:left="227" w:right="198" w:hanging="227"/>
        <w:jc w:val="both"/>
        <w:rPr>
          <w:rFonts w:cs="Times New Roman"/>
          <w:sz w:val="22"/>
        </w:rPr>
      </w:pPr>
      <w:r w:rsidRPr="00B768C9">
        <w:rPr>
          <w:rFonts w:cs="Times New Roman"/>
          <w:sz w:val="22"/>
        </w:rPr>
        <w:t xml:space="preserve">Petra, S.T. (2005). Do outside independent directors strengthen corporate boards? </w:t>
      </w:r>
      <w:r w:rsidRPr="00B768C9">
        <w:rPr>
          <w:rFonts w:cs="Times New Roman"/>
          <w:i/>
          <w:iCs/>
          <w:sz w:val="22"/>
        </w:rPr>
        <w:t>Corporate Governance</w:t>
      </w:r>
      <w:r w:rsidRPr="00B768C9">
        <w:rPr>
          <w:rFonts w:cs="Times New Roman"/>
          <w:sz w:val="22"/>
        </w:rPr>
        <w:t xml:space="preserve">, </w:t>
      </w:r>
      <w:r w:rsidRPr="00B768C9">
        <w:rPr>
          <w:rFonts w:cs="Times New Roman"/>
          <w:i/>
          <w:sz w:val="22"/>
        </w:rPr>
        <w:t>5</w:t>
      </w:r>
      <w:r w:rsidRPr="00B768C9">
        <w:rPr>
          <w:rFonts w:cs="Times New Roman"/>
          <w:sz w:val="22"/>
        </w:rPr>
        <w:t>(1), 55-64.</w:t>
      </w:r>
    </w:p>
    <w:p w:rsidR="002C667C" w:rsidRDefault="002C667C" w:rsidP="00EE70F6">
      <w:pPr>
        <w:ind w:left="227" w:right="198" w:hanging="227"/>
        <w:jc w:val="both"/>
        <w:rPr>
          <w:rFonts w:cs="Times New Roman"/>
          <w:sz w:val="22"/>
        </w:rPr>
      </w:pPr>
      <w:r w:rsidRPr="00B768C9">
        <w:rPr>
          <w:rFonts w:cs="Times New Roman"/>
          <w:sz w:val="22"/>
        </w:rPr>
        <w:t xml:space="preserve">Pfeffer, J. (1972). Size and composition of corporate boards of directors: The organisation and its environment. </w:t>
      </w:r>
      <w:r w:rsidRPr="00B768C9">
        <w:rPr>
          <w:rFonts w:cs="Times New Roman"/>
          <w:i/>
          <w:iCs/>
          <w:sz w:val="22"/>
        </w:rPr>
        <w:t>Administrative Science Quarterly</w:t>
      </w:r>
      <w:r w:rsidRPr="00B768C9">
        <w:rPr>
          <w:rFonts w:cs="Times New Roman"/>
          <w:sz w:val="22"/>
        </w:rPr>
        <w:t xml:space="preserve">, </w:t>
      </w:r>
      <w:r w:rsidRPr="00B768C9">
        <w:rPr>
          <w:rFonts w:cs="Times New Roman"/>
          <w:i/>
          <w:sz w:val="22"/>
        </w:rPr>
        <w:t>17</w:t>
      </w:r>
      <w:r w:rsidRPr="00B768C9">
        <w:rPr>
          <w:rFonts w:cs="Times New Roman"/>
          <w:sz w:val="22"/>
        </w:rPr>
        <w:t>(2), 218-228.</w:t>
      </w:r>
    </w:p>
    <w:p w:rsidR="00F44B5C" w:rsidRPr="00F44B5C" w:rsidRDefault="00F44B5C" w:rsidP="00EE70F6">
      <w:pPr>
        <w:ind w:left="227" w:right="198" w:hanging="227"/>
        <w:jc w:val="both"/>
        <w:rPr>
          <w:rFonts w:cs="Times New Roman"/>
          <w:sz w:val="22"/>
        </w:rPr>
      </w:pPr>
      <w:r w:rsidRPr="00F44B5C">
        <w:rPr>
          <w:rFonts w:cs="Times New Roman"/>
          <w:sz w:val="22"/>
        </w:rPr>
        <w:t xml:space="preserve">Quttainah, M.A., Song, L., &amp; Wu, Q. (2013). Do Islamic banks employ less earnings management? </w:t>
      </w:r>
      <w:r w:rsidRPr="00F44B5C">
        <w:rPr>
          <w:rFonts w:cs="Times New Roman"/>
          <w:i/>
          <w:sz w:val="22"/>
        </w:rPr>
        <w:t>Journal of International Financial Management &amp; Accounting</w:t>
      </w:r>
      <w:r w:rsidRPr="00F44B5C">
        <w:rPr>
          <w:rFonts w:cs="Times New Roman"/>
          <w:sz w:val="22"/>
        </w:rPr>
        <w:t xml:space="preserve">, </w:t>
      </w:r>
      <w:r w:rsidRPr="00F44B5C">
        <w:rPr>
          <w:rFonts w:cs="Times New Roman"/>
          <w:i/>
          <w:sz w:val="22"/>
        </w:rPr>
        <w:t>24</w:t>
      </w:r>
      <w:r w:rsidRPr="00F44B5C">
        <w:rPr>
          <w:rFonts w:cs="Times New Roman"/>
          <w:sz w:val="22"/>
        </w:rPr>
        <w:t>(3), pp 203-233</w:t>
      </w:r>
      <w:r>
        <w:rPr>
          <w:rFonts w:cs="Times New Roman"/>
          <w:sz w:val="22"/>
        </w:rPr>
        <w:t>.</w:t>
      </w:r>
    </w:p>
    <w:p w:rsidR="002C667C" w:rsidRPr="00B768C9" w:rsidRDefault="002C667C" w:rsidP="00EE70F6">
      <w:pPr>
        <w:ind w:left="227" w:right="198" w:hanging="227"/>
        <w:jc w:val="both"/>
        <w:rPr>
          <w:rFonts w:cs="Times New Roman"/>
          <w:sz w:val="22"/>
        </w:rPr>
      </w:pPr>
      <w:r w:rsidRPr="00B768C9">
        <w:rPr>
          <w:rFonts w:cs="Times New Roman"/>
          <w:sz w:val="22"/>
        </w:rPr>
        <w:t xml:space="preserve">Rahman, A.A., &amp; Bukair, A.A. (2013). The influence of the Shariah supervision board on corporate social responsibility disclosure by Islamic banks of Gulf co-operation council countries. </w:t>
      </w:r>
      <w:r w:rsidRPr="00B768C9">
        <w:rPr>
          <w:rFonts w:cs="Times New Roman"/>
          <w:i/>
          <w:sz w:val="22"/>
        </w:rPr>
        <w:t>Asian Journal of Business and Accounting</w:t>
      </w:r>
      <w:r w:rsidRPr="00B768C9">
        <w:rPr>
          <w:rFonts w:cs="Times New Roman"/>
          <w:sz w:val="22"/>
        </w:rPr>
        <w:t xml:space="preserve">, </w:t>
      </w:r>
      <w:r w:rsidRPr="00B768C9">
        <w:rPr>
          <w:rFonts w:cs="Times New Roman"/>
          <w:i/>
          <w:sz w:val="22"/>
        </w:rPr>
        <w:t>6</w:t>
      </w:r>
      <w:r w:rsidRPr="00B768C9">
        <w:rPr>
          <w:rFonts w:cs="Times New Roman"/>
          <w:sz w:val="22"/>
        </w:rPr>
        <w:t>(2), 65-104.</w:t>
      </w:r>
    </w:p>
    <w:p w:rsidR="002C667C" w:rsidRPr="00B768C9" w:rsidRDefault="002C667C" w:rsidP="002C667C">
      <w:pPr>
        <w:ind w:left="170" w:hanging="170"/>
        <w:jc w:val="both"/>
        <w:rPr>
          <w:rFonts w:cs="Times New Roman"/>
          <w:sz w:val="22"/>
        </w:rPr>
      </w:pPr>
      <w:r w:rsidRPr="00B768C9">
        <w:rPr>
          <w:rFonts w:cs="Times New Roman"/>
          <w:sz w:val="22"/>
        </w:rPr>
        <w:t xml:space="preserve">Rahman, A.R.A. (1998). Issues in corporate accountability and governance: An Islamic perspective. </w:t>
      </w:r>
      <w:r w:rsidRPr="00B768C9">
        <w:rPr>
          <w:rFonts w:cs="Times New Roman"/>
          <w:i/>
          <w:sz w:val="22"/>
        </w:rPr>
        <w:t>American Journal of Islamic Social Sciences</w:t>
      </w:r>
      <w:r w:rsidRPr="00B768C9">
        <w:rPr>
          <w:rFonts w:cs="Times New Roman"/>
          <w:sz w:val="22"/>
        </w:rPr>
        <w:t xml:space="preserve">, </w:t>
      </w:r>
      <w:r w:rsidRPr="00B768C9">
        <w:rPr>
          <w:rFonts w:cs="Times New Roman"/>
          <w:i/>
          <w:sz w:val="22"/>
        </w:rPr>
        <w:t>15</w:t>
      </w:r>
      <w:r w:rsidRPr="00B768C9">
        <w:rPr>
          <w:rFonts w:cs="Times New Roman"/>
          <w:sz w:val="22"/>
        </w:rPr>
        <w:t>(1), 55-69.</w:t>
      </w:r>
    </w:p>
    <w:p w:rsidR="002C667C" w:rsidRPr="00B768C9" w:rsidRDefault="002C667C" w:rsidP="00EE70F6">
      <w:pPr>
        <w:ind w:left="227" w:right="198" w:hanging="227"/>
        <w:jc w:val="both"/>
        <w:rPr>
          <w:rFonts w:cs="Times New Roman"/>
          <w:sz w:val="22"/>
        </w:rPr>
      </w:pPr>
      <w:r w:rsidRPr="00B768C9">
        <w:rPr>
          <w:rFonts w:cs="Times New Roman"/>
          <w:sz w:val="22"/>
        </w:rPr>
        <w:t xml:space="preserve">Rahman, R.A., &amp; Ali, F.H.M. (2006). Board, audit committee, culture and earnings management: Malaysian evidence. </w:t>
      </w:r>
      <w:r w:rsidRPr="00B768C9">
        <w:rPr>
          <w:rFonts w:cs="Times New Roman"/>
          <w:i/>
          <w:iCs/>
          <w:sz w:val="22"/>
        </w:rPr>
        <w:t>Managerial Audit Journal</w:t>
      </w:r>
      <w:r w:rsidRPr="00B768C9">
        <w:rPr>
          <w:rFonts w:cs="Times New Roman"/>
          <w:sz w:val="22"/>
        </w:rPr>
        <w:t xml:space="preserve">, </w:t>
      </w:r>
      <w:r w:rsidRPr="00B768C9">
        <w:rPr>
          <w:rFonts w:cs="Times New Roman"/>
          <w:i/>
          <w:sz w:val="22"/>
        </w:rPr>
        <w:t>21</w:t>
      </w:r>
      <w:r w:rsidRPr="00B768C9">
        <w:rPr>
          <w:rFonts w:cs="Times New Roman"/>
          <w:sz w:val="22"/>
        </w:rPr>
        <w:t>(7), 783-804.</w:t>
      </w:r>
    </w:p>
    <w:p w:rsidR="002C667C" w:rsidRPr="00B768C9" w:rsidRDefault="002C667C" w:rsidP="002C667C">
      <w:pPr>
        <w:ind w:left="170" w:hanging="170"/>
        <w:jc w:val="both"/>
        <w:rPr>
          <w:rFonts w:cs="Times New Roman"/>
          <w:sz w:val="22"/>
        </w:rPr>
      </w:pPr>
      <w:r w:rsidRPr="00B768C9">
        <w:rPr>
          <w:rFonts w:cs="Times New Roman"/>
          <w:sz w:val="22"/>
        </w:rPr>
        <w:t xml:space="preserve">Richardson, G. (2008). The relationship between culture and tax evasion across countries: Additional evidence and extensions. </w:t>
      </w:r>
      <w:r w:rsidRPr="00B768C9">
        <w:rPr>
          <w:rFonts w:cs="Times New Roman"/>
          <w:i/>
          <w:iCs/>
          <w:sz w:val="22"/>
        </w:rPr>
        <w:t>Journal of International Accounting, Auditing and Taxation</w:t>
      </w:r>
      <w:r w:rsidRPr="00B768C9">
        <w:rPr>
          <w:rFonts w:cs="Times New Roman"/>
          <w:sz w:val="22"/>
        </w:rPr>
        <w:t xml:space="preserve">, </w:t>
      </w:r>
      <w:r w:rsidRPr="00B768C9">
        <w:rPr>
          <w:rFonts w:cs="Times New Roman"/>
          <w:i/>
          <w:sz w:val="22"/>
        </w:rPr>
        <w:t>17</w:t>
      </w:r>
      <w:r w:rsidRPr="00B768C9">
        <w:rPr>
          <w:rFonts w:cs="Times New Roman"/>
          <w:sz w:val="22"/>
        </w:rPr>
        <w:t>(2), 67-78.</w:t>
      </w:r>
    </w:p>
    <w:p w:rsidR="002C667C" w:rsidRPr="00B768C9" w:rsidRDefault="002C667C" w:rsidP="00747762">
      <w:pPr>
        <w:ind w:left="227" w:right="198" w:hanging="227"/>
        <w:jc w:val="both"/>
        <w:rPr>
          <w:rFonts w:cs="Times New Roman"/>
          <w:sz w:val="22"/>
        </w:rPr>
      </w:pPr>
      <w:r w:rsidRPr="00B768C9">
        <w:rPr>
          <w:rFonts w:cs="Times New Roman"/>
          <w:sz w:val="22"/>
        </w:rPr>
        <w:t xml:space="preserve">Rwegasira, K. (2000). Corporate governance in emerging capital markets: Whither Africa? </w:t>
      </w:r>
      <w:r w:rsidRPr="00B768C9">
        <w:rPr>
          <w:rFonts w:cs="Times New Roman"/>
          <w:i/>
          <w:iCs/>
          <w:sz w:val="22"/>
        </w:rPr>
        <w:t>Corporate Governance</w:t>
      </w:r>
      <w:r w:rsidRPr="00B768C9">
        <w:rPr>
          <w:rFonts w:cs="Times New Roman"/>
          <w:sz w:val="22"/>
        </w:rPr>
        <w:t xml:space="preserve">: </w:t>
      </w:r>
      <w:r w:rsidRPr="00B768C9">
        <w:rPr>
          <w:rFonts w:cs="Times New Roman"/>
          <w:i/>
          <w:iCs/>
          <w:sz w:val="22"/>
        </w:rPr>
        <w:t xml:space="preserve">An International Review, </w:t>
      </w:r>
      <w:r w:rsidRPr="00B768C9">
        <w:rPr>
          <w:rFonts w:cs="Times New Roman"/>
          <w:i/>
          <w:sz w:val="22"/>
        </w:rPr>
        <w:t>8</w:t>
      </w:r>
      <w:r w:rsidRPr="00B768C9">
        <w:rPr>
          <w:rFonts w:cs="Times New Roman"/>
          <w:sz w:val="22"/>
        </w:rPr>
        <w:t>(3), 258-267.</w:t>
      </w:r>
    </w:p>
    <w:p w:rsidR="002C667C" w:rsidRPr="00B768C9" w:rsidRDefault="002C667C" w:rsidP="00747762">
      <w:pPr>
        <w:ind w:left="227" w:right="198" w:hanging="227"/>
        <w:jc w:val="both"/>
        <w:rPr>
          <w:rFonts w:cs="Times New Roman"/>
          <w:sz w:val="22"/>
        </w:rPr>
      </w:pPr>
      <w:r w:rsidRPr="00B768C9">
        <w:rPr>
          <w:rFonts w:cs="Times New Roman"/>
          <w:sz w:val="22"/>
        </w:rPr>
        <w:t xml:space="preserve">Safieddine, A. (2009). Islamic financial institutions and corporate governance: New insights for agency theory. </w:t>
      </w:r>
      <w:r w:rsidRPr="00B768C9">
        <w:rPr>
          <w:rFonts w:cs="Times New Roman"/>
          <w:i/>
          <w:sz w:val="22"/>
        </w:rPr>
        <w:t>Corporate Governance: An International Review</w:t>
      </w:r>
      <w:r w:rsidRPr="00B768C9">
        <w:rPr>
          <w:rFonts w:cs="Times New Roman"/>
          <w:sz w:val="22"/>
        </w:rPr>
        <w:t xml:space="preserve">, </w:t>
      </w:r>
      <w:r w:rsidRPr="00B768C9">
        <w:rPr>
          <w:rFonts w:cs="Times New Roman"/>
          <w:i/>
          <w:sz w:val="22"/>
        </w:rPr>
        <w:t>17</w:t>
      </w:r>
      <w:r w:rsidRPr="00B768C9">
        <w:rPr>
          <w:rFonts w:cs="Times New Roman"/>
          <w:sz w:val="22"/>
        </w:rPr>
        <w:t>(2), 142-158.</w:t>
      </w:r>
    </w:p>
    <w:p w:rsidR="002C667C" w:rsidRPr="00B768C9" w:rsidRDefault="002C667C" w:rsidP="00747762">
      <w:pPr>
        <w:ind w:left="227" w:right="198" w:hanging="227"/>
        <w:jc w:val="both"/>
        <w:rPr>
          <w:rFonts w:cs="Times New Roman"/>
          <w:sz w:val="22"/>
        </w:rPr>
      </w:pPr>
      <w:r w:rsidRPr="00B768C9">
        <w:rPr>
          <w:rFonts w:cs="Times New Roman"/>
          <w:sz w:val="22"/>
        </w:rPr>
        <w:t xml:space="preserve">Schipper, K. (1989). Commentary on earnings management, </w:t>
      </w:r>
      <w:r w:rsidRPr="00B768C9">
        <w:rPr>
          <w:rFonts w:cs="Times New Roman"/>
          <w:i/>
          <w:iCs/>
          <w:sz w:val="22"/>
        </w:rPr>
        <w:t>Accounting Horizons</w:t>
      </w:r>
      <w:r w:rsidRPr="00B768C9">
        <w:rPr>
          <w:rFonts w:cs="Times New Roman"/>
          <w:sz w:val="22"/>
        </w:rPr>
        <w:t xml:space="preserve">, </w:t>
      </w:r>
      <w:r w:rsidRPr="00B768C9">
        <w:rPr>
          <w:rFonts w:cs="Times New Roman"/>
          <w:i/>
          <w:sz w:val="22"/>
        </w:rPr>
        <w:t>3</w:t>
      </w:r>
      <w:r w:rsidRPr="00B768C9">
        <w:rPr>
          <w:rFonts w:cs="Times New Roman"/>
          <w:sz w:val="22"/>
        </w:rPr>
        <w:t>(4), 91-102.</w:t>
      </w:r>
    </w:p>
    <w:p w:rsidR="002C667C" w:rsidRPr="00B768C9" w:rsidRDefault="002C667C" w:rsidP="00747762">
      <w:pPr>
        <w:ind w:left="227" w:right="198" w:hanging="227"/>
        <w:jc w:val="both"/>
        <w:rPr>
          <w:rFonts w:cs="Times New Roman"/>
          <w:sz w:val="22"/>
        </w:rPr>
      </w:pPr>
      <w:r w:rsidRPr="00B768C9">
        <w:rPr>
          <w:rFonts w:cs="Times New Roman"/>
          <w:sz w:val="22"/>
        </w:rPr>
        <w:t xml:space="preserve">Shleifer, A., &amp; Vishny, R.W. (1986). Large shareholders and corporate control. </w:t>
      </w:r>
      <w:r w:rsidRPr="00B768C9">
        <w:rPr>
          <w:rFonts w:cs="Times New Roman"/>
          <w:i/>
          <w:iCs/>
          <w:sz w:val="22"/>
        </w:rPr>
        <w:t>Journal of Political Economy</w:t>
      </w:r>
      <w:r w:rsidRPr="00B768C9">
        <w:rPr>
          <w:rFonts w:cs="Times New Roman"/>
          <w:sz w:val="22"/>
        </w:rPr>
        <w:t xml:space="preserve">, </w:t>
      </w:r>
      <w:r w:rsidRPr="00B768C9">
        <w:rPr>
          <w:rFonts w:cs="Times New Roman"/>
          <w:i/>
          <w:sz w:val="22"/>
        </w:rPr>
        <w:t>94</w:t>
      </w:r>
      <w:r w:rsidRPr="00B768C9">
        <w:rPr>
          <w:rFonts w:cs="Times New Roman"/>
          <w:sz w:val="22"/>
        </w:rPr>
        <w:t>(3), 461-488.</w:t>
      </w:r>
    </w:p>
    <w:p w:rsidR="002C667C" w:rsidRPr="00B768C9" w:rsidRDefault="002C667C" w:rsidP="00747762">
      <w:pPr>
        <w:ind w:left="227" w:right="198" w:hanging="227"/>
        <w:jc w:val="both"/>
        <w:rPr>
          <w:rFonts w:cs="Times New Roman"/>
          <w:sz w:val="22"/>
        </w:rPr>
      </w:pPr>
      <w:r w:rsidRPr="00B768C9">
        <w:rPr>
          <w:rFonts w:cs="Times New Roman"/>
          <w:sz w:val="22"/>
        </w:rPr>
        <w:t xml:space="preserve">Shleifer, A., &amp; Vishny, R.W. (1997). A survey of corporate governance. </w:t>
      </w:r>
      <w:r w:rsidRPr="00B768C9">
        <w:rPr>
          <w:rFonts w:cs="Times New Roman"/>
          <w:i/>
          <w:iCs/>
          <w:sz w:val="22"/>
        </w:rPr>
        <w:t>Journal of Finance</w:t>
      </w:r>
      <w:r w:rsidRPr="00B768C9">
        <w:rPr>
          <w:rFonts w:cs="Times New Roman"/>
          <w:sz w:val="22"/>
        </w:rPr>
        <w:t xml:space="preserve">, </w:t>
      </w:r>
      <w:r w:rsidRPr="00B768C9">
        <w:rPr>
          <w:rFonts w:cs="Times New Roman"/>
          <w:i/>
          <w:sz w:val="22"/>
        </w:rPr>
        <w:t>52</w:t>
      </w:r>
      <w:r w:rsidRPr="00B768C9">
        <w:rPr>
          <w:rFonts w:cs="Times New Roman"/>
          <w:sz w:val="22"/>
        </w:rPr>
        <w:t>(2), 737-783.</w:t>
      </w:r>
    </w:p>
    <w:p w:rsidR="002C667C" w:rsidRPr="00B768C9" w:rsidRDefault="002C667C" w:rsidP="002C667C">
      <w:pPr>
        <w:ind w:left="170" w:hanging="170"/>
        <w:jc w:val="both"/>
        <w:rPr>
          <w:rFonts w:cs="Times New Roman"/>
          <w:sz w:val="22"/>
        </w:rPr>
      </w:pPr>
      <w:r w:rsidRPr="00B768C9">
        <w:rPr>
          <w:rFonts w:cs="Times New Roman"/>
          <w:sz w:val="22"/>
        </w:rPr>
        <w:t xml:space="preserve">Stack, S. (2006). The effect of religiosity on tax fraud acceptability: A cross-national analysis", </w:t>
      </w:r>
      <w:r w:rsidRPr="00B768C9">
        <w:rPr>
          <w:rFonts w:cs="Times New Roman"/>
          <w:i/>
          <w:iCs/>
          <w:sz w:val="22"/>
        </w:rPr>
        <w:t>Journal of the Scientific Paper of Religion</w:t>
      </w:r>
      <w:r w:rsidRPr="00B768C9">
        <w:rPr>
          <w:rFonts w:cs="Times New Roman"/>
          <w:sz w:val="22"/>
        </w:rPr>
        <w:t xml:space="preserve">, </w:t>
      </w:r>
      <w:r w:rsidRPr="00B768C9">
        <w:rPr>
          <w:rFonts w:cs="Times New Roman"/>
          <w:i/>
          <w:sz w:val="22"/>
        </w:rPr>
        <w:t>45</w:t>
      </w:r>
      <w:r w:rsidRPr="00B768C9">
        <w:rPr>
          <w:rFonts w:cs="Times New Roman"/>
          <w:sz w:val="22"/>
        </w:rPr>
        <w:t>(3), 325-251.</w:t>
      </w:r>
    </w:p>
    <w:p w:rsidR="002C667C" w:rsidRPr="00B768C9" w:rsidRDefault="002C667C" w:rsidP="00747762">
      <w:pPr>
        <w:ind w:left="227" w:right="198" w:hanging="227"/>
        <w:jc w:val="both"/>
        <w:rPr>
          <w:rFonts w:cs="Times New Roman"/>
          <w:sz w:val="22"/>
        </w:rPr>
      </w:pPr>
      <w:r w:rsidRPr="00B768C9">
        <w:rPr>
          <w:rFonts w:cs="Times New Roman"/>
          <w:sz w:val="22"/>
        </w:rPr>
        <w:t xml:space="preserve">Stockmans, A., Lybaert, N., &amp; Voordeckers, W. (2013). The conditional nature of board characteristics in constraining earnings management in private family firms, </w:t>
      </w:r>
      <w:r w:rsidRPr="00B768C9">
        <w:rPr>
          <w:rFonts w:cs="Times New Roman"/>
          <w:i/>
          <w:iCs/>
          <w:sz w:val="22"/>
        </w:rPr>
        <w:t>Journal of Family Business Strategy</w:t>
      </w:r>
      <w:r w:rsidRPr="00B768C9">
        <w:rPr>
          <w:rFonts w:cs="Times New Roman"/>
          <w:sz w:val="22"/>
        </w:rPr>
        <w:t xml:space="preserve">, </w:t>
      </w:r>
      <w:r w:rsidRPr="00B768C9">
        <w:rPr>
          <w:rFonts w:cs="Times New Roman"/>
          <w:i/>
          <w:sz w:val="22"/>
        </w:rPr>
        <w:t>4</w:t>
      </w:r>
      <w:r w:rsidRPr="00B768C9">
        <w:rPr>
          <w:rFonts w:cs="Times New Roman"/>
          <w:sz w:val="22"/>
        </w:rPr>
        <w:t xml:space="preserve">, 84-92. </w:t>
      </w:r>
    </w:p>
    <w:p w:rsidR="002C667C" w:rsidRPr="00B768C9" w:rsidRDefault="002C667C" w:rsidP="00747762">
      <w:pPr>
        <w:ind w:left="227" w:right="198" w:hanging="227"/>
        <w:jc w:val="both"/>
        <w:rPr>
          <w:rFonts w:cs="Times New Roman"/>
          <w:sz w:val="22"/>
        </w:rPr>
      </w:pPr>
      <w:r w:rsidRPr="00B768C9">
        <w:rPr>
          <w:rFonts w:cs="Times New Roman"/>
          <w:sz w:val="22"/>
        </w:rPr>
        <w:t xml:space="preserve">Sun, J., &amp; Liu, G. (2013). Auditor industry specialization, board governance, and earnings management, </w:t>
      </w:r>
      <w:r w:rsidRPr="00B768C9">
        <w:rPr>
          <w:rFonts w:cs="Times New Roman"/>
          <w:i/>
          <w:iCs/>
          <w:sz w:val="22"/>
        </w:rPr>
        <w:t>Managerial Auditing Journal</w:t>
      </w:r>
      <w:r w:rsidRPr="00B768C9">
        <w:rPr>
          <w:rFonts w:cs="Times New Roman"/>
          <w:sz w:val="22"/>
        </w:rPr>
        <w:t xml:space="preserve">, </w:t>
      </w:r>
      <w:r w:rsidRPr="00B768C9">
        <w:rPr>
          <w:rFonts w:cs="Times New Roman"/>
          <w:i/>
          <w:sz w:val="22"/>
        </w:rPr>
        <w:t>28</w:t>
      </w:r>
      <w:r w:rsidRPr="00B768C9">
        <w:rPr>
          <w:rFonts w:cs="Times New Roman"/>
          <w:sz w:val="22"/>
        </w:rPr>
        <w:t xml:space="preserve">(1), 45-64. </w:t>
      </w:r>
    </w:p>
    <w:p w:rsidR="002C667C" w:rsidRPr="00B768C9" w:rsidRDefault="002C667C" w:rsidP="00747762">
      <w:pPr>
        <w:ind w:left="227" w:right="198" w:hanging="227"/>
        <w:jc w:val="both"/>
        <w:rPr>
          <w:rFonts w:cs="Times New Roman"/>
          <w:sz w:val="22"/>
        </w:rPr>
      </w:pPr>
      <w:r w:rsidRPr="00B768C9">
        <w:rPr>
          <w:rFonts w:cs="Times New Roman"/>
          <w:sz w:val="22"/>
        </w:rPr>
        <w:t xml:space="preserve">Sunden, A.E., &amp; Surette, B.J. (1998). Gender differences in the allocation of assets in retirement savings plans. </w:t>
      </w:r>
      <w:r w:rsidRPr="00B768C9">
        <w:rPr>
          <w:rFonts w:cs="Times New Roman"/>
          <w:i/>
          <w:iCs/>
          <w:sz w:val="22"/>
        </w:rPr>
        <w:t>American Economic Review</w:t>
      </w:r>
      <w:r w:rsidRPr="00B768C9">
        <w:rPr>
          <w:rFonts w:cs="Times New Roman"/>
          <w:sz w:val="22"/>
        </w:rPr>
        <w:t xml:space="preserve">, </w:t>
      </w:r>
      <w:r w:rsidRPr="00B768C9">
        <w:rPr>
          <w:rFonts w:cs="Times New Roman"/>
          <w:i/>
          <w:sz w:val="22"/>
        </w:rPr>
        <w:t>88</w:t>
      </w:r>
      <w:r w:rsidRPr="00B768C9">
        <w:rPr>
          <w:rFonts w:cs="Times New Roman"/>
          <w:sz w:val="22"/>
        </w:rPr>
        <w:t>(2), 207-211.</w:t>
      </w:r>
    </w:p>
    <w:p w:rsidR="002C667C" w:rsidRPr="00B768C9" w:rsidRDefault="002C667C" w:rsidP="00747762">
      <w:pPr>
        <w:ind w:left="227" w:right="198" w:hanging="227"/>
        <w:jc w:val="both"/>
        <w:rPr>
          <w:rFonts w:cs="Times New Roman"/>
          <w:sz w:val="22"/>
        </w:rPr>
      </w:pPr>
      <w:r w:rsidRPr="00B768C9">
        <w:rPr>
          <w:rFonts w:cs="Times New Roman"/>
          <w:sz w:val="22"/>
        </w:rPr>
        <w:t xml:space="preserve">Tariq, W., Ali, I.N., Ibrahim, M., Asim, M., &amp; Rehman, N. (2014). Theory and empirical evidence on corporate governance from Banking sector of Bakistan. </w:t>
      </w:r>
      <w:r w:rsidRPr="00B768C9">
        <w:rPr>
          <w:rFonts w:cs="Times New Roman"/>
          <w:i/>
          <w:iCs/>
          <w:sz w:val="22"/>
        </w:rPr>
        <w:t>Business and Economic Research</w:t>
      </w:r>
      <w:r w:rsidRPr="00B768C9">
        <w:rPr>
          <w:rFonts w:cs="Times New Roman"/>
          <w:sz w:val="22"/>
        </w:rPr>
        <w:t xml:space="preserve">, </w:t>
      </w:r>
      <w:r w:rsidRPr="00B768C9">
        <w:rPr>
          <w:rFonts w:cs="Times New Roman"/>
          <w:i/>
          <w:sz w:val="22"/>
        </w:rPr>
        <w:t>4</w:t>
      </w:r>
      <w:r w:rsidRPr="00B768C9">
        <w:rPr>
          <w:rFonts w:cs="Times New Roman"/>
          <w:sz w:val="22"/>
        </w:rPr>
        <w:t>(1), 163-174.</w:t>
      </w:r>
    </w:p>
    <w:p w:rsidR="002C667C" w:rsidRPr="00B768C9" w:rsidRDefault="002C667C" w:rsidP="00747762">
      <w:pPr>
        <w:ind w:left="227" w:right="198" w:hanging="227"/>
        <w:jc w:val="both"/>
        <w:rPr>
          <w:rFonts w:cs="Times New Roman"/>
          <w:sz w:val="22"/>
        </w:rPr>
      </w:pPr>
      <w:r w:rsidRPr="00B768C9">
        <w:rPr>
          <w:rFonts w:cs="Times New Roman"/>
          <w:sz w:val="22"/>
        </w:rPr>
        <w:t xml:space="preserve">Uang, J.Y., Citron, D.B., Sudarsanam, S., &amp; Taffler, R.J. (2006). Management going-concern disclosures: Impact of corporate governance and auditor reputation. </w:t>
      </w:r>
      <w:r w:rsidRPr="00B768C9">
        <w:rPr>
          <w:rFonts w:cs="Times New Roman"/>
          <w:i/>
          <w:iCs/>
          <w:sz w:val="22"/>
        </w:rPr>
        <w:t>European Financial Management</w:t>
      </w:r>
      <w:r w:rsidRPr="00B768C9">
        <w:rPr>
          <w:rFonts w:cs="Times New Roman"/>
          <w:sz w:val="22"/>
        </w:rPr>
        <w:t xml:space="preserve">, </w:t>
      </w:r>
      <w:r w:rsidRPr="00B768C9">
        <w:rPr>
          <w:rFonts w:cs="Times New Roman"/>
          <w:i/>
          <w:sz w:val="22"/>
        </w:rPr>
        <w:t>12</w:t>
      </w:r>
      <w:r w:rsidRPr="00B768C9">
        <w:rPr>
          <w:rFonts w:cs="Times New Roman"/>
          <w:sz w:val="22"/>
        </w:rPr>
        <w:t>(5), 789-816.</w:t>
      </w:r>
    </w:p>
    <w:p w:rsidR="002C667C" w:rsidRPr="00B768C9" w:rsidRDefault="002C667C" w:rsidP="00747762">
      <w:pPr>
        <w:ind w:left="227" w:right="198" w:hanging="227"/>
        <w:jc w:val="both"/>
        <w:rPr>
          <w:rFonts w:cs="Times New Roman"/>
          <w:sz w:val="22"/>
        </w:rPr>
      </w:pPr>
      <w:r w:rsidRPr="00B768C9">
        <w:rPr>
          <w:rFonts w:cs="Times New Roman"/>
          <w:sz w:val="22"/>
        </w:rPr>
        <w:t xml:space="preserve">Vafeas, N. (1999). Board meeting frequency and firm performance. </w:t>
      </w:r>
      <w:r w:rsidRPr="00B768C9">
        <w:rPr>
          <w:rFonts w:cs="Times New Roman"/>
          <w:i/>
          <w:iCs/>
          <w:sz w:val="22"/>
        </w:rPr>
        <w:t>Journal of Financial Economics</w:t>
      </w:r>
      <w:r w:rsidRPr="00B768C9">
        <w:rPr>
          <w:rFonts w:cs="Times New Roman"/>
          <w:sz w:val="22"/>
        </w:rPr>
        <w:t xml:space="preserve">, </w:t>
      </w:r>
      <w:r w:rsidRPr="00B768C9">
        <w:rPr>
          <w:rFonts w:cs="Times New Roman"/>
          <w:i/>
          <w:sz w:val="22"/>
        </w:rPr>
        <w:t>53</w:t>
      </w:r>
      <w:r w:rsidRPr="00B768C9">
        <w:rPr>
          <w:rFonts w:cs="Times New Roman"/>
          <w:sz w:val="22"/>
        </w:rPr>
        <w:t>(1), 113-142.</w:t>
      </w:r>
    </w:p>
    <w:p w:rsidR="002C667C" w:rsidRPr="00B768C9" w:rsidRDefault="002C667C" w:rsidP="00624181">
      <w:pPr>
        <w:ind w:left="227" w:right="198" w:hanging="227"/>
        <w:jc w:val="both"/>
        <w:rPr>
          <w:rFonts w:cs="Times New Roman"/>
          <w:sz w:val="22"/>
        </w:rPr>
      </w:pPr>
      <w:r w:rsidRPr="00B768C9">
        <w:rPr>
          <w:rFonts w:cs="Times New Roman"/>
          <w:sz w:val="22"/>
        </w:rPr>
        <w:t xml:space="preserve">van Ees, H., Gabrielsson, J., &amp; Huse, M. (2009). Toward a behavioral theory of boards and corporate governance. </w:t>
      </w:r>
      <w:r w:rsidRPr="00B768C9">
        <w:rPr>
          <w:rFonts w:cs="Times New Roman"/>
          <w:i/>
          <w:sz w:val="22"/>
        </w:rPr>
        <w:t>Corporate Governance: An International Review</w:t>
      </w:r>
      <w:r w:rsidRPr="00B768C9">
        <w:rPr>
          <w:rFonts w:cs="Times New Roman"/>
          <w:sz w:val="22"/>
        </w:rPr>
        <w:t xml:space="preserve">, </w:t>
      </w:r>
      <w:r w:rsidRPr="00B768C9">
        <w:rPr>
          <w:rFonts w:cs="Times New Roman"/>
          <w:i/>
          <w:sz w:val="22"/>
        </w:rPr>
        <w:t>17</w:t>
      </w:r>
      <w:r w:rsidRPr="00B768C9">
        <w:rPr>
          <w:rFonts w:cs="Times New Roman"/>
          <w:sz w:val="22"/>
        </w:rPr>
        <w:t>(3), 307-319.</w:t>
      </w:r>
    </w:p>
    <w:p w:rsidR="002C667C" w:rsidRPr="00B768C9" w:rsidRDefault="002C667C" w:rsidP="00747762">
      <w:pPr>
        <w:ind w:left="227" w:right="198" w:hanging="227"/>
        <w:jc w:val="both"/>
        <w:rPr>
          <w:rFonts w:cs="Times New Roman"/>
          <w:sz w:val="22"/>
        </w:rPr>
      </w:pPr>
      <w:r w:rsidRPr="00B768C9">
        <w:rPr>
          <w:rFonts w:cs="Times New Roman"/>
          <w:sz w:val="22"/>
        </w:rPr>
        <w:t xml:space="preserve">Wang, M. (2014). Which types of institutional investors constrain abnormal accruals, </w:t>
      </w:r>
      <w:r w:rsidRPr="00B768C9">
        <w:rPr>
          <w:rFonts w:cs="Times New Roman"/>
          <w:i/>
          <w:iCs/>
          <w:sz w:val="22"/>
        </w:rPr>
        <w:t>Corporate Governance: An International Review</w:t>
      </w:r>
      <w:r w:rsidRPr="00B768C9">
        <w:rPr>
          <w:rFonts w:cs="Times New Roman"/>
          <w:sz w:val="22"/>
        </w:rPr>
        <w:t xml:space="preserve">, </w:t>
      </w:r>
      <w:r w:rsidRPr="00B768C9">
        <w:rPr>
          <w:rFonts w:cs="Times New Roman"/>
          <w:i/>
          <w:sz w:val="22"/>
        </w:rPr>
        <w:t>22</w:t>
      </w:r>
      <w:r w:rsidRPr="00B768C9">
        <w:rPr>
          <w:rFonts w:cs="Times New Roman"/>
          <w:sz w:val="22"/>
        </w:rPr>
        <w:t xml:space="preserve">(1), 43-67. </w:t>
      </w:r>
    </w:p>
    <w:p w:rsidR="002C667C" w:rsidRPr="00B768C9" w:rsidRDefault="002C667C" w:rsidP="002C667C">
      <w:pPr>
        <w:ind w:left="170" w:hanging="170"/>
        <w:jc w:val="both"/>
        <w:rPr>
          <w:rFonts w:cs="Times New Roman"/>
          <w:sz w:val="22"/>
        </w:rPr>
      </w:pPr>
      <w:r w:rsidRPr="00B768C9">
        <w:rPr>
          <w:rFonts w:cs="Times New Roman"/>
          <w:sz w:val="22"/>
        </w:rPr>
        <w:t xml:space="preserve">Williams. G. &amp; Zinkin, J. (2010). Islam and CSR: A study of the compatibility between the tenets of Islam and the UN global compact. </w:t>
      </w:r>
      <w:r w:rsidRPr="00B768C9">
        <w:rPr>
          <w:rFonts w:cs="Times New Roman"/>
          <w:i/>
          <w:sz w:val="22"/>
        </w:rPr>
        <w:t>Journal of Business Ethics</w:t>
      </w:r>
      <w:r w:rsidRPr="00B768C9">
        <w:rPr>
          <w:rFonts w:cs="Times New Roman"/>
          <w:sz w:val="22"/>
        </w:rPr>
        <w:t xml:space="preserve">, </w:t>
      </w:r>
      <w:r w:rsidRPr="00B768C9">
        <w:rPr>
          <w:rFonts w:cs="Times New Roman"/>
          <w:i/>
          <w:sz w:val="22"/>
        </w:rPr>
        <w:t>91</w:t>
      </w:r>
      <w:r w:rsidRPr="00B768C9">
        <w:rPr>
          <w:rFonts w:cs="Times New Roman"/>
          <w:sz w:val="22"/>
        </w:rPr>
        <w:t>(4), 519-533.</w:t>
      </w:r>
    </w:p>
    <w:p w:rsidR="002C667C" w:rsidRPr="00B768C9" w:rsidRDefault="002C667C" w:rsidP="00747762">
      <w:pPr>
        <w:ind w:left="227" w:right="198" w:hanging="227"/>
        <w:jc w:val="both"/>
        <w:rPr>
          <w:rFonts w:cs="Times New Roman"/>
          <w:sz w:val="22"/>
        </w:rPr>
      </w:pPr>
      <w:r w:rsidRPr="00B768C9">
        <w:rPr>
          <w:rFonts w:cs="Times New Roman"/>
          <w:sz w:val="22"/>
        </w:rPr>
        <w:t xml:space="preserve">Wooldridge, J.M. (2009). </w:t>
      </w:r>
      <w:r w:rsidRPr="00B768C9">
        <w:rPr>
          <w:rFonts w:cs="Times New Roman"/>
          <w:i/>
          <w:sz w:val="22"/>
        </w:rPr>
        <w:t>Introductory econometrics: A modern approach</w:t>
      </w:r>
      <w:r w:rsidRPr="00B768C9">
        <w:rPr>
          <w:rFonts w:cs="Times New Roman"/>
          <w:sz w:val="22"/>
        </w:rPr>
        <w:t xml:space="preserve">. South-Western Cengage Learing: Canada.    </w:t>
      </w:r>
    </w:p>
    <w:p w:rsidR="002C667C" w:rsidRPr="00B768C9" w:rsidRDefault="002C667C" w:rsidP="005561C2">
      <w:pPr>
        <w:ind w:left="227" w:right="198" w:hanging="227"/>
        <w:jc w:val="both"/>
        <w:rPr>
          <w:rFonts w:cs="Times New Roman"/>
          <w:sz w:val="22"/>
        </w:rPr>
      </w:pPr>
      <w:r w:rsidRPr="00B768C9">
        <w:rPr>
          <w:rFonts w:cs="Times New Roman"/>
          <w:sz w:val="22"/>
        </w:rPr>
        <w:t xml:space="preserve">Xie, B., Davidson, W.N., &amp; Dadalt, P.J. (2003). Earnings management and corporate governance: The role of the board and the audit committee. </w:t>
      </w:r>
      <w:r w:rsidRPr="00B768C9">
        <w:rPr>
          <w:rFonts w:cs="Times New Roman"/>
          <w:i/>
          <w:iCs/>
          <w:sz w:val="22"/>
        </w:rPr>
        <w:t>Journal of Corporate Finance</w:t>
      </w:r>
      <w:r w:rsidRPr="00B768C9">
        <w:rPr>
          <w:rFonts w:cs="Times New Roman"/>
          <w:sz w:val="22"/>
        </w:rPr>
        <w:t xml:space="preserve">, </w:t>
      </w:r>
      <w:r w:rsidRPr="00B768C9">
        <w:rPr>
          <w:rFonts w:cs="Times New Roman"/>
          <w:i/>
          <w:sz w:val="22"/>
        </w:rPr>
        <w:t>9</w:t>
      </w:r>
      <w:r w:rsidRPr="00B768C9">
        <w:rPr>
          <w:rFonts w:cs="Times New Roman"/>
          <w:sz w:val="22"/>
        </w:rPr>
        <w:t>(3), 295-316.</w:t>
      </w:r>
    </w:p>
    <w:p w:rsidR="00747762" w:rsidRDefault="00747762" w:rsidP="00747762">
      <w:pPr>
        <w:ind w:right="198" w:hanging="227"/>
        <w:jc w:val="both"/>
        <w:rPr>
          <w:rFonts w:cs="Times New Roman"/>
          <w:sz w:val="22"/>
        </w:rPr>
      </w:pPr>
    </w:p>
    <w:p w:rsidR="00747762" w:rsidRDefault="00747762" w:rsidP="00747762">
      <w:pPr>
        <w:ind w:right="198" w:hanging="227"/>
        <w:jc w:val="both"/>
        <w:rPr>
          <w:rFonts w:cs="Times New Roman"/>
          <w:sz w:val="22"/>
        </w:rPr>
      </w:pPr>
    </w:p>
    <w:p w:rsidR="00D53437" w:rsidRDefault="00D53437" w:rsidP="00747762">
      <w:pPr>
        <w:ind w:right="198" w:hanging="227"/>
        <w:jc w:val="both"/>
        <w:rPr>
          <w:rFonts w:cs="Times New Roman"/>
          <w:sz w:val="22"/>
        </w:rPr>
      </w:pPr>
    </w:p>
    <w:p w:rsidR="00D53437" w:rsidRDefault="00D53437" w:rsidP="00747762">
      <w:pPr>
        <w:ind w:right="198" w:hanging="227"/>
        <w:jc w:val="both"/>
        <w:rPr>
          <w:rFonts w:cs="Times New Roman"/>
          <w:sz w:val="22"/>
        </w:rPr>
      </w:pPr>
    </w:p>
    <w:p w:rsidR="00D53437" w:rsidRDefault="00D53437" w:rsidP="00747762">
      <w:pPr>
        <w:ind w:right="198" w:hanging="227"/>
        <w:jc w:val="both"/>
        <w:rPr>
          <w:rFonts w:cs="Times New Roman"/>
          <w:sz w:val="22"/>
        </w:rPr>
      </w:pPr>
    </w:p>
    <w:p w:rsidR="00D53437" w:rsidRDefault="00D53437" w:rsidP="00747762">
      <w:pPr>
        <w:ind w:right="198" w:hanging="227"/>
        <w:jc w:val="both"/>
        <w:rPr>
          <w:rFonts w:cs="Times New Roman"/>
          <w:sz w:val="22"/>
        </w:rPr>
      </w:pPr>
    </w:p>
    <w:p w:rsidR="00D53437" w:rsidRDefault="00D53437" w:rsidP="00747762">
      <w:pPr>
        <w:ind w:right="198" w:hanging="227"/>
        <w:jc w:val="both"/>
        <w:rPr>
          <w:rFonts w:cs="Times New Roman"/>
          <w:sz w:val="22"/>
        </w:rPr>
      </w:pPr>
    </w:p>
    <w:p w:rsidR="00D53437" w:rsidRDefault="00D53437" w:rsidP="00747762">
      <w:pPr>
        <w:ind w:right="198" w:hanging="227"/>
        <w:jc w:val="both"/>
        <w:rPr>
          <w:rFonts w:cs="Times New Roman"/>
          <w:sz w:val="22"/>
        </w:rPr>
      </w:pPr>
    </w:p>
    <w:p w:rsidR="00D53437" w:rsidRDefault="00D53437" w:rsidP="00747762">
      <w:pPr>
        <w:ind w:right="198" w:hanging="227"/>
        <w:jc w:val="both"/>
        <w:rPr>
          <w:rFonts w:cs="Times New Roman"/>
          <w:sz w:val="22"/>
        </w:rPr>
      </w:pPr>
    </w:p>
    <w:p w:rsidR="00D53437" w:rsidRDefault="00D53437" w:rsidP="00747762">
      <w:pPr>
        <w:ind w:right="198" w:hanging="227"/>
        <w:jc w:val="both"/>
        <w:rPr>
          <w:rFonts w:cs="Times New Roman"/>
          <w:sz w:val="22"/>
        </w:rPr>
      </w:pPr>
    </w:p>
    <w:p w:rsidR="00D37135" w:rsidRPr="004374E1" w:rsidRDefault="00D37135" w:rsidP="00E002FE">
      <w:pPr>
        <w:ind w:right="198"/>
        <w:jc w:val="both"/>
        <w:rPr>
          <w:rFonts w:cs="Times New Roman"/>
          <w:sz w:val="22"/>
        </w:rPr>
      </w:pPr>
    </w:p>
    <w:tbl>
      <w:tblPr>
        <w:tblStyle w:val="TableGrid"/>
        <w:tblW w:w="10271" w:type="dxa"/>
        <w:tblLayout w:type="fixed"/>
        <w:tblLook w:val="04A0" w:firstRow="1" w:lastRow="0" w:firstColumn="1" w:lastColumn="0" w:noHBand="0" w:noVBand="1"/>
      </w:tblPr>
      <w:tblGrid>
        <w:gridCol w:w="1951"/>
        <w:gridCol w:w="5954"/>
        <w:gridCol w:w="1080"/>
        <w:gridCol w:w="6"/>
        <w:gridCol w:w="1280"/>
      </w:tblGrid>
      <w:tr w:rsidR="00B46BBB" w:rsidRPr="00604C9B" w:rsidTr="0092325D">
        <w:tc>
          <w:tcPr>
            <w:tcW w:w="10271" w:type="dxa"/>
            <w:gridSpan w:val="5"/>
            <w:vAlign w:val="center"/>
          </w:tcPr>
          <w:p w:rsidR="00B46BBB" w:rsidRPr="005A79E1" w:rsidRDefault="005A79E1" w:rsidP="00E04E73">
            <w:pPr>
              <w:autoSpaceDE w:val="0"/>
              <w:autoSpaceDN w:val="0"/>
              <w:adjustRightInd w:val="0"/>
              <w:jc w:val="center"/>
              <w:rPr>
                <w:rFonts w:cs="Times New Roman"/>
                <w:b/>
                <w:sz w:val="22"/>
                <w:szCs w:val="22"/>
              </w:rPr>
            </w:pPr>
            <w:r w:rsidRPr="005A79E1">
              <w:rPr>
                <w:rFonts w:cs="Times New Roman"/>
                <w:b/>
                <w:sz w:val="22"/>
                <w:szCs w:val="22"/>
              </w:rPr>
              <w:t>Appendix</w:t>
            </w:r>
            <w:r w:rsidR="008551FA">
              <w:rPr>
                <w:rFonts w:cs="Times New Roman"/>
                <w:b/>
                <w:sz w:val="22"/>
                <w:szCs w:val="22"/>
              </w:rPr>
              <w:t>: Corpoarate governance (CG) practice d</w:t>
            </w:r>
            <w:r w:rsidR="00B46BBB" w:rsidRPr="005A79E1">
              <w:rPr>
                <w:rFonts w:cs="Times New Roman"/>
                <w:b/>
                <w:sz w:val="22"/>
                <w:szCs w:val="22"/>
              </w:rPr>
              <w:t xml:space="preserve">isclosure </w:t>
            </w:r>
            <w:r w:rsidR="008551FA">
              <w:rPr>
                <w:rFonts w:cs="Times New Roman"/>
                <w:b/>
                <w:sz w:val="22"/>
                <w:szCs w:val="22"/>
              </w:rPr>
              <w:t>i</w:t>
            </w:r>
            <w:r w:rsidR="00B46BBB" w:rsidRPr="005A79E1">
              <w:rPr>
                <w:rFonts w:cs="Times New Roman"/>
                <w:b/>
                <w:sz w:val="22"/>
                <w:szCs w:val="22"/>
              </w:rPr>
              <w:t>ndex</w:t>
            </w:r>
          </w:p>
        </w:tc>
      </w:tr>
      <w:tr w:rsidR="006E02A7" w:rsidRPr="00604C9B" w:rsidTr="0092325D">
        <w:trPr>
          <w:trHeight w:val="328"/>
        </w:trPr>
        <w:tc>
          <w:tcPr>
            <w:tcW w:w="1951" w:type="dxa"/>
            <w:vAlign w:val="center"/>
          </w:tcPr>
          <w:p w:rsidR="006E02A7" w:rsidRPr="005A79E1" w:rsidRDefault="006E02A7" w:rsidP="00E04E73">
            <w:pPr>
              <w:autoSpaceDE w:val="0"/>
              <w:autoSpaceDN w:val="0"/>
              <w:adjustRightInd w:val="0"/>
              <w:rPr>
                <w:rFonts w:cs="Times New Roman"/>
                <w:b/>
                <w:sz w:val="20"/>
                <w:u w:val="single"/>
              </w:rPr>
            </w:pPr>
            <w:r w:rsidRPr="005A79E1">
              <w:rPr>
                <w:rFonts w:cs="Times New Roman"/>
                <w:b/>
                <w:sz w:val="20"/>
                <w:u w:val="single"/>
              </w:rPr>
              <w:t>CG theme</w:t>
            </w:r>
          </w:p>
        </w:tc>
        <w:tc>
          <w:tcPr>
            <w:tcW w:w="5954" w:type="dxa"/>
            <w:vAlign w:val="center"/>
          </w:tcPr>
          <w:p w:rsidR="006E02A7" w:rsidRPr="005A79E1" w:rsidRDefault="008551FA" w:rsidP="00E04E73">
            <w:pPr>
              <w:autoSpaceDE w:val="0"/>
              <w:autoSpaceDN w:val="0"/>
              <w:adjustRightInd w:val="0"/>
              <w:jc w:val="center"/>
              <w:rPr>
                <w:rFonts w:cs="Times New Roman"/>
                <w:b/>
                <w:sz w:val="20"/>
                <w:u w:val="single"/>
              </w:rPr>
            </w:pPr>
            <w:r>
              <w:rPr>
                <w:rFonts w:cs="Times New Roman"/>
                <w:b/>
                <w:sz w:val="20"/>
                <w:u w:val="single"/>
              </w:rPr>
              <w:t>OCGI Item: Information on or r</w:t>
            </w:r>
            <w:r w:rsidR="006E02A7" w:rsidRPr="005A79E1">
              <w:rPr>
                <w:rFonts w:cs="Times New Roman"/>
                <w:b/>
                <w:sz w:val="20"/>
                <w:u w:val="single"/>
              </w:rPr>
              <w:t>eference to</w:t>
            </w:r>
          </w:p>
        </w:tc>
        <w:tc>
          <w:tcPr>
            <w:tcW w:w="1086" w:type="dxa"/>
            <w:gridSpan w:val="2"/>
          </w:tcPr>
          <w:p w:rsidR="006E02A7" w:rsidRPr="005A79E1" w:rsidRDefault="008551FA" w:rsidP="00E04E73">
            <w:pPr>
              <w:autoSpaceDE w:val="0"/>
              <w:autoSpaceDN w:val="0"/>
              <w:adjustRightInd w:val="0"/>
              <w:jc w:val="center"/>
              <w:rPr>
                <w:rFonts w:cs="Times New Roman"/>
                <w:b/>
                <w:sz w:val="20"/>
              </w:rPr>
            </w:pPr>
            <w:r>
              <w:rPr>
                <w:rFonts w:cs="Times New Roman"/>
                <w:b/>
                <w:sz w:val="20"/>
              </w:rPr>
              <w:t>Range of s</w:t>
            </w:r>
            <w:r w:rsidR="006E02A7" w:rsidRPr="005A79E1">
              <w:rPr>
                <w:rFonts w:cs="Times New Roman"/>
                <w:b/>
                <w:sz w:val="20"/>
              </w:rPr>
              <w:t>cores</w:t>
            </w:r>
          </w:p>
        </w:tc>
        <w:tc>
          <w:tcPr>
            <w:tcW w:w="1280" w:type="dxa"/>
          </w:tcPr>
          <w:p w:rsidR="006E02A7" w:rsidRPr="005A79E1" w:rsidRDefault="008551FA" w:rsidP="00E04E73">
            <w:pPr>
              <w:autoSpaceDE w:val="0"/>
              <w:autoSpaceDN w:val="0"/>
              <w:adjustRightInd w:val="0"/>
              <w:jc w:val="center"/>
              <w:rPr>
                <w:rFonts w:cs="Times New Roman"/>
                <w:b/>
                <w:sz w:val="20"/>
              </w:rPr>
            </w:pPr>
            <w:r>
              <w:rPr>
                <w:rFonts w:cs="Times New Roman"/>
                <w:b/>
                <w:sz w:val="20"/>
              </w:rPr>
              <w:t>Total score per t</w:t>
            </w:r>
            <w:r w:rsidR="006E02A7" w:rsidRPr="005A79E1">
              <w:rPr>
                <w:rFonts w:cs="Times New Roman"/>
                <w:b/>
                <w:sz w:val="20"/>
              </w:rPr>
              <w:t>heme</w:t>
            </w:r>
          </w:p>
        </w:tc>
      </w:tr>
      <w:tr w:rsidR="005A79E1" w:rsidRPr="00604C9B" w:rsidTr="0092325D">
        <w:trPr>
          <w:trHeight w:val="224"/>
        </w:trPr>
        <w:tc>
          <w:tcPr>
            <w:tcW w:w="1951" w:type="dxa"/>
            <w:vMerge w:val="restart"/>
          </w:tcPr>
          <w:p w:rsidR="005A79E1" w:rsidRPr="005A79E1" w:rsidRDefault="008551FA" w:rsidP="00E04E73">
            <w:pPr>
              <w:jc w:val="center"/>
              <w:rPr>
                <w:rFonts w:cs="Times New Roman"/>
                <w:b/>
                <w:sz w:val="20"/>
              </w:rPr>
            </w:pPr>
            <w:r>
              <w:rPr>
                <w:rFonts w:cs="Times New Roman"/>
                <w:b/>
                <w:sz w:val="20"/>
              </w:rPr>
              <w:t>(i) Board &amp; d</w:t>
            </w:r>
            <w:r w:rsidR="005A79E1" w:rsidRPr="005A79E1">
              <w:rPr>
                <w:rFonts w:cs="Times New Roman"/>
                <w:b/>
                <w:sz w:val="20"/>
              </w:rPr>
              <w:t>irectors</w:t>
            </w: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 board of directors’ number is between 5 and</w:t>
            </w:r>
            <w:r>
              <w:rPr>
                <w:rFonts w:ascii="Times New Roman" w:hAnsi="Times New Roman" w:cs="Times New Roman"/>
                <w:sz w:val="20"/>
              </w:rPr>
              <w:t xml:space="preserve"> </w:t>
            </w:r>
            <w:r w:rsidRPr="00604C9B">
              <w:rPr>
                <w:rFonts w:ascii="Times New Roman" w:hAnsi="Times New Roman" w:cs="Times New Roman"/>
                <w:sz w:val="20"/>
              </w:rPr>
              <w:t>12.</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val="restart"/>
          </w:tcPr>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Pr="005A79E1" w:rsidRDefault="005A79E1" w:rsidP="005A79E1">
            <w:pPr>
              <w:autoSpaceDE w:val="0"/>
              <w:autoSpaceDN w:val="0"/>
              <w:adjustRightInd w:val="0"/>
              <w:rPr>
                <w:rFonts w:cs="Times New Roman"/>
                <w:sz w:val="20"/>
              </w:rPr>
            </w:pPr>
            <w:r>
              <w:rPr>
                <w:rFonts w:cs="Times New Roman"/>
                <w:sz w:val="20"/>
              </w:rPr>
              <w:t xml:space="preserve">       </w:t>
            </w:r>
            <w:r w:rsidRPr="005A79E1">
              <w:rPr>
                <w:rFonts w:cs="Times New Roman"/>
                <w:sz w:val="20"/>
              </w:rPr>
              <w:t>39</w:t>
            </w:r>
          </w:p>
        </w:tc>
      </w:tr>
      <w:tr w:rsidR="005A79E1" w:rsidRPr="00604C9B" w:rsidTr="0092325D">
        <w:trPr>
          <w:trHeight w:val="227"/>
        </w:trPr>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the directors are clearly classified into executive, non-executive and independent directors. </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rPr>
          <w:trHeight w:val="254"/>
        </w:trPr>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 roles of chairperson and CEO are split.</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rPr>
          <w:trHeight w:val="474"/>
        </w:trPr>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 third of its board’s members is independent directors.</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the board is composed by a majority of non- executive directors. </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the directors’ membership number on other firms are specified and disclosed. </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directors’ membership number on other firms are less than 5.</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the board meets at least four times a year. </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 board meetings’ dates are disclosed.</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individual directors’ meetings record is disclosed.</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jc w:val="center"/>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individual directors’ meetings attendance record at the general assembly is disclosed. </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directors’ remuneration, interests and share options are disclosed.</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top five managers’ remuneration are disclosed.</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individual directors’ service contracts, and notice period and severance fees are disclosed. </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 board approves interim and annual financial statements.</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a board’s report on the going concern status of firm is disclosed.</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 board has conducted a review on the effectiveness of firm’s internal control systems.</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there is a narrative on directors’ nomination procedures.</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a remuneration committee has been established.</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remuneration’s committee jurisdictions and duties are disclosed.</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11666D">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the remuneration committee’s members are disclosed. </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 chairperson of remuneration committee is an independent.</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 majority of remuneration committee are independent.</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remuneration’s committee’s members’ remuneration is disclosed. </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remuneration’s committee members’ meetings attendance record is disclosed.</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a nomination committee has been established.</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nomination’s committee jurisdictions and duties are disclosed.</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the nomination committee’s members are disclosed.  </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 chairperson of nomination committee is an independent.</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the majority of nomination committee’s members are independent.  </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nomination’s committee members’ compensation is disclosed.</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nomination’s committee members’ meetings attendance record is disclosed.</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a risk committee has been established.</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risk’s committee jurisdictions and duties are disclosed.</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 risk committee’s members are disclosed</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 chairperson of risk committee is an independent.</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the majority of risk committee’s members are independent. </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risk’s committee members’ remuneration is disclosed.</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risk’s committee members’ meetings attendance record is disclosed.</w:t>
            </w:r>
          </w:p>
        </w:tc>
        <w:tc>
          <w:tcPr>
            <w:tcW w:w="1086" w:type="dxa"/>
            <w:gridSpan w:val="2"/>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0" w:type="dxa"/>
            <w:vMerge/>
          </w:tcPr>
          <w:p w:rsidR="005A79E1" w:rsidRPr="00604C9B" w:rsidRDefault="005A79E1" w:rsidP="00E04E73">
            <w:pPr>
              <w:autoSpaceDE w:val="0"/>
              <w:autoSpaceDN w:val="0"/>
              <w:adjustRightInd w:val="0"/>
              <w:rPr>
                <w:rFonts w:cs="Times New Roman"/>
                <w:sz w:val="20"/>
              </w:rPr>
            </w:pPr>
          </w:p>
        </w:tc>
      </w:tr>
      <w:tr w:rsidR="005A79E1" w:rsidRPr="00604C9B" w:rsidTr="0092325D">
        <w:trPr>
          <w:trHeight w:val="396"/>
        </w:trPr>
        <w:tc>
          <w:tcPr>
            <w:tcW w:w="1951" w:type="dxa"/>
            <w:vMerge w:val="restart"/>
          </w:tcPr>
          <w:p w:rsidR="005A79E1" w:rsidRPr="00604C9B" w:rsidRDefault="005A79E1" w:rsidP="00E04E73">
            <w:pPr>
              <w:rPr>
                <w:rFonts w:cs="Times New Roman"/>
                <w:b/>
                <w:bCs/>
                <w:sz w:val="20"/>
              </w:rPr>
            </w:pPr>
            <w:r>
              <w:rPr>
                <w:rFonts w:cs="Times New Roman"/>
                <w:b/>
                <w:bCs/>
                <w:sz w:val="20"/>
              </w:rPr>
              <w:t>(ii)</w:t>
            </w:r>
            <w:r w:rsidRPr="00604C9B">
              <w:rPr>
                <w:rFonts w:cs="Times New Roman"/>
                <w:b/>
                <w:bCs/>
                <w:sz w:val="20"/>
              </w:rPr>
              <w:t xml:space="preserve"> Ac</w:t>
            </w:r>
            <w:r>
              <w:rPr>
                <w:rFonts w:cs="Times New Roman"/>
                <w:b/>
                <w:bCs/>
                <w:sz w:val="20"/>
              </w:rPr>
              <w:t xml:space="preserve">counting and </w:t>
            </w:r>
            <w:r w:rsidR="008551FA">
              <w:rPr>
                <w:rFonts w:cs="Times New Roman"/>
                <w:b/>
                <w:bCs/>
                <w:sz w:val="20"/>
              </w:rPr>
              <w:t>a</w:t>
            </w:r>
            <w:r w:rsidRPr="00604C9B">
              <w:rPr>
                <w:rFonts w:cs="Times New Roman"/>
                <w:b/>
                <w:bCs/>
                <w:sz w:val="20"/>
              </w:rPr>
              <w:t>uditing</w:t>
            </w: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an audit committee has been established.</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vMerge w:val="restart"/>
          </w:tcPr>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Pr="005A79E1" w:rsidRDefault="005A79E1" w:rsidP="00E04E73">
            <w:pPr>
              <w:autoSpaceDE w:val="0"/>
              <w:autoSpaceDN w:val="0"/>
              <w:adjustRightInd w:val="0"/>
              <w:jc w:val="center"/>
              <w:rPr>
                <w:rFonts w:cs="Times New Roman"/>
                <w:sz w:val="20"/>
              </w:rPr>
            </w:pPr>
            <w:r w:rsidRPr="005A79E1">
              <w:rPr>
                <w:rFonts w:cs="Times New Roman"/>
                <w:sz w:val="20"/>
              </w:rPr>
              <w:t>7</w:t>
            </w: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audit’s committee jurisdictions and duties are disclosed.</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the audit committee’s members are disclosed.  </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 chairperson of audit committee is an independent.</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vMerge/>
          </w:tcPr>
          <w:p w:rsidR="005A79E1" w:rsidRPr="00604C9B" w:rsidRDefault="005A79E1" w:rsidP="00E04E73">
            <w:pPr>
              <w:autoSpaceDE w:val="0"/>
              <w:autoSpaceDN w:val="0"/>
              <w:adjustRightInd w:val="0"/>
              <w:jc w:val="center"/>
              <w:rPr>
                <w:rFonts w:cs="Times New Roman"/>
                <w:sz w:val="20"/>
                <w:u w:val="single"/>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the majority of audit committee’s members are independent.  </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audit committee’s members’ compensation is disclosed. </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vMerge/>
          </w:tcPr>
          <w:p w:rsidR="005A79E1" w:rsidRPr="00604C9B" w:rsidRDefault="005A79E1" w:rsidP="00E04E73">
            <w:pPr>
              <w:autoSpaceDE w:val="0"/>
              <w:autoSpaceDN w:val="0"/>
              <w:adjustRightInd w:val="0"/>
              <w:rPr>
                <w:rFonts w:cs="Times New Roman"/>
                <w:sz w:val="20"/>
              </w:rPr>
            </w:pPr>
          </w:p>
        </w:tc>
      </w:tr>
      <w:tr w:rsidR="005A79E1" w:rsidRPr="00604C9B" w:rsidTr="0092325D">
        <w:trPr>
          <w:trHeight w:val="530"/>
        </w:trPr>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audit’s committee members’ meetings attendance record is disclosed.</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val="restart"/>
          </w:tcPr>
          <w:p w:rsidR="005A79E1" w:rsidRPr="00604C9B" w:rsidRDefault="005A79E1" w:rsidP="00E04E73">
            <w:pPr>
              <w:rPr>
                <w:rFonts w:cs="Times New Roman"/>
                <w:b/>
                <w:bCs/>
                <w:sz w:val="20"/>
              </w:rPr>
            </w:pPr>
            <w:r>
              <w:rPr>
                <w:rFonts w:cs="Times New Roman"/>
                <w:b/>
                <w:bCs/>
                <w:sz w:val="20"/>
              </w:rPr>
              <w:t>(iii)</w:t>
            </w:r>
            <w:r w:rsidR="008551FA">
              <w:rPr>
                <w:rFonts w:cs="Times New Roman"/>
                <w:b/>
                <w:bCs/>
                <w:sz w:val="20"/>
              </w:rPr>
              <w:t xml:space="preserve"> External a</w:t>
            </w:r>
            <w:r w:rsidRPr="00604C9B">
              <w:rPr>
                <w:rFonts w:cs="Times New Roman"/>
                <w:b/>
                <w:bCs/>
                <w:sz w:val="20"/>
              </w:rPr>
              <w:t xml:space="preserve">uditors </w:t>
            </w:r>
            <w:r>
              <w:rPr>
                <w:rFonts w:cs="Times New Roman"/>
                <w:b/>
                <w:bCs/>
                <w:sz w:val="20"/>
              </w:rPr>
              <w:t>and</w:t>
            </w:r>
            <w:r w:rsidR="008551FA">
              <w:rPr>
                <w:rFonts w:cs="Times New Roman"/>
                <w:b/>
                <w:bCs/>
                <w:sz w:val="20"/>
              </w:rPr>
              <w:t xml:space="preserve"> internal control s</w:t>
            </w:r>
            <w:r w:rsidRPr="00604C9B">
              <w:rPr>
                <w:rFonts w:cs="Times New Roman"/>
                <w:b/>
                <w:bCs/>
                <w:sz w:val="20"/>
              </w:rPr>
              <w:t>ystems</w:t>
            </w: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an external auditor’s report on adequacy and efficacy of firm’s internal control systems is disclosed.</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vMerge w:val="restart"/>
          </w:tcPr>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Default="005A79E1" w:rsidP="00E04E73">
            <w:pPr>
              <w:autoSpaceDE w:val="0"/>
              <w:autoSpaceDN w:val="0"/>
              <w:adjustRightInd w:val="0"/>
              <w:jc w:val="center"/>
              <w:rPr>
                <w:rFonts w:cs="Times New Roman"/>
                <w:sz w:val="20"/>
              </w:rPr>
            </w:pPr>
          </w:p>
          <w:p w:rsidR="005A79E1" w:rsidRPr="005A79E1" w:rsidRDefault="005A79E1" w:rsidP="00E04E73">
            <w:pPr>
              <w:autoSpaceDE w:val="0"/>
              <w:autoSpaceDN w:val="0"/>
              <w:adjustRightInd w:val="0"/>
              <w:jc w:val="center"/>
              <w:rPr>
                <w:rFonts w:cs="Times New Roman"/>
                <w:sz w:val="20"/>
              </w:rPr>
            </w:pPr>
            <w:r w:rsidRPr="005A79E1">
              <w:rPr>
                <w:rFonts w:cs="Times New Roman"/>
                <w:sz w:val="20"/>
              </w:rPr>
              <w:t>4</w:t>
            </w: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an external auditor report’s on firm’s compliance with its internal control system is disclosed.</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vMerge/>
          </w:tcPr>
          <w:p w:rsidR="005A79E1" w:rsidRPr="00604C9B" w:rsidRDefault="005A79E1" w:rsidP="00E04E73">
            <w:pPr>
              <w:autoSpaceDE w:val="0"/>
              <w:autoSpaceDN w:val="0"/>
              <w:adjustRightInd w:val="0"/>
              <w:jc w:val="center"/>
              <w:rPr>
                <w:rFonts w:cs="Times New Roman"/>
                <w:sz w:val="20"/>
                <w:u w:val="single"/>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an external auditor report’s on firm’s ability to carry out its activities is disclosed.</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vMerge/>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an external auditor’s report on frauds is disclosed. </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vMerge/>
          </w:tcPr>
          <w:p w:rsidR="005A79E1" w:rsidRPr="00604C9B" w:rsidRDefault="005A79E1" w:rsidP="00E04E73">
            <w:pPr>
              <w:autoSpaceDE w:val="0"/>
              <w:autoSpaceDN w:val="0"/>
              <w:adjustRightInd w:val="0"/>
              <w:jc w:val="center"/>
              <w:rPr>
                <w:rFonts w:cs="Times New Roman"/>
                <w:sz w:val="20"/>
                <w:u w:val="single"/>
              </w:rPr>
            </w:pPr>
          </w:p>
        </w:tc>
      </w:tr>
      <w:tr w:rsidR="005A79E1" w:rsidRPr="00604C9B" w:rsidTr="0092325D">
        <w:trPr>
          <w:trHeight w:val="472"/>
        </w:trPr>
        <w:tc>
          <w:tcPr>
            <w:tcW w:w="1951" w:type="dxa"/>
            <w:vMerge w:val="restart"/>
          </w:tcPr>
          <w:p w:rsidR="005A79E1" w:rsidRPr="00604C9B" w:rsidRDefault="005A79E1" w:rsidP="00E04E73">
            <w:pPr>
              <w:rPr>
                <w:rFonts w:cs="Times New Roman"/>
                <w:b/>
                <w:bCs/>
                <w:sz w:val="20"/>
              </w:rPr>
            </w:pPr>
            <w:r>
              <w:rPr>
                <w:rFonts w:cs="Times New Roman"/>
                <w:b/>
                <w:bCs/>
                <w:sz w:val="20"/>
              </w:rPr>
              <w:t>(iv)</w:t>
            </w:r>
            <w:r w:rsidRPr="00604C9B">
              <w:rPr>
                <w:rFonts w:cs="Times New Roman"/>
                <w:b/>
                <w:bCs/>
                <w:sz w:val="20"/>
              </w:rPr>
              <w:t xml:space="preserve"> Disclosure </w:t>
            </w:r>
            <w:r>
              <w:rPr>
                <w:rFonts w:cs="Times New Roman"/>
                <w:b/>
                <w:bCs/>
                <w:sz w:val="20"/>
              </w:rPr>
              <w:t>and</w:t>
            </w:r>
            <w:r w:rsidR="008551FA">
              <w:rPr>
                <w:rFonts w:cs="Times New Roman"/>
                <w:b/>
                <w:bCs/>
                <w:sz w:val="20"/>
              </w:rPr>
              <w:t xml:space="preserve"> t</w:t>
            </w:r>
            <w:r w:rsidRPr="00604C9B">
              <w:rPr>
                <w:rFonts w:cs="Times New Roman"/>
                <w:b/>
                <w:bCs/>
                <w:sz w:val="20"/>
              </w:rPr>
              <w:t xml:space="preserve">ransparency </w:t>
            </w: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there is a narrative on the distribution of shareholding.</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5A79E1" w:rsidRDefault="005A79E1" w:rsidP="00E04E73">
            <w:pPr>
              <w:autoSpaceDE w:val="0"/>
              <w:autoSpaceDN w:val="0"/>
              <w:adjustRightInd w:val="0"/>
              <w:jc w:val="center"/>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there is a narrative on how the firm is doing its activities in order to achieve its objectives.</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there is a narrative on investment opportunities.</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line="240" w:lineRule="auto"/>
              <w:rPr>
                <w:rFonts w:ascii="Times New Roman" w:hAnsi="Times New Roman" w:cs="Times New Roman"/>
                <w:sz w:val="20"/>
              </w:rPr>
            </w:pPr>
            <w:r w:rsidRPr="00604C9B">
              <w:rPr>
                <w:rFonts w:ascii="Times New Roman" w:hAnsi="Times New Roman" w:cs="Times New Roman"/>
                <w:sz w:val="20"/>
              </w:rPr>
              <w:t>Whether there is a narrative on firm’s financial and operational performance.</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there is a narrative on risks and concerns and how are assessed and managed by the firm.</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there is a narrative on firm’s performance in comparison to board based index of MSM. </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 firm has obtained a certificate from external auditor on its CG practices.</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 firm has provided a separate chapter in its annual report on CG</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the firm provides a statement on the compliance or non-compliance with the 2002 code of CG. </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there is a narrative on penalties and strictures that might be imposed on firm by MSM, CMA or any statutory authority. </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there is a narrative on financial transactions that may have conflict of interests.</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901C41" w:rsidP="00901C41">
            <w:pPr>
              <w:autoSpaceDE w:val="0"/>
              <w:autoSpaceDN w:val="0"/>
              <w:adjustRightInd w:val="0"/>
              <w:jc w:val="center"/>
              <w:rPr>
                <w:rFonts w:cs="Times New Roman"/>
                <w:sz w:val="20"/>
              </w:rPr>
            </w:pPr>
            <w:r w:rsidRPr="005A79E1">
              <w:rPr>
                <w:rFonts w:cs="Times New Roman"/>
                <w:sz w:val="20"/>
              </w:rPr>
              <w:t>22</w:t>
            </w: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there is a narrative on high and low market share prices during each month.</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there is a narrative on the professional profile of external auditor.</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there is a narrative on dividend policy.</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there is a narrative on firm’s loans.</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 firm posts its results online.</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E04E73" w:rsidRDefault="005A79E1" w:rsidP="00E04E73">
            <w:pPr>
              <w:autoSpaceDE w:val="0"/>
              <w:autoSpaceDN w:val="0"/>
              <w:adjustRightInd w:val="0"/>
              <w:jc w:val="center"/>
              <w:rPr>
                <w:rFonts w:cs="Times New Roman"/>
                <w:sz w:val="20"/>
                <w:u w:val="single"/>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there is a narrative on firm’s convertible instrument.</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firm sends its half-yearly results to each shareholders or not. </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there is a narrative on firm’s analysis of segment and product wise performance. </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there is a narrative on how firm sees and predicts its future.</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 xml:space="preserve">Whether the firm includes management discussion and analysis chapter as part of its annual report. </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vMerge/>
          </w:tcPr>
          <w:p w:rsidR="005A79E1" w:rsidRPr="00604C9B" w:rsidRDefault="005A79E1" w:rsidP="00E04E73">
            <w:pPr>
              <w:autoSpaceDE w:val="0"/>
              <w:autoSpaceDN w:val="0"/>
              <w:adjustRightInd w:val="0"/>
              <w:rPr>
                <w:rFonts w:cs="Times New Roman"/>
                <w:sz w:val="20"/>
              </w:rPr>
            </w:pPr>
          </w:p>
        </w:tc>
        <w:tc>
          <w:tcPr>
            <w:tcW w:w="5954" w:type="dxa"/>
          </w:tcPr>
          <w:p w:rsidR="005A79E1" w:rsidRPr="00604C9B" w:rsidRDefault="005A79E1" w:rsidP="00490964">
            <w:pPr>
              <w:pStyle w:val="ListParagraph"/>
              <w:numPr>
                <w:ilvl w:val="0"/>
                <w:numId w:val="2"/>
              </w:numPr>
              <w:autoSpaceDE w:val="0"/>
              <w:autoSpaceDN w:val="0"/>
              <w:adjustRightInd w:val="0"/>
              <w:spacing w:after="0" w:line="240" w:lineRule="auto"/>
              <w:rPr>
                <w:rFonts w:ascii="Times New Roman" w:hAnsi="Times New Roman" w:cs="Times New Roman"/>
                <w:sz w:val="20"/>
              </w:rPr>
            </w:pPr>
            <w:r w:rsidRPr="00604C9B">
              <w:rPr>
                <w:rFonts w:ascii="Times New Roman" w:hAnsi="Times New Roman" w:cs="Times New Roman"/>
                <w:sz w:val="20"/>
              </w:rPr>
              <w:t>Whether there is a narrative on directors’ biography, experience and responsibilities.</w:t>
            </w:r>
          </w:p>
        </w:tc>
        <w:tc>
          <w:tcPr>
            <w:tcW w:w="1080" w:type="dxa"/>
          </w:tcPr>
          <w:p w:rsidR="005A79E1" w:rsidRPr="00E04E73" w:rsidRDefault="005A79E1" w:rsidP="00E04E73">
            <w:pPr>
              <w:autoSpaceDE w:val="0"/>
              <w:autoSpaceDN w:val="0"/>
              <w:adjustRightInd w:val="0"/>
              <w:jc w:val="center"/>
              <w:rPr>
                <w:rFonts w:cs="Times New Roman"/>
                <w:sz w:val="20"/>
                <w:u w:val="single"/>
              </w:rPr>
            </w:pPr>
            <w:r w:rsidRPr="00E04E73">
              <w:rPr>
                <w:rFonts w:cs="Times New Roman"/>
                <w:sz w:val="20"/>
                <w:u w:val="single"/>
              </w:rPr>
              <w:t>0-1</w:t>
            </w:r>
          </w:p>
        </w:tc>
        <w:tc>
          <w:tcPr>
            <w:tcW w:w="1286" w:type="dxa"/>
            <w:gridSpan w:val="2"/>
          </w:tcPr>
          <w:p w:rsidR="005A79E1" w:rsidRPr="00604C9B" w:rsidRDefault="005A79E1" w:rsidP="00E04E73">
            <w:pPr>
              <w:autoSpaceDE w:val="0"/>
              <w:autoSpaceDN w:val="0"/>
              <w:adjustRightInd w:val="0"/>
              <w:rPr>
                <w:rFonts w:cs="Times New Roman"/>
                <w:sz w:val="20"/>
              </w:rPr>
            </w:pPr>
          </w:p>
        </w:tc>
      </w:tr>
      <w:tr w:rsidR="005A79E1" w:rsidRPr="00604C9B" w:rsidTr="0092325D">
        <w:tc>
          <w:tcPr>
            <w:tcW w:w="1951" w:type="dxa"/>
          </w:tcPr>
          <w:p w:rsidR="005A79E1" w:rsidRPr="00604C9B" w:rsidRDefault="005A79E1" w:rsidP="00E04E73">
            <w:pPr>
              <w:autoSpaceDE w:val="0"/>
              <w:autoSpaceDN w:val="0"/>
              <w:adjustRightInd w:val="0"/>
              <w:rPr>
                <w:rFonts w:cs="Times New Roman"/>
                <w:b/>
                <w:bCs/>
                <w:sz w:val="20"/>
              </w:rPr>
            </w:pPr>
            <w:r>
              <w:rPr>
                <w:rFonts w:cs="Times New Roman"/>
                <w:b/>
                <w:bCs/>
                <w:sz w:val="20"/>
              </w:rPr>
              <w:t>Total of 4</w:t>
            </w:r>
            <w:r w:rsidR="008551FA">
              <w:rPr>
                <w:rFonts w:cs="Times New Roman"/>
                <w:b/>
                <w:bCs/>
                <w:sz w:val="20"/>
              </w:rPr>
              <w:t xml:space="preserve"> t</w:t>
            </w:r>
            <w:r w:rsidRPr="00604C9B">
              <w:rPr>
                <w:rFonts w:cs="Times New Roman"/>
                <w:b/>
                <w:bCs/>
                <w:sz w:val="20"/>
              </w:rPr>
              <w:t>hemes</w:t>
            </w:r>
          </w:p>
        </w:tc>
        <w:tc>
          <w:tcPr>
            <w:tcW w:w="5954" w:type="dxa"/>
            <w:vAlign w:val="center"/>
          </w:tcPr>
          <w:p w:rsidR="005A79E1" w:rsidRPr="00604C9B" w:rsidRDefault="005A79E1" w:rsidP="00E04E73">
            <w:pPr>
              <w:autoSpaceDE w:val="0"/>
              <w:autoSpaceDN w:val="0"/>
              <w:adjustRightInd w:val="0"/>
              <w:jc w:val="center"/>
              <w:rPr>
                <w:rFonts w:cs="Times New Roman"/>
                <w:b/>
                <w:bCs/>
                <w:sz w:val="20"/>
              </w:rPr>
            </w:pPr>
            <w:r w:rsidRPr="00604C9B">
              <w:rPr>
                <w:rFonts w:cs="Times New Roman"/>
                <w:b/>
                <w:bCs/>
                <w:sz w:val="20"/>
              </w:rPr>
              <w:t>72 OCGI Items</w:t>
            </w:r>
          </w:p>
        </w:tc>
        <w:tc>
          <w:tcPr>
            <w:tcW w:w="1080" w:type="dxa"/>
          </w:tcPr>
          <w:p w:rsidR="005A79E1" w:rsidRPr="00604C9B" w:rsidRDefault="005A79E1" w:rsidP="00E04E73">
            <w:pPr>
              <w:autoSpaceDE w:val="0"/>
              <w:autoSpaceDN w:val="0"/>
              <w:adjustRightInd w:val="0"/>
              <w:rPr>
                <w:rFonts w:cs="Times New Roman"/>
                <w:b/>
                <w:bCs/>
                <w:sz w:val="20"/>
              </w:rPr>
            </w:pPr>
          </w:p>
        </w:tc>
        <w:tc>
          <w:tcPr>
            <w:tcW w:w="1286" w:type="dxa"/>
            <w:gridSpan w:val="2"/>
          </w:tcPr>
          <w:p w:rsidR="005A79E1" w:rsidRPr="00604C9B" w:rsidRDefault="005A79E1" w:rsidP="00E04E73">
            <w:pPr>
              <w:autoSpaceDE w:val="0"/>
              <w:autoSpaceDN w:val="0"/>
              <w:adjustRightInd w:val="0"/>
              <w:jc w:val="center"/>
              <w:rPr>
                <w:rFonts w:cs="Times New Roman"/>
                <w:b/>
                <w:bCs/>
                <w:sz w:val="20"/>
              </w:rPr>
            </w:pPr>
            <w:r w:rsidRPr="00604C9B">
              <w:rPr>
                <w:rFonts w:cs="Times New Roman"/>
                <w:b/>
                <w:bCs/>
                <w:sz w:val="20"/>
              </w:rPr>
              <w:t>72</w:t>
            </w:r>
          </w:p>
        </w:tc>
      </w:tr>
    </w:tbl>
    <w:p w:rsidR="00D37135" w:rsidRPr="004B26A1" w:rsidRDefault="00D37135" w:rsidP="00D37135">
      <w:pPr>
        <w:pStyle w:val="Heading1"/>
        <w:numPr>
          <w:ilvl w:val="0"/>
          <w:numId w:val="0"/>
        </w:numPr>
        <w:ind w:left="142"/>
        <w:rPr>
          <w:sz w:val="24"/>
          <w:szCs w:val="24"/>
        </w:rPr>
      </w:pPr>
    </w:p>
    <w:p w:rsidR="006D6930" w:rsidRDefault="006D6930" w:rsidP="00D37135">
      <w:pPr>
        <w:pStyle w:val="BodyText"/>
      </w:pPr>
    </w:p>
    <w:tbl>
      <w:tblPr>
        <w:tblStyle w:val="TableGrid"/>
        <w:tblpPr w:leftFromText="180" w:rightFromText="180" w:vertAnchor="text" w:horzAnchor="margin" w:tblpY="661"/>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67"/>
        <w:gridCol w:w="1134"/>
        <w:gridCol w:w="1276"/>
      </w:tblGrid>
      <w:tr w:rsidR="00EF1D3F" w:rsidRPr="00C15F52" w:rsidTr="00E002FE">
        <w:trPr>
          <w:trHeight w:val="190"/>
        </w:trPr>
        <w:tc>
          <w:tcPr>
            <w:tcW w:w="8330" w:type="dxa"/>
            <w:gridSpan w:val="4"/>
            <w:tcBorders>
              <w:bottom w:val="single" w:sz="2" w:space="0" w:color="auto"/>
            </w:tcBorders>
          </w:tcPr>
          <w:p w:rsidR="008551FA" w:rsidRDefault="008551FA" w:rsidP="00E002FE">
            <w:pPr>
              <w:rPr>
                <w:rFonts w:cs="Times New Roman"/>
                <w:b/>
                <w:bCs/>
                <w:sz w:val="20"/>
              </w:rPr>
            </w:pPr>
            <w:r>
              <w:rPr>
                <w:rFonts w:cs="Times New Roman"/>
                <w:b/>
                <w:bCs/>
                <w:sz w:val="20"/>
              </w:rPr>
              <w:t>Table 1</w:t>
            </w:r>
          </w:p>
          <w:p w:rsidR="00EF1D3F" w:rsidRPr="00A65E2B" w:rsidRDefault="008551FA" w:rsidP="00E002FE">
            <w:pPr>
              <w:rPr>
                <w:rFonts w:cs="Times New Roman"/>
                <w:sz w:val="20"/>
              </w:rPr>
            </w:pPr>
            <w:r>
              <w:rPr>
                <w:rFonts w:cs="Times New Roman"/>
                <w:b/>
                <w:bCs/>
                <w:sz w:val="20"/>
              </w:rPr>
              <w:t>Summary of the sample selection p</w:t>
            </w:r>
            <w:r w:rsidR="00EF1D3F" w:rsidRPr="00536B4C">
              <w:rPr>
                <w:rFonts w:cs="Times New Roman"/>
                <w:b/>
                <w:bCs/>
                <w:sz w:val="20"/>
              </w:rPr>
              <w:t>rocedure</w:t>
            </w:r>
          </w:p>
        </w:tc>
      </w:tr>
      <w:tr w:rsidR="00EF1D3F" w:rsidRPr="00C15F52" w:rsidTr="00E002FE">
        <w:tc>
          <w:tcPr>
            <w:tcW w:w="5353" w:type="dxa"/>
            <w:tcBorders>
              <w:bottom w:val="single" w:sz="12" w:space="0" w:color="auto"/>
            </w:tcBorders>
          </w:tcPr>
          <w:p w:rsidR="00EF1D3F" w:rsidRPr="00C15F52" w:rsidRDefault="00EF1D3F" w:rsidP="00E002FE">
            <w:pPr>
              <w:rPr>
                <w:rFonts w:cs="Times New Roman"/>
                <w:i/>
                <w:iCs/>
                <w:sz w:val="20"/>
              </w:rPr>
            </w:pPr>
            <w:r w:rsidRPr="00C90C4E">
              <w:rPr>
                <w:rFonts w:cs="Times New Roman"/>
                <w:i/>
                <w:iCs/>
                <w:sz w:val="20"/>
              </w:rPr>
              <w:t>Panel A: Industrial composition of firms listed on the MSM available to be sampled as at31/12/2011</w:t>
            </w:r>
          </w:p>
        </w:tc>
        <w:tc>
          <w:tcPr>
            <w:tcW w:w="567" w:type="dxa"/>
            <w:tcBorders>
              <w:top w:val="single" w:sz="2" w:space="0" w:color="auto"/>
              <w:bottom w:val="single" w:sz="12" w:space="0" w:color="auto"/>
            </w:tcBorders>
          </w:tcPr>
          <w:p w:rsidR="00EF1D3F" w:rsidRPr="00C15F52" w:rsidRDefault="00EF1D3F" w:rsidP="00E002FE">
            <w:pPr>
              <w:rPr>
                <w:rFonts w:cs="Times New Roman"/>
                <w:sz w:val="20"/>
              </w:rPr>
            </w:pPr>
          </w:p>
        </w:tc>
        <w:tc>
          <w:tcPr>
            <w:tcW w:w="1134" w:type="dxa"/>
            <w:tcBorders>
              <w:top w:val="single" w:sz="2" w:space="0" w:color="auto"/>
              <w:bottom w:val="single" w:sz="12" w:space="0" w:color="auto"/>
            </w:tcBorders>
          </w:tcPr>
          <w:p w:rsidR="00EF1D3F" w:rsidRPr="00C15F52" w:rsidRDefault="00EF1D3F" w:rsidP="00E002FE">
            <w:pPr>
              <w:rPr>
                <w:rFonts w:cs="Times New Roman"/>
                <w:sz w:val="20"/>
              </w:rPr>
            </w:pPr>
            <w:r w:rsidRPr="00C90C4E">
              <w:rPr>
                <w:rFonts w:cs="Times New Roman"/>
                <w:sz w:val="20"/>
              </w:rPr>
              <w:t>No. of firms</w:t>
            </w:r>
          </w:p>
        </w:tc>
        <w:tc>
          <w:tcPr>
            <w:tcW w:w="1276" w:type="dxa"/>
            <w:tcBorders>
              <w:top w:val="single" w:sz="2" w:space="0" w:color="auto"/>
              <w:bottom w:val="single" w:sz="12" w:space="0" w:color="auto"/>
            </w:tcBorders>
          </w:tcPr>
          <w:p w:rsidR="00EF1D3F" w:rsidRPr="00C15F52" w:rsidRDefault="00EF1D3F" w:rsidP="00E002FE">
            <w:pPr>
              <w:rPr>
                <w:rFonts w:cs="Times New Roman"/>
                <w:sz w:val="20"/>
              </w:rPr>
            </w:pPr>
            <w:r w:rsidRPr="00C90C4E">
              <w:rPr>
                <w:rFonts w:cs="Times New Roman"/>
                <w:sz w:val="20"/>
              </w:rPr>
              <w:t>Percentage of firms</w:t>
            </w:r>
          </w:p>
        </w:tc>
      </w:tr>
      <w:tr w:rsidR="00EF1D3F" w:rsidRPr="00C15F52" w:rsidTr="00E002FE">
        <w:tc>
          <w:tcPr>
            <w:tcW w:w="5353" w:type="dxa"/>
            <w:tcBorders>
              <w:top w:val="single" w:sz="12" w:space="0" w:color="auto"/>
            </w:tcBorders>
          </w:tcPr>
          <w:p w:rsidR="00EF1D3F" w:rsidRPr="00C15F52" w:rsidRDefault="00EF1D3F" w:rsidP="00E002FE">
            <w:pPr>
              <w:rPr>
                <w:rFonts w:cs="Times New Roman"/>
                <w:sz w:val="20"/>
              </w:rPr>
            </w:pPr>
            <w:r w:rsidRPr="00C90C4E">
              <w:rPr>
                <w:rFonts w:cs="Times New Roman"/>
                <w:sz w:val="20"/>
              </w:rPr>
              <w:t xml:space="preserve"> Basic materials</w:t>
            </w:r>
          </w:p>
        </w:tc>
        <w:tc>
          <w:tcPr>
            <w:tcW w:w="567" w:type="dxa"/>
            <w:tcBorders>
              <w:top w:val="single" w:sz="12" w:space="0" w:color="auto"/>
            </w:tcBorders>
          </w:tcPr>
          <w:p w:rsidR="00EF1D3F" w:rsidRPr="00C15F52" w:rsidRDefault="00EF1D3F" w:rsidP="00E002FE">
            <w:pPr>
              <w:rPr>
                <w:rFonts w:cs="Times New Roman"/>
                <w:sz w:val="20"/>
              </w:rPr>
            </w:pPr>
          </w:p>
        </w:tc>
        <w:tc>
          <w:tcPr>
            <w:tcW w:w="1134" w:type="dxa"/>
            <w:tcBorders>
              <w:top w:val="single" w:sz="12" w:space="0" w:color="auto"/>
            </w:tcBorders>
          </w:tcPr>
          <w:p w:rsidR="00EF1D3F" w:rsidRPr="00C15F52" w:rsidRDefault="00EF1D3F" w:rsidP="00E002FE">
            <w:pPr>
              <w:rPr>
                <w:rFonts w:cs="Times New Roman"/>
                <w:sz w:val="20"/>
              </w:rPr>
            </w:pPr>
            <w:r w:rsidRPr="00C90C4E">
              <w:rPr>
                <w:rFonts w:cs="Times New Roman"/>
                <w:sz w:val="20"/>
              </w:rPr>
              <w:t xml:space="preserve">  30</w:t>
            </w:r>
          </w:p>
        </w:tc>
        <w:tc>
          <w:tcPr>
            <w:tcW w:w="1276" w:type="dxa"/>
            <w:tcBorders>
              <w:top w:val="single" w:sz="12" w:space="0" w:color="auto"/>
            </w:tcBorders>
          </w:tcPr>
          <w:p w:rsidR="00EF1D3F" w:rsidRPr="00C15F52" w:rsidRDefault="00EF1D3F" w:rsidP="00E002FE">
            <w:pPr>
              <w:rPr>
                <w:rFonts w:cs="Times New Roman"/>
                <w:sz w:val="20"/>
              </w:rPr>
            </w:pPr>
            <w:r w:rsidRPr="00C90C4E">
              <w:rPr>
                <w:rFonts w:cs="Times New Roman"/>
                <w:sz w:val="20"/>
              </w:rPr>
              <w:t xml:space="preserve">   17.9</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Consumer goods</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rPr>
            </w:pPr>
            <w:r w:rsidRPr="00C90C4E">
              <w:rPr>
                <w:rFonts w:cs="Times New Roman"/>
                <w:sz w:val="20"/>
              </w:rPr>
              <w:t xml:space="preserve">  25</w:t>
            </w:r>
          </w:p>
        </w:tc>
        <w:tc>
          <w:tcPr>
            <w:tcW w:w="1276" w:type="dxa"/>
          </w:tcPr>
          <w:p w:rsidR="00EF1D3F" w:rsidRPr="00C15F52" w:rsidRDefault="00EF1D3F" w:rsidP="00E002FE">
            <w:pPr>
              <w:rPr>
                <w:rFonts w:cs="Times New Roman"/>
                <w:sz w:val="20"/>
              </w:rPr>
            </w:pPr>
            <w:r w:rsidRPr="00C90C4E">
              <w:rPr>
                <w:rFonts w:cs="Times New Roman"/>
                <w:sz w:val="20"/>
              </w:rPr>
              <w:t xml:space="preserve">   14.9</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Consumer services</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rPr>
            </w:pPr>
            <w:r w:rsidRPr="00C90C4E">
              <w:rPr>
                <w:rFonts w:cs="Times New Roman"/>
                <w:sz w:val="20"/>
              </w:rPr>
              <w:t xml:space="preserve">  24</w:t>
            </w:r>
          </w:p>
        </w:tc>
        <w:tc>
          <w:tcPr>
            <w:tcW w:w="1276" w:type="dxa"/>
          </w:tcPr>
          <w:p w:rsidR="00EF1D3F" w:rsidRPr="00C15F52" w:rsidRDefault="00EF1D3F" w:rsidP="00E002FE">
            <w:pPr>
              <w:rPr>
                <w:rFonts w:cs="Times New Roman"/>
                <w:sz w:val="20"/>
              </w:rPr>
            </w:pPr>
            <w:r w:rsidRPr="00C90C4E">
              <w:rPr>
                <w:rFonts w:cs="Times New Roman"/>
                <w:sz w:val="20"/>
              </w:rPr>
              <w:t xml:space="preserve">   14.3</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Financial</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rPr>
            </w:pPr>
            <w:r w:rsidRPr="00C90C4E">
              <w:rPr>
                <w:rFonts w:cs="Times New Roman"/>
                <w:sz w:val="20"/>
              </w:rPr>
              <w:t xml:space="preserve">  53</w:t>
            </w:r>
          </w:p>
        </w:tc>
        <w:tc>
          <w:tcPr>
            <w:tcW w:w="1276" w:type="dxa"/>
          </w:tcPr>
          <w:p w:rsidR="00EF1D3F" w:rsidRPr="00C15F52" w:rsidRDefault="00EF1D3F" w:rsidP="00E002FE">
            <w:pPr>
              <w:rPr>
                <w:rFonts w:cs="Times New Roman"/>
                <w:sz w:val="20"/>
              </w:rPr>
            </w:pPr>
            <w:r w:rsidRPr="00C90C4E">
              <w:rPr>
                <w:rFonts w:cs="Times New Roman"/>
                <w:sz w:val="20"/>
              </w:rPr>
              <w:t xml:space="preserve">   31.5</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Industrial</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rPr>
            </w:pPr>
            <w:r w:rsidRPr="00C90C4E">
              <w:rPr>
                <w:rFonts w:cs="Times New Roman"/>
                <w:sz w:val="20"/>
              </w:rPr>
              <w:t xml:space="preserve">  26</w:t>
            </w:r>
          </w:p>
        </w:tc>
        <w:tc>
          <w:tcPr>
            <w:tcW w:w="1276" w:type="dxa"/>
          </w:tcPr>
          <w:p w:rsidR="00EF1D3F" w:rsidRPr="00C15F52" w:rsidRDefault="00EF1D3F" w:rsidP="00E002FE">
            <w:pPr>
              <w:rPr>
                <w:rFonts w:cs="Times New Roman"/>
                <w:sz w:val="20"/>
              </w:rPr>
            </w:pPr>
            <w:r w:rsidRPr="00C90C4E">
              <w:rPr>
                <w:rFonts w:cs="Times New Roman"/>
                <w:sz w:val="20"/>
              </w:rPr>
              <w:t xml:space="preserve">   15.5</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Utilities</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rPr>
            </w:pPr>
            <w:r w:rsidRPr="00C90C4E">
              <w:rPr>
                <w:rFonts w:cs="Times New Roman"/>
                <w:sz w:val="20"/>
              </w:rPr>
              <w:t xml:space="preserve">    5</w:t>
            </w:r>
          </w:p>
        </w:tc>
        <w:tc>
          <w:tcPr>
            <w:tcW w:w="1276" w:type="dxa"/>
          </w:tcPr>
          <w:p w:rsidR="00EF1D3F" w:rsidRPr="00C15F52" w:rsidRDefault="00EF1D3F" w:rsidP="00E002FE">
            <w:pPr>
              <w:rPr>
                <w:rFonts w:cs="Times New Roman"/>
                <w:sz w:val="20"/>
              </w:rPr>
            </w:pPr>
            <w:r w:rsidRPr="00C90C4E">
              <w:rPr>
                <w:rFonts w:cs="Times New Roman"/>
                <w:sz w:val="20"/>
              </w:rPr>
              <w:t xml:space="preserve">     2.9</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Health care</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rPr>
            </w:pPr>
            <w:r w:rsidRPr="00C90C4E">
              <w:rPr>
                <w:rFonts w:cs="Times New Roman"/>
                <w:sz w:val="20"/>
              </w:rPr>
              <w:t xml:space="preserve">    2</w:t>
            </w:r>
          </w:p>
        </w:tc>
        <w:tc>
          <w:tcPr>
            <w:tcW w:w="1276" w:type="dxa"/>
          </w:tcPr>
          <w:p w:rsidR="00EF1D3F" w:rsidRPr="00C15F52" w:rsidRDefault="00EF1D3F" w:rsidP="00E002FE">
            <w:pPr>
              <w:rPr>
                <w:rFonts w:cs="Times New Roman"/>
                <w:sz w:val="20"/>
              </w:rPr>
            </w:pPr>
            <w:r w:rsidRPr="00C90C4E">
              <w:rPr>
                <w:rFonts w:cs="Times New Roman"/>
                <w:sz w:val="20"/>
              </w:rPr>
              <w:t xml:space="preserve">     1.2</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Telecommunications</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rPr>
            </w:pPr>
            <w:r w:rsidRPr="00C90C4E">
              <w:rPr>
                <w:rFonts w:cs="Times New Roman"/>
                <w:sz w:val="20"/>
              </w:rPr>
              <w:t xml:space="preserve">    2</w:t>
            </w:r>
          </w:p>
        </w:tc>
        <w:tc>
          <w:tcPr>
            <w:tcW w:w="1276" w:type="dxa"/>
          </w:tcPr>
          <w:p w:rsidR="00EF1D3F" w:rsidRPr="00C15F52" w:rsidRDefault="00EF1D3F" w:rsidP="00E002FE">
            <w:pPr>
              <w:rPr>
                <w:rFonts w:cs="Times New Roman"/>
                <w:sz w:val="20"/>
              </w:rPr>
            </w:pPr>
            <w:r w:rsidRPr="00C90C4E">
              <w:rPr>
                <w:rFonts w:cs="Times New Roman"/>
                <w:sz w:val="20"/>
              </w:rPr>
              <w:t xml:space="preserve">     1.2</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Oil &amp; Gas</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rPr>
            </w:pPr>
            <w:r w:rsidRPr="00C90C4E">
              <w:rPr>
                <w:rFonts w:cs="Times New Roman"/>
                <w:sz w:val="20"/>
              </w:rPr>
              <w:t xml:space="preserve">    1</w:t>
            </w:r>
          </w:p>
        </w:tc>
        <w:tc>
          <w:tcPr>
            <w:tcW w:w="1276" w:type="dxa"/>
          </w:tcPr>
          <w:p w:rsidR="00EF1D3F" w:rsidRPr="00C15F52" w:rsidRDefault="00EF1D3F" w:rsidP="00E002FE">
            <w:pPr>
              <w:rPr>
                <w:rFonts w:cs="Times New Roman"/>
                <w:sz w:val="20"/>
              </w:rPr>
            </w:pPr>
            <w:r w:rsidRPr="00C90C4E">
              <w:rPr>
                <w:rFonts w:cs="Times New Roman"/>
                <w:sz w:val="20"/>
              </w:rPr>
              <w:t xml:space="preserve">     0.6</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Total firms </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rPr>
            </w:pPr>
            <w:r w:rsidRPr="00C90C4E">
              <w:rPr>
                <w:rFonts w:cs="Times New Roman"/>
                <w:sz w:val="20"/>
              </w:rPr>
              <w:t>168</w:t>
            </w:r>
          </w:p>
        </w:tc>
        <w:tc>
          <w:tcPr>
            <w:tcW w:w="1276" w:type="dxa"/>
          </w:tcPr>
          <w:p w:rsidR="00EF1D3F" w:rsidRPr="00C15F52" w:rsidRDefault="00EF1D3F" w:rsidP="00E002FE">
            <w:pPr>
              <w:rPr>
                <w:rFonts w:cs="Times New Roman"/>
                <w:sz w:val="20"/>
              </w:rPr>
            </w:pPr>
            <w:r w:rsidRPr="00C90C4E">
              <w:rPr>
                <w:rFonts w:cs="Times New Roman"/>
                <w:sz w:val="20"/>
              </w:rPr>
              <w:t xml:space="preserve"> 100.0</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Less: Firms with no data available</w:t>
            </w:r>
          </w:p>
        </w:tc>
        <w:tc>
          <w:tcPr>
            <w:tcW w:w="567" w:type="dxa"/>
          </w:tcPr>
          <w:p w:rsidR="00EF1D3F" w:rsidRPr="00C15F52" w:rsidRDefault="00EF1D3F" w:rsidP="00E002FE">
            <w:pPr>
              <w:rPr>
                <w:rFonts w:cs="Times New Roman"/>
                <w:sz w:val="20"/>
              </w:rPr>
            </w:pPr>
            <w:r w:rsidRPr="00C90C4E">
              <w:rPr>
                <w:rFonts w:cs="Times New Roman"/>
                <w:sz w:val="20"/>
              </w:rPr>
              <w:t>48</w:t>
            </w:r>
          </w:p>
        </w:tc>
        <w:tc>
          <w:tcPr>
            <w:tcW w:w="1134" w:type="dxa"/>
          </w:tcPr>
          <w:p w:rsidR="00EF1D3F" w:rsidRPr="00C15F52" w:rsidRDefault="00EF1D3F" w:rsidP="00E002FE">
            <w:pPr>
              <w:rPr>
                <w:rFonts w:cs="Times New Roman"/>
                <w:sz w:val="20"/>
              </w:rPr>
            </w:pPr>
          </w:p>
        </w:tc>
        <w:tc>
          <w:tcPr>
            <w:tcW w:w="1276" w:type="dxa"/>
          </w:tcPr>
          <w:p w:rsidR="00EF1D3F" w:rsidRPr="00C15F52" w:rsidRDefault="00EF1D3F" w:rsidP="00E002FE">
            <w:pPr>
              <w:rPr>
                <w:rFonts w:cs="Times New Roman"/>
                <w:sz w:val="20"/>
              </w:rPr>
            </w:pP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Firms with missing data</w:t>
            </w:r>
          </w:p>
        </w:tc>
        <w:tc>
          <w:tcPr>
            <w:tcW w:w="567" w:type="dxa"/>
          </w:tcPr>
          <w:p w:rsidR="00EF1D3F" w:rsidRPr="00C15F52" w:rsidRDefault="00EF1D3F" w:rsidP="00E002FE">
            <w:pPr>
              <w:rPr>
                <w:rFonts w:cs="Times New Roman"/>
                <w:sz w:val="20"/>
              </w:rPr>
            </w:pPr>
            <w:r w:rsidRPr="00C90C4E">
              <w:rPr>
                <w:rFonts w:cs="Times New Roman"/>
                <w:sz w:val="20"/>
              </w:rPr>
              <w:t xml:space="preserve">  4</w:t>
            </w:r>
          </w:p>
        </w:tc>
        <w:tc>
          <w:tcPr>
            <w:tcW w:w="1134" w:type="dxa"/>
          </w:tcPr>
          <w:p w:rsidR="00EF1D3F" w:rsidRPr="00C15F52" w:rsidRDefault="00EF1D3F" w:rsidP="00E002FE">
            <w:pPr>
              <w:rPr>
                <w:rFonts w:cs="Times New Roman"/>
                <w:sz w:val="20"/>
              </w:rPr>
            </w:pPr>
          </w:p>
        </w:tc>
        <w:tc>
          <w:tcPr>
            <w:tcW w:w="1276" w:type="dxa"/>
          </w:tcPr>
          <w:p w:rsidR="00EF1D3F" w:rsidRPr="00C15F52" w:rsidRDefault="00EF1D3F" w:rsidP="00E002FE">
            <w:pPr>
              <w:rPr>
                <w:rFonts w:cs="Times New Roman"/>
                <w:sz w:val="20"/>
              </w:rPr>
            </w:pP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Total excluded firms</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u w:val="single"/>
              </w:rPr>
            </w:pPr>
            <w:r w:rsidRPr="00C90C4E">
              <w:rPr>
                <w:rFonts w:cs="Times New Roman"/>
                <w:sz w:val="20"/>
                <w:u w:val="single"/>
              </w:rPr>
              <w:t xml:space="preserve">  52</w:t>
            </w:r>
          </w:p>
        </w:tc>
        <w:tc>
          <w:tcPr>
            <w:tcW w:w="1276" w:type="dxa"/>
          </w:tcPr>
          <w:p w:rsidR="00EF1D3F" w:rsidRPr="00C15F52" w:rsidRDefault="00EF1D3F" w:rsidP="00E002FE">
            <w:pPr>
              <w:rPr>
                <w:rFonts w:cs="Times New Roman"/>
                <w:sz w:val="20"/>
                <w:u w:val="single"/>
              </w:rPr>
            </w:pPr>
            <w:r w:rsidRPr="00C90C4E">
              <w:rPr>
                <w:rFonts w:cs="Times New Roman"/>
                <w:sz w:val="20"/>
              </w:rPr>
              <w:t xml:space="preserve">  </w:t>
            </w:r>
            <w:r w:rsidRPr="00C90C4E">
              <w:rPr>
                <w:rFonts w:cs="Times New Roman"/>
                <w:sz w:val="20"/>
                <w:u w:val="single"/>
              </w:rPr>
              <w:t>27.9</w:t>
            </w:r>
          </w:p>
        </w:tc>
      </w:tr>
      <w:tr w:rsidR="00EF1D3F" w:rsidRPr="00C15F52" w:rsidTr="00E002FE">
        <w:tc>
          <w:tcPr>
            <w:tcW w:w="5353" w:type="dxa"/>
            <w:tcBorders>
              <w:bottom w:val="single" w:sz="2" w:space="0" w:color="auto"/>
            </w:tcBorders>
          </w:tcPr>
          <w:p w:rsidR="00EF1D3F" w:rsidRPr="00C15F52" w:rsidRDefault="00EF1D3F" w:rsidP="00E002FE">
            <w:pPr>
              <w:rPr>
                <w:rFonts w:cs="Times New Roman"/>
                <w:sz w:val="20"/>
              </w:rPr>
            </w:pPr>
            <w:r w:rsidRPr="00C90C4E">
              <w:rPr>
                <w:rFonts w:cs="Times New Roman"/>
                <w:sz w:val="20"/>
              </w:rPr>
              <w:t>Total  sampled firms with full data</w:t>
            </w:r>
          </w:p>
        </w:tc>
        <w:tc>
          <w:tcPr>
            <w:tcW w:w="567" w:type="dxa"/>
            <w:tcBorders>
              <w:bottom w:val="single" w:sz="2" w:space="0" w:color="auto"/>
            </w:tcBorders>
          </w:tcPr>
          <w:p w:rsidR="00EF1D3F" w:rsidRPr="00C15F52" w:rsidRDefault="00EF1D3F" w:rsidP="00E002FE">
            <w:pPr>
              <w:rPr>
                <w:rFonts w:cs="Times New Roman"/>
                <w:sz w:val="20"/>
              </w:rPr>
            </w:pPr>
          </w:p>
        </w:tc>
        <w:tc>
          <w:tcPr>
            <w:tcW w:w="1134" w:type="dxa"/>
            <w:tcBorders>
              <w:bottom w:val="single" w:sz="2" w:space="0" w:color="auto"/>
            </w:tcBorders>
          </w:tcPr>
          <w:p w:rsidR="00EF1D3F" w:rsidRPr="00C15F52" w:rsidRDefault="00EF1D3F" w:rsidP="00E002FE">
            <w:pPr>
              <w:rPr>
                <w:rFonts w:cs="Times New Roman"/>
                <w:sz w:val="20"/>
              </w:rPr>
            </w:pPr>
            <w:r w:rsidRPr="00C90C4E">
              <w:rPr>
                <w:rFonts w:cs="Times New Roman"/>
                <w:sz w:val="20"/>
              </w:rPr>
              <w:t>116</w:t>
            </w:r>
          </w:p>
        </w:tc>
        <w:tc>
          <w:tcPr>
            <w:tcW w:w="1276" w:type="dxa"/>
            <w:tcBorders>
              <w:bottom w:val="single" w:sz="2" w:space="0" w:color="auto"/>
            </w:tcBorders>
          </w:tcPr>
          <w:p w:rsidR="00EF1D3F" w:rsidRPr="00C15F52" w:rsidRDefault="00EF1D3F" w:rsidP="00E002FE">
            <w:pPr>
              <w:rPr>
                <w:rFonts w:cs="Times New Roman"/>
                <w:sz w:val="20"/>
              </w:rPr>
            </w:pPr>
            <w:r w:rsidRPr="00C90C4E">
              <w:rPr>
                <w:rFonts w:cs="Times New Roman"/>
                <w:sz w:val="20"/>
              </w:rPr>
              <w:t xml:space="preserve">  69.0</w:t>
            </w:r>
          </w:p>
        </w:tc>
      </w:tr>
      <w:tr w:rsidR="00EF1D3F" w:rsidRPr="00C15F52" w:rsidTr="00E002FE">
        <w:tc>
          <w:tcPr>
            <w:tcW w:w="5353" w:type="dxa"/>
            <w:tcBorders>
              <w:top w:val="single" w:sz="2" w:space="0" w:color="auto"/>
              <w:bottom w:val="single" w:sz="12" w:space="0" w:color="auto"/>
            </w:tcBorders>
          </w:tcPr>
          <w:p w:rsidR="00EF1D3F" w:rsidRPr="00C15F52" w:rsidRDefault="00EF1D3F" w:rsidP="00E002FE">
            <w:pPr>
              <w:rPr>
                <w:rFonts w:cs="Times New Roman"/>
                <w:sz w:val="20"/>
              </w:rPr>
            </w:pPr>
            <w:r w:rsidRPr="00C90C4E">
              <w:rPr>
                <w:rFonts w:cs="Times New Roman"/>
                <w:i/>
                <w:iCs/>
                <w:sz w:val="20"/>
              </w:rPr>
              <w:t>Panel B: Industrial composition of sampled  firms with full data</w:t>
            </w:r>
          </w:p>
        </w:tc>
        <w:tc>
          <w:tcPr>
            <w:tcW w:w="567" w:type="dxa"/>
            <w:tcBorders>
              <w:top w:val="single" w:sz="2" w:space="0" w:color="auto"/>
              <w:bottom w:val="single" w:sz="12" w:space="0" w:color="auto"/>
            </w:tcBorders>
          </w:tcPr>
          <w:p w:rsidR="00EF1D3F" w:rsidRPr="00C15F52" w:rsidRDefault="00EF1D3F" w:rsidP="00E002FE">
            <w:pPr>
              <w:rPr>
                <w:rFonts w:cs="Times New Roman"/>
                <w:sz w:val="20"/>
              </w:rPr>
            </w:pPr>
          </w:p>
        </w:tc>
        <w:tc>
          <w:tcPr>
            <w:tcW w:w="1134" w:type="dxa"/>
            <w:tcBorders>
              <w:top w:val="single" w:sz="2" w:space="0" w:color="auto"/>
              <w:bottom w:val="single" w:sz="12" w:space="0" w:color="auto"/>
            </w:tcBorders>
          </w:tcPr>
          <w:p w:rsidR="00EF1D3F" w:rsidRPr="00C15F52" w:rsidRDefault="00EF1D3F" w:rsidP="00E002FE">
            <w:pPr>
              <w:rPr>
                <w:rFonts w:cs="Times New Roman"/>
                <w:sz w:val="20"/>
              </w:rPr>
            </w:pPr>
          </w:p>
        </w:tc>
        <w:tc>
          <w:tcPr>
            <w:tcW w:w="1276" w:type="dxa"/>
            <w:tcBorders>
              <w:top w:val="single" w:sz="2" w:space="0" w:color="auto"/>
              <w:bottom w:val="single" w:sz="12" w:space="0" w:color="auto"/>
            </w:tcBorders>
          </w:tcPr>
          <w:p w:rsidR="00EF1D3F" w:rsidRPr="00C15F52" w:rsidRDefault="00EF1D3F" w:rsidP="00E002FE">
            <w:pPr>
              <w:rPr>
                <w:rFonts w:cs="Times New Roman"/>
                <w:sz w:val="20"/>
              </w:rPr>
            </w:pPr>
          </w:p>
        </w:tc>
      </w:tr>
      <w:tr w:rsidR="00EF1D3F" w:rsidRPr="00C15F52" w:rsidTr="00E002FE">
        <w:tc>
          <w:tcPr>
            <w:tcW w:w="5353" w:type="dxa"/>
            <w:tcBorders>
              <w:top w:val="single" w:sz="12" w:space="0" w:color="auto"/>
            </w:tcBorders>
          </w:tcPr>
          <w:p w:rsidR="00EF1D3F" w:rsidRPr="00C15F52" w:rsidRDefault="00EF1D3F" w:rsidP="00E002FE">
            <w:pPr>
              <w:rPr>
                <w:rFonts w:cs="Times New Roman"/>
                <w:sz w:val="20"/>
              </w:rPr>
            </w:pPr>
            <w:r w:rsidRPr="00C90C4E">
              <w:rPr>
                <w:rFonts w:cs="Times New Roman"/>
                <w:sz w:val="20"/>
              </w:rPr>
              <w:t xml:space="preserve"> Basic materials</w:t>
            </w:r>
          </w:p>
        </w:tc>
        <w:tc>
          <w:tcPr>
            <w:tcW w:w="567" w:type="dxa"/>
            <w:tcBorders>
              <w:top w:val="single" w:sz="12" w:space="0" w:color="auto"/>
            </w:tcBorders>
          </w:tcPr>
          <w:p w:rsidR="00EF1D3F" w:rsidRPr="00C15F52" w:rsidRDefault="00EF1D3F" w:rsidP="00E002FE">
            <w:pPr>
              <w:rPr>
                <w:rFonts w:cs="Times New Roman"/>
                <w:sz w:val="20"/>
              </w:rPr>
            </w:pPr>
          </w:p>
        </w:tc>
        <w:tc>
          <w:tcPr>
            <w:tcW w:w="1134" w:type="dxa"/>
            <w:tcBorders>
              <w:top w:val="single" w:sz="12" w:space="0" w:color="auto"/>
            </w:tcBorders>
          </w:tcPr>
          <w:p w:rsidR="00EF1D3F" w:rsidRPr="00C15F52" w:rsidRDefault="00EF1D3F" w:rsidP="00E002FE">
            <w:pPr>
              <w:rPr>
                <w:rFonts w:cs="Times New Roman"/>
                <w:sz w:val="20"/>
              </w:rPr>
            </w:pPr>
            <w:r w:rsidRPr="00C90C4E">
              <w:rPr>
                <w:rFonts w:cs="Times New Roman"/>
                <w:sz w:val="20"/>
              </w:rPr>
              <w:t xml:space="preserve">  22</w:t>
            </w:r>
          </w:p>
        </w:tc>
        <w:tc>
          <w:tcPr>
            <w:tcW w:w="1276" w:type="dxa"/>
            <w:tcBorders>
              <w:top w:val="single" w:sz="12" w:space="0" w:color="auto"/>
            </w:tcBorders>
          </w:tcPr>
          <w:p w:rsidR="00EF1D3F" w:rsidRPr="00C15F52" w:rsidRDefault="00EF1D3F" w:rsidP="00E002FE">
            <w:pPr>
              <w:rPr>
                <w:rFonts w:cs="Times New Roman"/>
                <w:sz w:val="20"/>
              </w:rPr>
            </w:pPr>
            <w:r w:rsidRPr="00C90C4E">
              <w:rPr>
                <w:rFonts w:cs="Times New Roman"/>
                <w:sz w:val="20"/>
              </w:rPr>
              <w:t xml:space="preserve">  19.0</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Consumer goods</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rPr>
            </w:pPr>
            <w:r w:rsidRPr="00C90C4E">
              <w:rPr>
                <w:rFonts w:cs="Times New Roman"/>
                <w:sz w:val="20"/>
              </w:rPr>
              <w:t xml:space="preserve">  21</w:t>
            </w:r>
          </w:p>
        </w:tc>
        <w:tc>
          <w:tcPr>
            <w:tcW w:w="1276" w:type="dxa"/>
          </w:tcPr>
          <w:p w:rsidR="00EF1D3F" w:rsidRPr="00C15F52" w:rsidRDefault="00EF1D3F" w:rsidP="00E002FE">
            <w:pPr>
              <w:rPr>
                <w:rFonts w:cs="Times New Roman"/>
                <w:sz w:val="20"/>
              </w:rPr>
            </w:pPr>
            <w:r w:rsidRPr="00C90C4E">
              <w:rPr>
                <w:rFonts w:cs="Times New Roman"/>
                <w:sz w:val="20"/>
              </w:rPr>
              <w:t xml:space="preserve">  18.1</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Consumer services</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rPr>
            </w:pPr>
            <w:r w:rsidRPr="00C90C4E">
              <w:rPr>
                <w:rFonts w:cs="Times New Roman"/>
                <w:sz w:val="20"/>
              </w:rPr>
              <w:t xml:space="preserve">  21</w:t>
            </w:r>
          </w:p>
        </w:tc>
        <w:tc>
          <w:tcPr>
            <w:tcW w:w="1276" w:type="dxa"/>
          </w:tcPr>
          <w:p w:rsidR="00EF1D3F" w:rsidRPr="00C15F52" w:rsidRDefault="00EF1D3F" w:rsidP="00E002FE">
            <w:pPr>
              <w:rPr>
                <w:rFonts w:cs="Times New Roman"/>
                <w:sz w:val="20"/>
              </w:rPr>
            </w:pPr>
            <w:r w:rsidRPr="00C90C4E">
              <w:rPr>
                <w:rFonts w:cs="Times New Roman"/>
                <w:sz w:val="20"/>
              </w:rPr>
              <w:t xml:space="preserve">  18.1</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Financial</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rPr>
            </w:pPr>
            <w:r w:rsidRPr="00C90C4E">
              <w:rPr>
                <w:rFonts w:cs="Times New Roman"/>
                <w:sz w:val="20"/>
              </w:rPr>
              <w:t xml:space="preserve">  29</w:t>
            </w:r>
          </w:p>
        </w:tc>
        <w:tc>
          <w:tcPr>
            <w:tcW w:w="1276" w:type="dxa"/>
          </w:tcPr>
          <w:p w:rsidR="00EF1D3F" w:rsidRPr="00C15F52" w:rsidRDefault="00EF1D3F" w:rsidP="00E002FE">
            <w:pPr>
              <w:rPr>
                <w:rFonts w:cs="Times New Roman"/>
                <w:sz w:val="20"/>
              </w:rPr>
            </w:pPr>
            <w:r w:rsidRPr="00C90C4E">
              <w:rPr>
                <w:rFonts w:cs="Times New Roman"/>
                <w:sz w:val="20"/>
              </w:rPr>
              <w:t xml:space="preserve">  25.0</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Industrial</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rPr>
            </w:pPr>
            <w:r w:rsidRPr="00C90C4E">
              <w:rPr>
                <w:rFonts w:cs="Times New Roman"/>
                <w:sz w:val="20"/>
              </w:rPr>
              <w:t xml:space="preserve">  13</w:t>
            </w:r>
          </w:p>
        </w:tc>
        <w:tc>
          <w:tcPr>
            <w:tcW w:w="1276" w:type="dxa"/>
          </w:tcPr>
          <w:p w:rsidR="00EF1D3F" w:rsidRPr="00C15F52" w:rsidRDefault="00EF1D3F" w:rsidP="00E002FE">
            <w:pPr>
              <w:rPr>
                <w:rFonts w:cs="Times New Roman"/>
                <w:sz w:val="20"/>
              </w:rPr>
            </w:pPr>
            <w:r w:rsidRPr="00C90C4E">
              <w:rPr>
                <w:rFonts w:cs="Times New Roman"/>
                <w:sz w:val="20"/>
              </w:rPr>
              <w:t xml:space="preserve">  11.2</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Utilities</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rPr>
            </w:pPr>
            <w:r w:rsidRPr="00C90C4E">
              <w:rPr>
                <w:rFonts w:cs="Times New Roman"/>
                <w:sz w:val="20"/>
              </w:rPr>
              <w:t xml:space="preserve">    5</w:t>
            </w:r>
          </w:p>
        </w:tc>
        <w:tc>
          <w:tcPr>
            <w:tcW w:w="1276" w:type="dxa"/>
          </w:tcPr>
          <w:p w:rsidR="00EF1D3F" w:rsidRPr="00C15F52" w:rsidRDefault="00EF1D3F" w:rsidP="00E002FE">
            <w:pPr>
              <w:rPr>
                <w:rFonts w:cs="Times New Roman"/>
                <w:sz w:val="20"/>
              </w:rPr>
            </w:pPr>
            <w:r w:rsidRPr="00C90C4E">
              <w:rPr>
                <w:rFonts w:cs="Times New Roman"/>
                <w:sz w:val="20"/>
              </w:rPr>
              <w:t xml:space="preserve">    4.3</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Health care</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rPr>
            </w:pPr>
            <w:r w:rsidRPr="00C90C4E">
              <w:rPr>
                <w:rFonts w:cs="Times New Roman"/>
                <w:sz w:val="20"/>
              </w:rPr>
              <w:t xml:space="preserve">    2</w:t>
            </w:r>
          </w:p>
        </w:tc>
        <w:tc>
          <w:tcPr>
            <w:tcW w:w="1276" w:type="dxa"/>
          </w:tcPr>
          <w:p w:rsidR="00EF1D3F" w:rsidRPr="00C15F52" w:rsidRDefault="00EF1D3F" w:rsidP="00E002FE">
            <w:pPr>
              <w:rPr>
                <w:rFonts w:cs="Times New Roman"/>
                <w:sz w:val="20"/>
              </w:rPr>
            </w:pPr>
            <w:r w:rsidRPr="00C90C4E">
              <w:rPr>
                <w:rFonts w:cs="Times New Roman"/>
                <w:sz w:val="20"/>
              </w:rPr>
              <w:t xml:space="preserve">    1.7</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Telecommunications</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rPr>
            </w:pPr>
            <w:r w:rsidRPr="00C90C4E">
              <w:rPr>
                <w:rFonts w:cs="Times New Roman"/>
                <w:sz w:val="20"/>
              </w:rPr>
              <w:t xml:space="preserve">    2</w:t>
            </w:r>
          </w:p>
        </w:tc>
        <w:tc>
          <w:tcPr>
            <w:tcW w:w="1276" w:type="dxa"/>
          </w:tcPr>
          <w:p w:rsidR="00EF1D3F" w:rsidRPr="00C15F52" w:rsidRDefault="00EF1D3F" w:rsidP="00E002FE">
            <w:pPr>
              <w:rPr>
                <w:rFonts w:cs="Times New Roman"/>
                <w:sz w:val="20"/>
              </w:rPr>
            </w:pPr>
            <w:r w:rsidRPr="00C90C4E">
              <w:rPr>
                <w:rFonts w:cs="Times New Roman"/>
                <w:sz w:val="20"/>
              </w:rPr>
              <w:t xml:space="preserve">    1.7</w:t>
            </w:r>
          </w:p>
        </w:tc>
      </w:tr>
      <w:tr w:rsidR="00EF1D3F" w:rsidRPr="00C15F52" w:rsidTr="00E002FE">
        <w:tc>
          <w:tcPr>
            <w:tcW w:w="5353" w:type="dxa"/>
          </w:tcPr>
          <w:p w:rsidR="00EF1D3F" w:rsidRPr="00C15F52" w:rsidRDefault="00EF1D3F" w:rsidP="00E002FE">
            <w:pPr>
              <w:rPr>
                <w:rFonts w:cs="Times New Roman"/>
                <w:sz w:val="20"/>
              </w:rPr>
            </w:pPr>
            <w:r w:rsidRPr="00C90C4E">
              <w:rPr>
                <w:rFonts w:cs="Times New Roman"/>
                <w:sz w:val="20"/>
              </w:rPr>
              <w:t xml:space="preserve"> Oil &amp; Gas</w:t>
            </w:r>
          </w:p>
        </w:tc>
        <w:tc>
          <w:tcPr>
            <w:tcW w:w="567" w:type="dxa"/>
          </w:tcPr>
          <w:p w:rsidR="00EF1D3F" w:rsidRPr="00C15F52" w:rsidRDefault="00EF1D3F" w:rsidP="00E002FE">
            <w:pPr>
              <w:rPr>
                <w:rFonts w:cs="Times New Roman"/>
                <w:sz w:val="20"/>
              </w:rPr>
            </w:pPr>
          </w:p>
        </w:tc>
        <w:tc>
          <w:tcPr>
            <w:tcW w:w="1134" w:type="dxa"/>
          </w:tcPr>
          <w:p w:rsidR="00EF1D3F" w:rsidRPr="00C15F52" w:rsidRDefault="00EF1D3F" w:rsidP="00E002FE">
            <w:pPr>
              <w:rPr>
                <w:rFonts w:cs="Times New Roman"/>
                <w:sz w:val="20"/>
              </w:rPr>
            </w:pPr>
            <w:r w:rsidRPr="00C90C4E">
              <w:rPr>
                <w:rFonts w:cs="Times New Roman"/>
                <w:sz w:val="20"/>
              </w:rPr>
              <w:t xml:space="preserve">    1</w:t>
            </w:r>
          </w:p>
        </w:tc>
        <w:tc>
          <w:tcPr>
            <w:tcW w:w="1276" w:type="dxa"/>
          </w:tcPr>
          <w:p w:rsidR="00EF1D3F" w:rsidRPr="00C15F52" w:rsidRDefault="00EF1D3F" w:rsidP="00E002FE">
            <w:pPr>
              <w:rPr>
                <w:rFonts w:cs="Times New Roman"/>
                <w:sz w:val="20"/>
              </w:rPr>
            </w:pPr>
            <w:r w:rsidRPr="00C90C4E">
              <w:rPr>
                <w:rFonts w:cs="Times New Roman"/>
                <w:sz w:val="20"/>
              </w:rPr>
              <w:t xml:space="preserve">    0.9</w:t>
            </w:r>
          </w:p>
        </w:tc>
      </w:tr>
      <w:tr w:rsidR="00EF1D3F" w:rsidRPr="00C15F52" w:rsidTr="00E002FE">
        <w:tc>
          <w:tcPr>
            <w:tcW w:w="5353" w:type="dxa"/>
            <w:tcBorders>
              <w:bottom w:val="single" w:sz="2" w:space="0" w:color="auto"/>
            </w:tcBorders>
          </w:tcPr>
          <w:p w:rsidR="00EF1D3F" w:rsidRPr="00C15F52" w:rsidRDefault="00EF1D3F" w:rsidP="00E002FE">
            <w:pPr>
              <w:rPr>
                <w:rFonts w:cs="Times New Roman"/>
                <w:sz w:val="20"/>
              </w:rPr>
            </w:pPr>
            <w:r w:rsidRPr="00C90C4E">
              <w:rPr>
                <w:rFonts w:cs="Times New Roman"/>
                <w:sz w:val="20"/>
              </w:rPr>
              <w:t>Total  sampled firms with full data</w:t>
            </w:r>
          </w:p>
        </w:tc>
        <w:tc>
          <w:tcPr>
            <w:tcW w:w="567" w:type="dxa"/>
            <w:tcBorders>
              <w:bottom w:val="single" w:sz="2" w:space="0" w:color="auto"/>
            </w:tcBorders>
          </w:tcPr>
          <w:p w:rsidR="00EF1D3F" w:rsidRPr="00C15F52" w:rsidRDefault="00EF1D3F" w:rsidP="00E002FE">
            <w:pPr>
              <w:rPr>
                <w:rFonts w:cs="Times New Roman"/>
                <w:sz w:val="20"/>
              </w:rPr>
            </w:pPr>
          </w:p>
        </w:tc>
        <w:tc>
          <w:tcPr>
            <w:tcW w:w="1134" w:type="dxa"/>
            <w:tcBorders>
              <w:bottom w:val="single" w:sz="2" w:space="0" w:color="auto"/>
            </w:tcBorders>
          </w:tcPr>
          <w:p w:rsidR="00EF1D3F" w:rsidRPr="00C15F52" w:rsidRDefault="00EF1D3F" w:rsidP="00E002FE">
            <w:pPr>
              <w:rPr>
                <w:rFonts w:cs="Times New Roman"/>
                <w:sz w:val="20"/>
              </w:rPr>
            </w:pPr>
            <w:r w:rsidRPr="00C90C4E">
              <w:rPr>
                <w:rFonts w:cs="Times New Roman"/>
                <w:sz w:val="20"/>
              </w:rPr>
              <w:t>116</w:t>
            </w:r>
          </w:p>
        </w:tc>
        <w:tc>
          <w:tcPr>
            <w:tcW w:w="1276" w:type="dxa"/>
            <w:tcBorders>
              <w:bottom w:val="single" w:sz="2" w:space="0" w:color="auto"/>
            </w:tcBorders>
          </w:tcPr>
          <w:p w:rsidR="00EF1D3F" w:rsidRPr="00C15F52" w:rsidRDefault="00EF1D3F" w:rsidP="00E002FE">
            <w:pPr>
              <w:rPr>
                <w:rFonts w:cs="Times New Roman"/>
                <w:sz w:val="20"/>
              </w:rPr>
            </w:pPr>
            <w:r w:rsidRPr="00C90C4E">
              <w:rPr>
                <w:rFonts w:cs="Times New Roman"/>
                <w:sz w:val="20"/>
              </w:rPr>
              <w:t>100.0</w:t>
            </w:r>
          </w:p>
        </w:tc>
      </w:tr>
      <w:tr w:rsidR="00EF1D3F" w:rsidRPr="00C15F52" w:rsidTr="00E002FE">
        <w:tc>
          <w:tcPr>
            <w:tcW w:w="5353" w:type="dxa"/>
            <w:tcBorders>
              <w:top w:val="single" w:sz="2" w:space="0" w:color="auto"/>
            </w:tcBorders>
          </w:tcPr>
          <w:p w:rsidR="00EF1D3F" w:rsidRPr="00C15F52" w:rsidRDefault="00EF1D3F" w:rsidP="00E002FE">
            <w:pPr>
              <w:rPr>
                <w:rFonts w:cs="Times New Roman"/>
                <w:sz w:val="20"/>
              </w:rPr>
            </w:pPr>
            <w:r w:rsidRPr="00C90C4E">
              <w:rPr>
                <w:rFonts w:cs="Times New Roman"/>
                <w:sz w:val="20"/>
              </w:rPr>
              <w:t>Source: Muscat Securities Market</w:t>
            </w:r>
            <w:r>
              <w:rPr>
                <w:rFonts w:cs="Times New Roman"/>
                <w:sz w:val="20"/>
              </w:rPr>
              <w:t>’s</w:t>
            </w:r>
            <w:r w:rsidRPr="00C90C4E">
              <w:rPr>
                <w:rFonts w:cs="Times New Roman"/>
                <w:sz w:val="20"/>
              </w:rPr>
              <w:t xml:space="preserve"> website</w:t>
            </w:r>
          </w:p>
        </w:tc>
        <w:tc>
          <w:tcPr>
            <w:tcW w:w="567" w:type="dxa"/>
            <w:tcBorders>
              <w:top w:val="single" w:sz="2" w:space="0" w:color="auto"/>
            </w:tcBorders>
          </w:tcPr>
          <w:p w:rsidR="00EF1D3F" w:rsidRPr="00C15F52" w:rsidRDefault="00EF1D3F" w:rsidP="00E002FE">
            <w:pPr>
              <w:rPr>
                <w:rFonts w:cs="Times New Roman"/>
                <w:sz w:val="20"/>
              </w:rPr>
            </w:pPr>
          </w:p>
        </w:tc>
        <w:tc>
          <w:tcPr>
            <w:tcW w:w="1134" w:type="dxa"/>
            <w:tcBorders>
              <w:top w:val="single" w:sz="2" w:space="0" w:color="auto"/>
            </w:tcBorders>
          </w:tcPr>
          <w:p w:rsidR="00EF1D3F" w:rsidRPr="00C15F52" w:rsidRDefault="00EF1D3F" w:rsidP="00E002FE">
            <w:pPr>
              <w:rPr>
                <w:rFonts w:cs="Times New Roman"/>
                <w:sz w:val="20"/>
              </w:rPr>
            </w:pPr>
          </w:p>
        </w:tc>
        <w:tc>
          <w:tcPr>
            <w:tcW w:w="1276" w:type="dxa"/>
            <w:tcBorders>
              <w:top w:val="single" w:sz="2" w:space="0" w:color="auto"/>
            </w:tcBorders>
          </w:tcPr>
          <w:p w:rsidR="00EF1D3F" w:rsidRPr="00C15F52" w:rsidRDefault="00EF1D3F" w:rsidP="00E002FE">
            <w:pPr>
              <w:rPr>
                <w:rFonts w:cs="Times New Roman"/>
                <w:sz w:val="20"/>
              </w:rPr>
            </w:pPr>
          </w:p>
        </w:tc>
      </w:tr>
    </w:tbl>
    <w:p w:rsidR="00DE7088" w:rsidRDefault="00DE7088" w:rsidP="00667DDA">
      <w:pPr>
        <w:pStyle w:val="BodyText"/>
        <w:rPr>
          <w:rFonts w:cs="Times New Roman"/>
        </w:rPr>
      </w:pPr>
    </w:p>
    <w:p w:rsidR="00EF1D3F" w:rsidRDefault="00EF1D3F" w:rsidP="00667DDA">
      <w:pPr>
        <w:pStyle w:val="BodyText"/>
        <w:rPr>
          <w:rFonts w:cs="Times New Roman"/>
        </w:rPr>
      </w:pPr>
    </w:p>
    <w:p w:rsidR="00EF1D3F" w:rsidRDefault="00EF1D3F" w:rsidP="00667DDA">
      <w:pPr>
        <w:pStyle w:val="BodyText"/>
        <w:rPr>
          <w:rFonts w:cs="Times New Roman"/>
        </w:rPr>
      </w:pPr>
    </w:p>
    <w:p w:rsidR="00EF1D3F" w:rsidRDefault="00EF1D3F" w:rsidP="00667DDA">
      <w:pPr>
        <w:pStyle w:val="BodyText"/>
        <w:rPr>
          <w:rFonts w:cs="Times New Roman"/>
        </w:rPr>
      </w:pPr>
    </w:p>
    <w:p w:rsidR="00EF1D3F" w:rsidRDefault="00EF1D3F" w:rsidP="00667DDA">
      <w:pPr>
        <w:pStyle w:val="BodyText"/>
        <w:rPr>
          <w:rFonts w:cs="Times New Roman"/>
        </w:rPr>
      </w:pPr>
    </w:p>
    <w:p w:rsidR="00EF1D3F" w:rsidRDefault="00EF1D3F" w:rsidP="00667DDA">
      <w:pPr>
        <w:pStyle w:val="BodyText"/>
        <w:rPr>
          <w:rFonts w:cs="Times New Roman"/>
        </w:rPr>
      </w:pPr>
    </w:p>
    <w:p w:rsidR="00EF1D3F" w:rsidRDefault="00EF1D3F" w:rsidP="00667DDA">
      <w:pPr>
        <w:pStyle w:val="BodyText"/>
        <w:rPr>
          <w:rFonts w:cs="Times New Roman"/>
        </w:rPr>
      </w:pPr>
    </w:p>
    <w:p w:rsidR="00EF1D3F" w:rsidRDefault="00EF1D3F" w:rsidP="00667DDA">
      <w:pPr>
        <w:pStyle w:val="BodyText"/>
        <w:rPr>
          <w:rFonts w:cs="Times New Roman"/>
        </w:rPr>
      </w:pPr>
    </w:p>
    <w:p w:rsidR="00EF1D3F" w:rsidRDefault="00EF1D3F" w:rsidP="00667DDA">
      <w:pPr>
        <w:pStyle w:val="BodyText"/>
        <w:rPr>
          <w:rFonts w:cs="Times New Roman"/>
        </w:rPr>
      </w:pPr>
    </w:p>
    <w:p w:rsidR="00EF1D3F" w:rsidRDefault="00EF1D3F" w:rsidP="00667DDA">
      <w:pPr>
        <w:pStyle w:val="BodyText"/>
        <w:rPr>
          <w:rFonts w:cs="Times New Roman"/>
        </w:rPr>
      </w:pPr>
    </w:p>
    <w:p w:rsidR="00EF1D3F" w:rsidRDefault="00EF1D3F" w:rsidP="00667DDA">
      <w:pPr>
        <w:pStyle w:val="BodyText"/>
        <w:rPr>
          <w:rFonts w:cs="Times New Roman"/>
        </w:rPr>
      </w:pPr>
    </w:p>
    <w:p w:rsidR="006D6930" w:rsidRDefault="006D6930" w:rsidP="00667DDA">
      <w:pPr>
        <w:pStyle w:val="BodyText"/>
        <w:rPr>
          <w:rFonts w:cs="Times New Roman"/>
        </w:rPr>
      </w:pPr>
    </w:p>
    <w:p w:rsidR="006D6930" w:rsidRDefault="006D6930" w:rsidP="00667DDA">
      <w:pPr>
        <w:pStyle w:val="BodyText"/>
        <w:rPr>
          <w:rFonts w:cs="Times New Roman"/>
        </w:rPr>
      </w:pPr>
    </w:p>
    <w:p w:rsidR="006D6930" w:rsidRDefault="006D6930" w:rsidP="00667DDA">
      <w:pPr>
        <w:pStyle w:val="BodyText"/>
        <w:rPr>
          <w:rFonts w:cs="Times New Roman"/>
        </w:rPr>
      </w:pPr>
    </w:p>
    <w:p w:rsidR="006D6930" w:rsidRDefault="006D6930" w:rsidP="00667DDA">
      <w:pPr>
        <w:pStyle w:val="BodyText"/>
        <w:rPr>
          <w:rFonts w:cs="Times New Roman"/>
        </w:rPr>
      </w:pPr>
    </w:p>
    <w:p w:rsidR="00EF1D3F" w:rsidRDefault="00EF1D3F" w:rsidP="00667DDA">
      <w:pPr>
        <w:pStyle w:val="BodyText"/>
        <w:rPr>
          <w:rFonts w:cs="Times New Roman"/>
        </w:rPr>
      </w:pPr>
    </w:p>
    <w:tbl>
      <w:tblPr>
        <w:tblW w:w="0" w:type="auto"/>
        <w:tblLook w:val="00A0" w:firstRow="1" w:lastRow="0" w:firstColumn="1" w:lastColumn="0" w:noHBand="0" w:noVBand="0"/>
      </w:tblPr>
      <w:tblGrid>
        <w:gridCol w:w="1809"/>
        <w:gridCol w:w="7433"/>
      </w:tblGrid>
      <w:tr w:rsidR="00EF1D3F" w:rsidRPr="00B04D8B" w:rsidTr="00660C21">
        <w:trPr>
          <w:trHeight w:val="222"/>
        </w:trPr>
        <w:tc>
          <w:tcPr>
            <w:tcW w:w="9242" w:type="dxa"/>
            <w:gridSpan w:val="2"/>
            <w:tcBorders>
              <w:top w:val="nil"/>
              <w:left w:val="nil"/>
              <w:bottom w:val="single" w:sz="4" w:space="0" w:color="auto"/>
              <w:right w:val="nil"/>
            </w:tcBorders>
            <w:vAlign w:val="bottom"/>
          </w:tcPr>
          <w:p w:rsidR="008551FA" w:rsidRDefault="00EF1D3F" w:rsidP="00660C21">
            <w:pPr>
              <w:pStyle w:val="Caption"/>
              <w:spacing w:before="0"/>
              <w:rPr>
                <w:rFonts w:ascii="Times New Roman" w:hAnsi="Times New Roman" w:cs="Times New Roman"/>
              </w:rPr>
            </w:pPr>
            <w:r w:rsidRPr="00B04D8B">
              <w:rPr>
                <w:rFonts w:ascii="Times New Roman" w:hAnsi="Times New Roman" w:cs="Times New Roman"/>
              </w:rPr>
              <w:t xml:space="preserve">Table </w:t>
            </w:r>
            <w:r>
              <w:rPr>
                <w:rFonts w:ascii="Times New Roman" w:hAnsi="Times New Roman" w:cs="Times New Roman"/>
              </w:rPr>
              <w:t>2</w:t>
            </w:r>
          </w:p>
          <w:p w:rsidR="00EF1D3F" w:rsidRPr="00B04D8B" w:rsidRDefault="00EF1D3F" w:rsidP="00660C21">
            <w:pPr>
              <w:pStyle w:val="Caption"/>
              <w:spacing w:before="0"/>
              <w:rPr>
                <w:rFonts w:ascii="Times New Roman" w:hAnsi="Times New Roman" w:cs="Times New Roman"/>
                <w:b w:val="0"/>
                <w:bCs w:val="0"/>
                <w:szCs w:val="20"/>
              </w:rPr>
            </w:pPr>
            <w:r w:rsidRPr="00C15F52">
              <w:rPr>
                <w:rFonts w:ascii="Times New Roman" w:hAnsi="Times New Roman" w:cs="Times New Roman"/>
                <w:szCs w:val="20"/>
              </w:rPr>
              <w:t>Definition of dependent and independent variables</w:t>
            </w:r>
          </w:p>
        </w:tc>
      </w:tr>
      <w:tr w:rsidR="00EF1D3F" w:rsidRPr="00B04D8B" w:rsidTr="007E1196">
        <w:trPr>
          <w:trHeight w:val="204"/>
        </w:trPr>
        <w:tc>
          <w:tcPr>
            <w:tcW w:w="9242" w:type="dxa"/>
            <w:gridSpan w:val="2"/>
            <w:tcBorders>
              <w:left w:val="nil"/>
              <w:bottom w:val="single" w:sz="12" w:space="0" w:color="auto"/>
              <w:right w:val="nil"/>
            </w:tcBorders>
          </w:tcPr>
          <w:p w:rsidR="00EF1D3F" w:rsidRPr="00B04D8B" w:rsidRDefault="00EF1D3F" w:rsidP="007E1196">
            <w:pPr>
              <w:rPr>
                <w:rFonts w:cs="Times New Roman"/>
                <w:sz w:val="20"/>
                <w:szCs w:val="20"/>
              </w:rPr>
            </w:pPr>
            <w:r w:rsidRPr="00B04D8B">
              <w:rPr>
                <w:rFonts w:cs="Times New Roman"/>
                <w:b/>
                <w:bCs/>
                <w:i/>
                <w:iCs/>
                <w:sz w:val="20"/>
                <w:szCs w:val="20"/>
              </w:rPr>
              <w:t>Dependent variables</w:t>
            </w:r>
          </w:p>
        </w:tc>
      </w:tr>
      <w:tr w:rsidR="00EF1D3F" w:rsidRPr="00C15F52" w:rsidTr="007E1196">
        <w:trPr>
          <w:trHeight w:val="358"/>
        </w:trPr>
        <w:tc>
          <w:tcPr>
            <w:tcW w:w="1809" w:type="dxa"/>
            <w:tcBorders>
              <w:top w:val="single" w:sz="12" w:space="0" w:color="auto"/>
              <w:left w:val="nil"/>
              <w:right w:val="nil"/>
            </w:tcBorders>
          </w:tcPr>
          <w:p w:rsidR="00EF1D3F" w:rsidRPr="00C15F52" w:rsidRDefault="00EF1D3F" w:rsidP="007E1196">
            <w:pPr>
              <w:rPr>
                <w:rFonts w:cs="Times New Roman"/>
                <w:sz w:val="20"/>
                <w:szCs w:val="20"/>
              </w:rPr>
            </w:pPr>
            <w:r>
              <w:rPr>
                <w:rFonts w:cs="Times New Roman"/>
                <w:sz w:val="20"/>
                <w:szCs w:val="20"/>
              </w:rPr>
              <w:t xml:space="preserve">  DA</w:t>
            </w:r>
          </w:p>
        </w:tc>
        <w:tc>
          <w:tcPr>
            <w:tcW w:w="7433" w:type="dxa"/>
            <w:tcBorders>
              <w:top w:val="single" w:sz="12" w:space="0" w:color="auto"/>
              <w:left w:val="nil"/>
              <w:right w:val="nil"/>
            </w:tcBorders>
          </w:tcPr>
          <w:p w:rsidR="00EF1D3F" w:rsidRPr="00AC4992" w:rsidRDefault="00EF1D3F" w:rsidP="007E1196">
            <w:pPr>
              <w:rPr>
                <w:rFonts w:cs="Times New Roman"/>
                <w:sz w:val="20"/>
                <w:szCs w:val="20"/>
              </w:rPr>
            </w:pPr>
            <w:r w:rsidRPr="00AC4992">
              <w:rPr>
                <w:rFonts w:cs="Times New Roman"/>
                <w:sz w:val="20"/>
                <w:szCs w:val="20"/>
              </w:rPr>
              <w:t>Discretionary accruals represent a firm-level EM practices as measured by modified Jones Model.</w:t>
            </w:r>
          </w:p>
        </w:tc>
      </w:tr>
      <w:tr w:rsidR="00EF1D3F" w:rsidRPr="00C15F52" w:rsidTr="007E1196">
        <w:tc>
          <w:tcPr>
            <w:tcW w:w="9242" w:type="dxa"/>
            <w:gridSpan w:val="2"/>
            <w:tcBorders>
              <w:top w:val="single" w:sz="2" w:space="0" w:color="auto"/>
              <w:left w:val="nil"/>
              <w:bottom w:val="single" w:sz="2" w:space="0" w:color="auto"/>
              <w:right w:val="nil"/>
            </w:tcBorders>
            <w:vAlign w:val="center"/>
          </w:tcPr>
          <w:p w:rsidR="00EF1D3F" w:rsidRPr="00C15F52" w:rsidRDefault="00EF1D3F" w:rsidP="007E1196">
            <w:pPr>
              <w:rPr>
                <w:rFonts w:cs="Times New Roman"/>
                <w:sz w:val="20"/>
                <w:szCs w:val="20"/>
              </w:rPr>
            </w:pPr>
            <w:r>
              <w:rPr>
                <w:rFonts w:cs="Times New Roman"/>
                <w:b/>
                <w:bCs/>
                <w:i/>
                <w:iCs/>
                <w:sz w:val="20"/>
                <w:szCs w:val="20"/>
              </w:rPr>
              <w:t>Independent variables</w:t>
            </w:r>
          </w:p>
        </w:tc>
      </w:tr>
      <w:tr w:rsidR="00EF1D3F" w:rsidRPr="00C15F52" w:rsidTr="007E1196">
        <w:trPr>
          <w:trHeight w:val="588"/>
        </w:trPr>
        <w:tc>
          <w:tcPr>
            <w:tcW w:w="1809" w:type="dxa"/>
            <w:tcBorders>
              <w:top w:val="single" w:sz="2" w:space="0" w:color="auto"/>
              <w:left w:val="nil"/>
              <w:bottom w:val="nil"/>
              <w:right w:val="nil"/>
            </w:tcBorders>
          </w:tcPr>
          <w:p w:rsidR="00EF1D3F" w:rsidRPr="00C15F52" w:rsidRDefault="00EF1D3F" w:rsidP="007E1196">
            <w:pPr>
              <w:rPr>
                <w:rFonts w:cs="Times New Roman"/>
                <w:sz w:val="20"/>
                <w:szCs w:val="20"/>
              </w:rPr>
            </w:pPr>
            <w:r>
              <w:rPr>
                <w:rFonts w:cs="Times New Roman"/>
                <w:sz w:val="20"/>
                <w:szCs w:val="20"/>
              </w:rPr>
              <w:t xml:space="preserve">  OCGI</w:t>
            </w:r>
          </w:p>
        </w:tc>
        <w:tc>
          <w:tcPr>
            <w:tcW w:w="7433" w:type="dxa"/>
            <w:tcBorders>
              <w:top w:val="single" w:sz="2" w:space="0" w:color="auto"/>
              <w:left w:val="nil"/>
              <w:bottom w:val="nil"/>
              <w:right w:val="nil"/>
            </w:tcBorders>
          </w:tcPr>
          <w:p w:rsidR="00EF1D3F" w:rsidRPr="00C15F52" w:rsidRDefault="00EF1D3F" w:rsidP="007E1196">
            <w:pPr>
              <w:rPr>
                <w:rFonts w:cs="Times New Roman"/>
                <w:sz w:val="20"/>
                <w:szCs w:val="20"/>
              </w:rPr>
            </w:pPr>
            <w:r>
              <w:rPr>
                <w:rFonts w:cs="Times New Roman"/>
                <w:sz w:val="20"/>
                <w:szCs w:val="20"/>
              </w:rPr>
              <w:t>Omani corporate governance index consisting of 72 governance provisions that take a value of 1 if a particular provision is disclosed, and 0 otherwise; scaled to a value between 0% and 100%.</w:t>
            </w:r>
          </w:p>
        </w:tc>
      </w:tr>
      <w:tr w:rsidR="00EF1D3F" w:rsidRPr="00C15F52" w:rsidTr="007E1196">
        <w:trPr>
          <w:trHeight w:val="20"/>
        </w:trPr>
        <w:tc>
          <w:tcPr>
            <w:tcW w:w="1809" w:type="dxa"/>
            <w:tcBorders>
              <w:top w:val="nil"/>
              <w:left w:val="nil"/>
              <w:bottom w:val="nil"/>
              <w:right w:val="nil"/>
            </w:tcBorders>
          </w:tcPr>
          <w:p w:rsidR="00EF1D3F" w:rsidRPr="00C15F52" w:rsidRDefault="00EF1D3F" w:rsidP="007E1196">
            <w:pPr>
              <w:rPr>
                <w:rFonts w:cs="Times New Roman"/>
                <w:sz w:val="20"/>
                <w:szCs w:val="20"/>
              </w:rPr>
            </w:pPr>
            <w:r>
              <w:rPr>
                <w:rFonts w:cs="Times New Roman"/>
                <w:sz w:val="20"/>
                <w:szCs w:val="20"/>
              </w:rPr>
              <w:t xml:space="preserve">  </w:t>
            </w:r>
            <w:r w:rsidR="00BB565D">
              <w:rPr>
                <w:rFonts w:cs="Times New Roman"/>
                <w:sz w:val="20"/>
                <w:szCs w:val="20"/>
              </w:rPr>
              <w:t>I</w:t>
            </w:r>
            <w:r>
              <w:rPr>
                <w:rFonts w:cs="Times New Roman"/>
                <w:sz w:val="20"/>
                <w:szCs w:val="20"/>
              </w:rPr>
              <w:t>GC</w:t>
            </w:r>
          </w:p>
        </w:tc>
        <w:tc>
          <w:tcPr>
            <w:tcW w:w="7433" w:type="dxa"/>
            <w:tcBorders>
              <w:top w:val="nil"/>
              <w:left w:val="nil"/>
              <w:bottom w:val="nil"/>
              <w:right w:val="nil"/>
            </w:tcBorders>
          </w:tcPr>
          <w:p w:rsidR="00EF1D3F" w:rsidRPr="00C15F52" w:rsidRDefault="00EF1D3F" w:rsidP="007E1196">
            <w:pPr>
              <w:rPr>
                <w:rFonts w:cs="Times New Roman"/>
                <w:sz w:val="20"/>
                <w:szCs w:val="20"/>
              </w:rPr>
            </w:pPr>
            <w:r>
              <w:rPr>
                <w:rFonts w:cs="Times New Roman"/>
                <w:sz w:val="20"/>
                <w:szCs w:val="20"/>
              </w:rPr>
              <w:t xml:space="preserve">1 if a firm has set up a </w:t>
            </w:r>
            <w:r w:rsidR="00BB565D">
              <w:rPr>
                <w:rFonts w:cs="Times New Roman"/>
                <w:sz w:val="20"/>
                <w:szCs w:val="20"/>
              </w:rPr>
              <w:t>Islamic</w:t>
            </w:r>
            <w:r>
              <w:rPr>
                <w:rFonts w:cs="Times New Roman"/>
                <w:sz w:val="20"/>
                <w:szCs w:val="20"/>
              </w:rPr>
              <w:t xml:space="preserve"> governance committee, 0 otherwise.</w:t>
            </w:r>
          </w:p>
        </w:tc>
      </w:tr>
      <w:tr w:rsidR="00EF1D3F" w:rsidRPr="00C15F52" w:rsidTr="007E1196">
        <w:trPr>
          <w:trHeight w:val="276"/>
        </w:trPr>
        <w:tc>
          <w:tcPr>
            <w:tcW w:w="1809" w:type="dxa"/>
            <w:tcBorders>
              <w:top w:val="nil"/>
              <w:left w:val="nil"/>
              <w:bottom w:val="nil"/>
              <w:right w:val="nil"/>
            </w:tcBorders>
          </w:tcPr>
          <w:p w:rsidR="00EF1D3F" w:rsidRPr="00C15F52" w:rsidRDefault="00EF1D3F" w:rsidP="007E1196">
            <w:pPr>
              <w:rPr>
                <w:rFonts w:cs="Times New Roman"/>
                <w:sz w:val="20"/>
                <w:szCs w:val="20"/>
              </w:rPr>
            </w:pPr>
            <w:r>
              <w:rPr>
                <w:rFonts w:cs="Times New Roman"/>
                <w:sz w:val="20"/>
                <w:szCs w:val="20"/>
              </w:rPr>
              <w:t xml:space="preserve">  BSIZE</w:t>
            </w:r>
          </w:p>
        </w:tc>
        <w:tc>
          <w:tcPr>
            <w:tcW w:w="7433" w:type="dxa"/>
            <w:tcBorders>
              <w:top w:val="nil"/>
              <w:left w:val="nil"/>
              <w:bottom w:val="nil"/>
              <w:right w:val="nil"/>
            </w:tcBorders>
          </w:tcPr>
          <w:p w:rsidR="00EF1D3F" w:rsidRPr="00C15F52" w:rsidRDefault="00EF1D3F" w:rsidP="007E1196">
            <w:pPr>
              <w:rPr>
                <w:rFonts w:cs="Times New Roman"/>
                <w:sz w:val="20"/>
                <w:szCs w:val="20"/>
              </w:rPr>
            </w:pPr>
            <w:r>
              <w:rPr>
                <w:rFonts w:cs="Times New Roman"/>
                <w:sz w:val="20"/>
                <w:szCs w:val="20"/>
              </w:rPr>
              <w:t>The total number of directors on the board of a firm.</w:t>
            </w:r>
          </w:p>
        </w:tc>
      </w:tr>
      <w:tr w:rsidR="00EF1D3F" w:rsidRPr="00C15F52" w:rsidTr="007E1196">
        <w:trPr>
          <w:trHeight w:val="576"/>
        </w:trPr>
        <w:tc>
          <w:tcPr>
            <w:tcW w:w="1809" w:type="dxa"/>
            <w:tcBorders>
              <w:top w:val="nil"/>
              <w:left w:val="nil"/>
              <w:bottom w:val="nil"/>
              <w:right w:val="nil"/>
            </w:tcBorders>
          </w:tcPr>
          <w:p w:rsidR="00EF1D3F" w:rsidRPr="00C15F52" w:rsidRDefault="00EF1D3F" w:rsidP="007E1196">
            <w:pPr>
              <w:rPr>
                <w:rFonts w:cs="Times New Roman"/>
                <w:sz w:val="20"/>
                <w:szCs w:val="20"/>
              </w:rPr>
            </w:pPr>
            <w:r>
              <w:rPr>
                <w:rFonts w:cs="Times New Roman"/>
                <w:sz w:val="20"/>
                <w:szCs w:val="20"/>
              </w:rPr>
              <w:t xml:space="preserve">  BIG4</w:t>
            </w:r>
          </w:p>
        </w:tc>
        <w:tc>
          <w:tcPr>
            <w:tcW w:w="7433" w:type="dxa"/>
            <w:tcBorders>
              <w:top w:val="nil"/>
              <w:left w:val="nil"/>
              <w:bottom w:val="nil"/>
              <w:right w:val="nil"/>
            </w:tcBorders>
          </w:tcPr>
          <w:p w:rsidR="00EF1D3F" w:rsidRPr="00C15F52" w:rsidRDefault="00EF1D3F" w:rsidP="007E1196">
            <w:pPr>
              <w:rPr>
                <w:rFonts w:cs="Times New Roman"/>
                <w:sz w:val="20"/>
                <w:szCs w:val="20"/>
              </w:rPr>
            </w:pPr>
            <w:r>
              <w:rPr>
                <w:rFonts w:cs="Times New Roman"/>
                <w:sz w:val="20"/>
                <w:szCs w:val="20"/>
              </w:rPr>
              <w:t>1 if a firm is audited by one of the biggest four audit firms (PricewaterhouseCoopers, Deloitte &amp; Touche, Ernst &amp; Young and KPMG), 0 otherwise.</w:t>
            </w:r>
          </w:p>
        </w:tc>
      </w:tr>
      <w:tr w:rsidR="00EF1D3F" w:rsidRPr="00C15F52" w:rsidTr="007E1196">
        <w:trPr>
          <w:trHeight w:val="566"/>
        </w:trPr>
        <w:tc>
          <w:tcPr>
            <w:tcW w:w="1809" w:type="dxa"/>
            <w:tcBorders>
              <w:top w:val="nil"/>
              <w:left w:val="nil"/>
              <w:right w:val="nil"/>
            </w:tcBorders>
          </w:tcPr>
          <w:p w:rsidR="00EF1D3F" w:rsidRPr="00C15F52" w:rsidRDefault="00EF1D3F" w:rsidP="007E1196">
            <w:pPr>
              <w:rPr>
                <w:rFonts w:cs="Times New Roman"/>
                <w:sz w:val="20"/>
                <w:szCs w:val="20"/>
              </w:rPr>
            </w:pPr>
            <w:r>
              <w:rPr>
                <w:rFonts w:cs="Times New Roman"/>
                <w:sz w:val="20"/>
                <w:szCs w:val="20"/>
              </w:rPr>
              <w:t xml:space="preserve">  CGCOM</w:t>
            </w:r>
          </w:p>
          <w:p w:rsidR="00EF1D3F" w:rsidRPr="00C15F52" w:rsidRDefault="00EF1D3F" w:rsidP="007E1196">
            <w:pPr>
              <w:rPr>
                <w:rFonts w:cs="Times New Roman"/>
                <w:sz w:val="20"/>
                <w:szCs w:val="20"/>
              </w:rPr>
            </w:pPr>
            <w:r>
              <w:rPr>
                <w:rFonts w:cs="Times New Roman"/>
                <w:sz w:val="20"/>
                <w:szCs w:val="20"/>
              </w:rPr>
              <w:t xml:space="preserve">  GNDR</w:t>
            </w:r>
          </w:p>
        </w:tc>
        <w:tc>
          <w:tcPr>
            <w:tcW w:w="7433" w:type="dxa"/>
            <w:tcBorders>
              <w:top w:val="nil"/>
              <w:left w:val="nil"/>
              <w:right w:val="nil"/>
            </w:tcBorders>
          </w:tcPr>
          <w:p w:rsidR="00EF1D3F" w:rsidRPr="00C15F52" w:rsidRDefault="00EF1D3F" w:rsidP="007E1196">
            <w:pPr>
              <w:rPr>
                <w:rFonts w:cs="Times New Roman"/>
                <w:sz w:val="20"/>
                <w:szCs w:val="20"/>
              </w:rPr>
            </w:pPr>
            <w:r>
              <w:rPr>
                <w:rFonts w:cs="Times New Roman"/>
                <w:sz w:val="20"/>
                <w:szCs w:val="20"/>
              </w:rPr>
              <w:t>1 if a firm has set up a corporate governance committee, 0 otherwise.</w:t>
            </w:r>
          </w:p>
          <w:p w:rsidR="00EF1D3F" w:rsidRPr="00C15F52" w:rsidRDefault="00EF1D3F" w:rsidP="007E1196">
            <w:pPr>
              <w:rPr>
                <w:rFonts w:cs="Times New Roman"/>
                <w:sz w:val="20"/>
                <w:szCs w:val="20"/>
              </w:rPr>
            </w:pPr>
            <w:r>
              <w:rPr>
                <w:rFonts w:cs="Times New Roman"/>
                <w:sz w:val="20"/>
                <w:szCs w:val="20"/>
              </w:rPr>
              <w:t>1 if a firm has at least one woman on its board, 0 otherwise</w:t>
            </w:r>
          </w:p>
        </w:tc>
      </w:tr>
      <w:tr w:rsidR="00EF1D3F" w:rsidRPr="00C15F52" w:rsidTr="007E1196">
        <w:tc>
          <w:tcPr>
            <w:tcW w:w="9242" w:type="dxa"/>
            <w:gridSpan w:val="2"/>
            <w:tcBorders>
              <w:top w:val="single" w:sz="2" w:space="0" w:color="auto"/>
              <w:left w:val="nil"/>
              <w:bottom w:val="single" w:sz="2" w:space="0" w:color="auto"/>
              <w:right w:val="nil"/>
            </w:tcBorders>
            <w:vAlign w:val="center"/>
          </w:tcPr>
          <w:p w:rsidR="00EF1D3F" w:rsidRPr="00C15F52" w:rsidRDefault="00EF1D3F" w:rsidP="007E1196">
            <w:pPr>
              <w:rPr>
                <w:rFonts w:cs="Times New Roman"/>
                <w:sz w:val="20"/>
                <w:szCs w:val="20"/>
              </w:rPr>
            </w:pPr>
            <w:r>
              <w:rPr>
                <w:rFonts w:cs="Times New Roman"/>
                <w:b/>
                <w:bCs/>
                <w:i/>
                <w:iCs/>
                <w:sz w:val="20"/>
                <w:szCs w:val="20"/>
              </w:rPr>
              <w:t>Control variables</w:t>
            </w:r>
          </w:p>
        </w:tc>
      </w:tr>
      <w:tr w:rsidR="00EF1D3F" w:rsidRPr="00C15F52" w:rsidTr="007E1196">
        <w:trPr>
          <w:trHeight w:val="170"/>
        </w:trPr>
        <w:tc>
          <w:tcPr>
            <w:tcW w:w="1809" w:type="dxa"/>
            <w:tcBorders>
              <w:top w:val="single" w:sz="2" w:space="0" w:color="auto"/>
              <w:left w:val="nil"/>
              <w:right w:val="nil"/>
            </w:tcBorders>
          </w:tcPr>
          <w:p w:rsidR="00EF1D3F" w:rsidRPr="00C15F52" w:rsidRDefault="00EF1D3F" w:rsidP="007E1196">
            <w:pPr>
              <w:rPr>
                <w:rFonts w:cs="Times New Roman"/>
                <w:sz w:val="20"/>
                <w:szCs w:val="20"/>
              </w:rPr>
            </w:pPr>
            <w:r>
              <w:rPr>
                <w:rFonts w:cs="Times New Roman"/>
                <w:sz w:val="20"/>
                <w:szCs w:val="20"/>
              </w:rPr>
              <w:t xml:space="preserve">  BLKOWN</w:t>
            </w:r>
          </w:p>
        </w:tc>
        <w:tc>
          <w:tcPr>
            <w:tcW w:w="7433" w:type="dxa"/>
            <w:tcBorders>
              <w:top w:val="single" w:sz="2" w:space="0" w:color="auto"/>
              <w:left w:val="nil"/>
              <w:right w:val="nil"/>
            </w:tcBorders>
          </w:tcPr>
          <w:p w:rsidR="00EF1D3F" w:rsidRPr="00C15F52" w:rsidRDefault="00EF1D3F" w:rsidP="007E1196">
            <w:pPr>
              <w:rPr>
                <w:rFonts w:cs="Times New Roman"/>
                <w:sz w:val="20"/>
                <w:szCs w:val="20"/>
              </w:rPr>
            </w:pPr>
            <w:r>
              <w:rPr>
                <w:rFonts w:cs="Times New Roman"/>
                <w:sz w:val="20"/>
                <w:szCs w:val="20"/>
              </w:rPr>
              <w:t>Percentage of shares held by shareholders with at least 5% of the total firm shareholdings.</w:t>
            </w:r>
          </w:p>
        </w:tc>
      </w:tr>
      <w:tr w:rsidR="00EF1D3F" w:rsidRPr="00C15F52" w:rsidTr="007E1196">
        <w:trPr>
          <w:trHeight w:val="20"/>
        </w:trPr>
        <w:tc>
          <w:tcPr>
            <w:tcW w:w="1809" w:type="dxa"/>
            <w:tcBorders>
              <w:left w:val="nil"/>
              <w:bottom w:val="nil"/>
              <w:right w:val="nil"/>
            </w:tcBorders>
          </w:tcPr>
          <w:p w:rsidR="00EF1D3F" w:rsidRPr="00C15F52" w:rsidRDefault="00EF1D3F" w:rsidP="007E1196">
            <w:pPr>
              <w:rPr>
                <w:rFonts w:cs="Times New Roman"/>
                <w:sz w:val="20"/>
                <w:szCs w:val="20"/>
              </w:rPr>
            </w:pPr>
            <w:r>
              <w:rPr>
                <w:rFonts w:cs="Times New Roman"/>
                <w:color w:val="FF0000"/>
                <w:sz w:val="20"/>
                <w:szCs w:val="20"/>
              </w:rPr>
              <w:t xml:space="preserve">  </w:t>
            </w:r>
            <w:r>
              <w:rPr>
                <w:rFonts w:cs="Times New Roman"/>
                <w:sz w:val="20"/>
                <w:szCs w:val="20"/>
              </w:rPr>
              <w:t>GOVOWN</w:t>
            </w:r>
          </w:p>
        </w:tc>
        <w:tc>
          <w:tcPr>
            <w:tcW w:w="7433" w:type="dxa"/>
            <w:tcBorders>
              <w:left w:val="nil"/>
              <w:bottom w:val="nil"/>
              <w:right w:val="nil"/>
            </w:tcBorders>
          </w:tcPr>
          <w:p w:rsidR="00EF1D3F" w:rsidRPr="00C15F52" w:rsidRDefault="00EF1D3F" w:rsidP="007E1196">
            <w:pPr>
              <w:rPr>
                <w:rFonts w:cs="Times New Roman"/>
                <w:color w:val="FF0000"/>
                <w:sz w:val="20"/>
                <w:szCs w:val="20"/>
              </w:rPr>
            </w:pPr>
            <w:r>
              <w:rPr>
                <w:rFonts w:cs="Times New Roman"/>
                <w:sz w:val="20"/>
                <w:szCs w:val="20"/>
              </w:rPr>
              <w:t>1 if a firm has government ownership, 0 otherwise.</w:t>
            </w:r>
          </w:p>
        </w:tc>
      </w:tr>
      <w:tr w:rsidR="00EF1D3F" w:rsidRPr="00C15F52" w:rsidTr="007E1196">
        <w:trPr>
          <w:trHeight w:val="20"/>
        </w:trPr>
        <w:tc>
          <w:tcPr>
            <w:tcW w:w="1809" w:type="dxa"/>
            <w:tcBorders>
              <w:left w:val="nil"/>
              <w:bottom w:val="nil"/>
              <w:right w:val="nil"/>
            </w:tcBorders>
          </w:tcPr>
          <w:p w:rsidR="00EF1D3F" w:rsidRPr="00C15F52" w:rsidRDefault="00EF1D3F" w:rsidP="007E1196">
            <w:pPr>
              <w:rPr>
                <w:rFonts w:cs="Times New Roman"/>
                <w:sz w:val="20"/>
                <w:szCs w:val="20"/>
              </w:rPr>
            </w:pPr>
            <w:r>
              <w:rPr>
                <w:rFonts w:cs="Times New Roman"/>
                <w:sz w:val="20"/>
                <w:szCs w:val="20"/>
              </w:rPr>
              <w:t xml:space="preserve">  INSOWN</w:t>
            </w:r>
          </w:p>
        </w:tc>
        <w:tc>
          <w:tcPr>
            <w:tcW w:w="7433" w:type="dxa"/>
            <w:tcBorders>
              <w:left w:val="nil"/>
              <w:bottom w:val="nil"/>
              <w:right w:val="nil"/>
            </w:tcBorders>
          </w:tcPr>
          <w:p w:rsidR="00EF1D3F" w:rsidRPr="00C15F52" w:rsidRDefault="00EF1D3F" w:rsidP="007E1196">
            <w:pPr>
              <w:rPr>
                <w:rFonts w:cs="Times New Roman"/>
                <w:sz w:val="20"/>
                <w:szCs w:val="20"/>
              </w:rPr>
            </w:pPr>
            <w:r>
              <w:rPr>
                <w:rFonts w:cs="Times New Roman"/>
                <w:sz w:val="20"/>
                <w:szCs w:val="20"/>
              </w:rPr>
              <w:t>Percentage of institutional ownership to total firm ordinary shareholdings.</w:t>
            </w:r>
          </w:p>
        </w:tc>
      </w:tr>
      <w:tr w:rsidR="00EF1D3F" w:rsidRPr="00C15F52" w:rsidTr="007E1196">
        <w:trPr>
          <w:trHeight w:val="20"/>
        </w:trPr>
        <w:tc>
          <w:tcPr>
            <w:tcW w:w="1809" w:type="dxa"/>
            <w:tcBorders>
              <w:left w:val="nil"/>
              <w:bottom w:val="nil"/>
              <w:right w:val="nil"/>
            </w:tcBorders>
          </w:tcPr>
          <w:p w:rsidR="00EF1D3F" w:rsidRPr="00C15F52" w:rsidRDefault="00EF1D3F" w:rsidP="007E1196">
            <w:pPr>
              <w:rPr>
                <w:rFonts w:cs="Times New Roman"/>
                <w:sz w:val="20"/>
                <w:szCs w:val="20"/>
              </w:rPr>
            </w:pPr>
            <w:r>
              <w:rPr>
                <w:rFonts w:cs="Times New Roman"/>
                <w:sz w:val="20"/>
                <w:szCs w:val="20"/>
              </w:rPr>
              <w:t xml:space="preserve">  FOROWN</w:t>
            </w:r>
          </w:p>
        </w:tc>
        <w:tc>
          <w:tcPr>
            <w:tcW w:w="7433" w:type="dxa"/>
            <w:tcBorders>
              <w:left w:val="nil"/>
              <w:bottom w:val="nil"/>
              <w:right w:val="nil"/>
            </w:tcBorders>
          </w:tcPr>
          <w:p w:rsidR="00EF1D3F" w:rsidRPr="00C15F52" w:rsidRDefault="00EF1D3F" w:rsidP="007E1196">
            <w:pPr>
              <w:rPr>
                <w:rFonts w:cs="Times New Roman"/>
                <w:sz w:val="20"/>
                <w:szCs w:val="20"/>
              </w:rPr>
            </w:pPr>
            <w:r>
              <w:rPr>
                <w:rFonts w:cs="Times New Roman"/>
                <w:sz w:val="20"/>
                <w:szCs w:val="20"/>
              </w:rPr>
              <w:t xml:space="preserve">Percentage of foreign ownership to total firm ordinary shareholdings. </w:t>
            </w:r>
          </w:p>
        </w:tc>
      </w:tr>
      <w:tr w:rsidR="00EF1D3F" w:rsidRPr="00C15F52" w:rsidTr="007E1196">
        <w:trPr>
          <w:trHeight w:val="20"/>
        </w:trPr>
        <w:tc>
          <w:tcPr>
            <w:tcW w:w="1809" w:type="dxa"/>
            <w:tcBorders>
              <w:left w:val="nil"/>
              <w:bottom w:val="nil"/>
              <w:right w:val="nil"/>
            </w:tcBorders>
          </w:tcPr>
          <w:p w:rsidR="00EF1D3F" w:rsidRPr="00C15F52" w:rsidRDefault="00EF1D3F" w:rsidP="007E1196">
            <w:pPr>
              <w:rPr>
                <w:rFonts w:cs="Times New Roman"/>
                <w:sz w:val="20"/>
                <w:szCs w:val="20"/>
              </w:rPr>
            </w:pPr>
            <w:r>
              <w:rPr>
                <w:rFonts w:cs="Times New Roman"/>
                <w:sz w:val="20"/>
                <w:szCs w:val="20"/>
              </w:rPr>
              <w:t xml:space="preserve">  LNTA</w:t>
            </w:r>
          </w:p>
        </w:tc>
        <w:tc>
          <w:tcPr>
            <w:tcW w:w="7433" w:type="dxa"/>
            <w:tcBorders>
              <w:left w:val="nil"/>
              <w:bottom w:val="nil"/>
              <w:right w:val="nil"/>
            </w:tcBorders>
          </w:tcPr>
          <w:p w:rsidR="00EF1D3F" w:rsidRPr="00C15F52" w:rsidRDefault="00EF1D3F" w:rsidP="007E1196">
            <w:pPr>
              <w:rPr>
                <w:rFonts w:cs="Times New Roman"/>
                <w:sz w:val="20"/>
                <w:szCs w:val="20"/>
              </w:rPr>
            </w:pPr>
            <w:r>
              <w:rPr>
                <w:rFonts w:cs="Times New Roman"/>
                <w:sz w:val="20"/>
                <w:szCs w:val="20"/>
              </w:rPr>
              <w:t>Natural log of total assets.</w:t>
            </w:r>
          </w:p>
        </w:tc>
      </w:tr>
      <w:tr w:rsidR="00EF1D3F" w:rsidRPr="00C15F52" w:rsidTr="007E1196">
        <w:trPr>
          <w:trHeight w:val="20"/>
        </w:trPr>
        <w:tc>
          <w:tcPr>
            <w:tcW w:w="1809" w:type="dxa"/>
            <w:tcBorders>
              <w:left w:val="nil"/>
              <w:bottom w:val="nil"/>
              <w:right w:val="nil"/>
            </w:tcBorders>
          </w:tcPr>
          <w:p w:rsidR="00EF1D3F" w:rsidRPr="00C15F52" w:rsidRDefault="00EF1D3F" w:rsidP="007E1196">
            <w:pPr>
              <w:rPr>
                <w:rFonts w:cs="Times New Roman"/>
                <w:sz w:val="20"/>
                <w:szCs w:val="20"/>
              </w:rPr>
            </w:pPr>
            <w:r>
              <w:rPr>
                <w:rFonts w:cs="Times New Roman"/>
                <w:sz w:val="20"/>
                <w:szCs w:val="20"/>
              </w:rPr>
              <w:t xml:space="preserve">  ROA (%)</w:t>
            </w:r>
          </w:p>
        </w:tc>
        <w:tc>
          <w:tcPr>
            <w:tcW w:w="7433" w:type="dxa"/>
            <w:tcBorders>
              <w:left w:val="nil"/>
              <w:bottom w:val="nil"/>
              <w:right w:val="nil"/>
            </w:tcBorders>
          </w:tcPr>
          <w:p w:rsidR="00EF1D3F" w:rsidRPr="00C15F52" w:rsidRDefault="00EF1D3F" w:rsidP="007E1196">
            <w:pPr>
              <w:rPr>
                <w:rFonts w:cs="Times New Roman"/>
                <w:sz w:val="20"/>
                <w:szCs w:val="20"/>
              </w:rPr>
            </w:pPr>
            <w:r>
              <w:rPr>
                <w:rFonts w:cs="Times New Roman"/>
                <w:sz w:val="20"/>
                <w:szCs w:val="20"/>
              </w:rPr>
              <w:t>Operating profit to total assets.</w:t>
            </w:r>
          </w:p>
        </w:tc>
      </w:tr>
      <w:tr w:rsidR="00EF1D3F" w:rsidRPr="00C15F52" w:rsidTr="007E1196">
        <w:trPr>
          <w:trHeight w:val="20"/>
        </w:trPr>
        <w:tc>
          <w:tcPr>
            <w:tcW w:w="1809" w:type="dxa"/>
            <w:tcBorders>
              <w:top w:val="nil"/>
              <w:left w:val="nil"/>
              <w:bottom w:val="nil"/>
              <w:right w:val="nil"/>
            </w:tcBorders>
          </w:tcPr>
          <w:p w:rsidR="00EF1D3F" w:rsidRPr="00C15F52" w:rsidRDefault="00EF1D3F" w:rsidP="007E1196">
            <w:pPr>
              <w:rPr>
                <w:rFonts w:cs="Times New Roman"/>
                <w:sz w:val="20"/>
                <w:szCs w:val="20"/>
              </w:rPr>
            </w:pPr>
            <w:r>
              <w:rPr>
                <w:rFonts w:cs="Times New Roman"/>
                <w:sz w:val="20"/>
                <w:szCs w:val="20"/>
              </w:rPr>
              <w:t xml:space="preserve">  GROWT</w:t>
            </w:r>
            <w:r w:rsidR="008F519E">
              <w:rPr>
                <w:rFonts w:cs="Times New Roman"/>
                <w:sz w:val="20"/>
                <w:szCs w:val="20"/>
              </w:rPr>
              <w:t>H</w:t>
            </w:r>
            <w:r>
              <w:rPr>
                <w:rFonts w:cs="Times New Roman"/>
                <w:sz w:val="20"/>
                <w:szCs w:val="20"/>
              </w:rPr>
              <w:t xml:space="preserve"> (%)</w:t>
            </w:r>
          </w:p>
        </w:tc>
        <w:tc>
          <w:tcPr>
            <w:tcW w:w="7433" w:type="dxa"/>
            <w:tcBorders>
              <w:top w:val="nil"/>
              <w:left w:val="nil"/>
              <w:bottom w:val="nil"/>
              <w:right w:val="nil"/>
            </w:tcBorders>
          </w:tcPr>
          <w:p w:rsidR="00EF1D3F" w:rsidRPr="00C15F52" w:rsidRDefault="00EF1D3F" w:rsidP="007E1196">
            <w:pPr>
              <w:rPr>
                <w:rFonts w:cs="Times New Roman"/>
                <w:sz w:val="20"/>
                <w:szCs w:val="20"/>
              </w:rPr>
            </w:pPr>
            <w:r w:rsidRPr="00C90C4E">
              <w:rPr>
                <w:rFonts w:cs="Times New Roman"/>
              </w:rPr>
              <w:t>Current year’s sales minus last year’s sales to last year’s sales</w:t>
            </w:r>
            <w:r w:rsidRPr="00C90C4E">
              <w:rPr>
                <w:rFonts w:cs="Times New Roman"/>
                <w:sz w:val="20"/>
                <w:szCs w:val="20"/>
              </w:rPr>
              <w:t>.</w:t>
            </w:r>
          </w:p>
        </w:tc>
      </w:tr>
      <w:tr w:rsidR="00EF1D3F" w:rsidRPr="00C15F52" w:rsidTr="007E1196">
        <w:trPr>
          <w:trHeight w:val="20"/>
        </w:trPr>
        <w:tc>
          <w:tcPr>
            <w:tcW w:w="1809" w:type="dxa"/>
            <w:tcBorders>
              <w:top w:val="nil"/>
              <w:left w:val="nil"/>
              <w:bottom w:val="nil"/>
              <w:right w:val="nil"/>
            </w:tcBorders>
          </w:tcPr>
          <w:p w:rsidR="00EF1D3F" w:rsidRPr="00C15F52" w:rsidRDefault="00EF1D3F" w:rsidP="007E1196">
            <w:pPr>
              <w:rPr>
                <w:rFonts w:cs="Times New Roman"/>
                <w:sz w:val="20"/>
                <w:szCs w:val="20"/>
              </w:rPr>
            </w:pPr>
            <w:r>
              <w:rPr>
                <w:rFonts w:cs="Times New Roman"/>
                <w:sz w:val="20"/>
                <w:szCs w:val="20"/>
              </w:rPr>
              <w:t xml:space="preserve">  LVRG (%)</w:t>
            </w:r>
          </w:p>
        </w:tc>
        <w:tc>
          <w:tcPr>
            <w:tcW w:w="7433" w:type="dxa"/>
            <w:tcBorders>
              <w:top w:val="nil"/>
              <w:left w:val="nil"/>
              <w:bottom w:val="nil"/>
              <w:right w:val="nil"/>
            </w:tcBorders>
          </w:tcPr>
          <w:p w:rsidR="00EF1D3F" w:rsidRPr="00C15F52" w:rsidRDefault="00EF1D3F" w:rsidP="007E1196">
            <w:pPr>
              <w:rPr>
                <w:rFonts w:cs="Times New Roman"/>
                <w:sz w:val="20"/>
                <w:szCs w:val="20"/>
              </w:rPr>
            </w:pPr>
            <w:r>
              <w:rPr>
                <w:rFonts w:cs="Times New Roman"/>
                <w:sz w:val="20"/>
                <w:szCs w:val="20"/>
              </w:rPr>
              <w:t xml:space="preserve">Book total debt scaled by total assets of a firm. </w:t>
            </w:r>
          </w:p>
        </w:tc>
      </w:tr>
      <w:tr w:rsidR="00EF1D3F" w:rsidRPr="00C15F52" w:rsidTr="007E1196">
        <w:trPr>
          <w:trHeight w:val="299"/>
        </w:trPr>
        <w:tc>
          <w:tcPr>
            <w:tcW w:w="1809" w:type="dxa"/>
            <w:tcBorders>
              <w:top w:val="nil"/>
              <w:left w:val="nil"/>
              <w:bottom w:val="nil"/>
              <w:right w:val="nil"/>
            </w:tcBorders>
          </w:tcPr>
          <w:p w:rsidR="00EF1D3F" w:rsidRPr="00C15F52" w:rsidRDefault="00EF1D3F" w:rsidP="007E1196">
            <w:pPr>
              <w:rPr>
                <w:rFonts w:cs="Times New Roman"/>
                <w:sz w:val="20"/>
                <w:szCs w:val="20"/>
              </w:rPr>
            </w:pPr>
            <w:r>
              <w:rPr>
                <w:rFonts w:cs="Times New Roman"/>
                <w:sz w:val="20"/>
                <w:szCs w:val="20"/>
              </w:rPr>
              <w:t xml:space="preserve">  INDUSTRY</w:t>
            </w:r>
          </w:p>
        </w:tc>
        <w:tc>
          <w:tcPr>
            <w:tcW w:w="7433" w:type="dxa"/>
            <w:tcBorders>
              <w:top w:val="nil"/>
              <w:left w:val="nil"/>
              <w:bottom w:val="nil"/>
              <w:right w:val="nil"/>
            </w:tcBorders>
          </w:tcPr>
          <w:p w:rsidR="00EF1D3F" w:rsidRPr="00C15F52" w:rsidRDefault="00EF1D3F" w:rsidP="007E1196">
            <w:pPr>
              <w:jc w:val="both"/>
              <w:rPr>
                <w:rFonts w:cs="Times New Roman"/>
                <w:sz w:val="20"/>
                <w:szCs w:val="20"/>
              </w:rPr>
            </w:pPr>
            <w:r>
              <w:rPr>
                <w:rFonts w:cs="Times New Roman"/>
                <w:sz w:val="20"/>
                <w:szCs w:val="20"/>
              </w:rPr>
              <w:t>Dummies for each of the eight industries.</w:t>
            </w:r>
          </w:p>
        </w:tc>
      </w:tr>
      <w:tr w:rsidR="00EF1D3F" w:rsidRPr="00C15F52" w:rsidTr="007E1196">
        <w:trPr>
          <w:trHeight w:val="299"/>
        </w:trPr>
        <w:tc>
          <w:tcPr>
            <w:tcW w:w="1809" w:type="dxa"/>
            <w:tcBorders>
              <w:top w:val="nil"/>
              <w:left w:val="nil"/>
              <w:bottom w:val="single" w:sz="2" w:space="0" w:color="auto"/>
              <w:right w:val="nil"/>
            </w:tcBorders>
          </w:tcPr>
          <w:p w:rsidR="00EF1D3F" w:rsidRPr="00C15F52" w:rsidRDefault="00EF1D3F" w:rsidP="007E1196">
            <w:pPr>
              <w:rPr>
                <w:rFonts w:cs="Times New Roman"/>
                <w:sz w:val="20"/>
                <w:szCs w:val="20"/>
              </w:rPr>
            </w:pPr>
            <w:r>
              <w:rPr>
                <w:rFonts w:cs="Times New Roman"/>
                <w:sz w:val="20"/>
                <w:szCs w:val="20"/>
              </w:rPr>
              <w:t xml:space="preserve">  YEAR</w:t>
            </w:r>
          </w:p>
        </w:tc>
        <w:tc>
          <w:tcPr>
            <w:tcW w:w="7433" w:type="dxa"/>
            <w:tcBorders>
              <w:top w:val="nil"/>
              <w:left w:val="nil"/>
              <w:bottom w:val="single" w:sz="2" w:space="0" w:color="auto"/>
              <w:right w:val="nil"/>
            </w:tcBorders>
          </w:tcPr>
          <w:p w:rsidR="00EF1D3F" w:rsidRPr="00C15F52" w:rsidRDefault="00EF1D3F" w:rsidP="007E1196">
            <w:pPr>
              <w:rPr>
                <w:rFonts w:cs="Times New Roman"/>
                <w:sz w:val="20"/>
                <w:szCs w:val="20"/>
              </w:rPr>
            </w:pPr>
            <w:r>
              <w:rPr>
                <w:rFonts w:cs="Times New Roman"/>
                <w:sz w:val="20"/>
                <w:szCs w:val="20"/>
              </w:rPr>
              <w:t>Dummies for each of the ten years.</w:t>
            </w:r>
          </w:p>
        </w:tc>
      </w:tr>
    </w:tbl>
    <w:p w:rsidR="00EF1D3F" w:rsidRPr="00C15F52" w:rsidRDefault="00EF1D3F" w:rsidP="00667DDA">
      <w:pPr>
        <w:pStyle w:val="BodyText"/>
        <w:rPr>
          <w:rFonts w:cs="Times New Roman"/>
        </w:rPr>
        <w:sectPr w:rsidR="00EF1D3F" w:rsidRPr="00C15F52" w:rsidSect="00D6376A">
          <w:headerReference w:type="default" r:id="rId20"/>
          <w:footerReference w:type="default" r:id="rId21"/>
          <w:pgSz w:w="11906" w:h="16838" w:code="9"/>
          <w:pgMar w:top="1247" w:right="1247" w:bottom="1247" w:left="1247" w:header="510" w:footer="510" w:gutter="0"/>
          <w:cols w:space="708"/>
          <w:docGrid w:linePitch="360"/>
        </w:sectPr>
      </w:pPr>
    </w:p>
    <w:p w:rsidR="00610A52" w:rsidRPr="00536B4C" w:rsidRDefault="00610A52" w:rsidP="00EF1D3F">
      <w:pPr>
        <w:pStyle w:val="Heading1"/>
        <w:numPr>
          <w:ilvl w:val="0"/>
          <w:numId w:val="0"/>
        </w:numPr>
        <w:rPr>
          <w:rFonts w:ascii="Times New Roman" w:hAnsi="Times New Roman"/>
        </w:rPr>
      </w:pPr>
    </w:p>
    <w:tbl>
      <w:tblPr>
        <w:tblW w:w="13806" w:type="dxa"/>
        <w:tblInd w:w="93" w:type="dxa"/>
        <w:tblLook w:val="00A0" w:firstRow="1" w:lastRow="0" w:firstColumn="1" w:lastColumn="0" w:noHBand="0" w:noVBand="0"/>
      </w:tblPr>
      <w:tblGrid>
        <w:gridCol w:w="1086"/>
        <w:gridCol w:w="1053"/>
        <w:gridCol w:w="1137"/>
        <w:gridCol w:w="1053"/>
        <w:gridCol w:w="1053"/>
        <w:gridCol w:w="1053"/>
        <w:gridCol w:w="1053"/>
        <w:gridCol w:w="1053"/>
        <w:gridCol w:w="1053"/>
        <w:gridCol w:w="1053"/>
        <w:gridCol w:w="1053"/>
        <w:gridCol w:w="1053"/>
        <w:gridCol w:w="1053"/>
      </w:tblGrid>
      <w:tr w:rsidR="00610A52" w:rsidRPr="00C15F52" w:rsidTr="00610A52">
        <w:trPr>
          <w:trHeight w:val="170"/>
        </w:trPr>
        <w:tc>
          <w:tcPr>
            <w:tcW w:w="13806" w:type="dxa"/>
            <w:gridSpan w:val="13"/>
            <w:tcBorders>
              <w:top w:val="single" w:sz="12" w:space="0" w:color="auto"/>
              <w:left w:val="nil"/>
              <w:bottom w:val="single" w:sz="8" w:space="0" w:color="auto"/>
              <w:right w:val="nil"/>
            </w:tcBorders>
            <w:noWrap/>
            <w:vAlign w:val="bottom"/>
          </w:tcPr>
          <w:p w:rsidR="008551FA" w:rsidRDefault="00610A52" w:rsidP="007B0552">
            <w:pPr>
              <w:rPr>
                <w:rFonts w:cs="Times New Roman"/>
                <w:b/>
                <w:bCs/>
                <w:sz w:val="20"/>
                <w:szCs w:val="20"/>
              </w:rPr>
            </w:pPr>
            <w:r w:rsidRPr="003214B9">
              <w:rPr>
                <w:rFonts w:cs="Times New Roman"/>
                <w:b/>
                <w:bCs/>
                <w:sz w:val="20"/>
                <w:szCs w:val="20"/>
              </w:rPr>
              <w:t xml:space="preserve">Table </w:t>
            </w:r>
            <w:r w:rsidR="002B1FA7" w:rsidRPr="003214B9">
              <w:rPr>
                <w:rFonts w:cs="Times New Roman"/>
                <w:b/>
                <w:bCs/>
                <w:sz w:val="20"/>
                <w:szCs w:val="20"/>
              </w:rPr>
              <w:t>3</w:t>
            </w:r>
          </w:p>
          <w:p w:rsidR="0074006F" w:rsidRPr="005A79E1" w:rsidRDefault="00610A52" w:rsidP="007B0552">
            <w:pPr>
              <w:rPr>
                <w:rFonts w:cs="Times New Roman"/>
                <w:b/>
                <w:bCs/>
                <w:sz w:val="16"/>
                <w:szCs w:val="16"/>
              </w:rPr>
            </w:pPr>
            <w:r w:rsidRPr="005A79E1">
              <w:rPr>
                <w:rFonts w:cs="Times New Roman"/>
                <w:b/>
                <w:sz w:val="20"/>
                <w:szCs w:val="20"/>
              </w:rPr>
              <w:t>Summary descriptive statistics of levels</w:t>
            </w:r>
            <w:r w:rsidR="009C7CF5" w:rsidRPr="005A79E1">
              <w:rPr>
                <w:rFonts w:cs="Times New Roman"/>
                <w:b/>
                <w:color w:val="000000"/>
                <w:sz w:val="20"/>
                <w:szCs w:val="20"/>
                <w:lang w:eastAsia="en-GB"/>
              </w:rPr>
              <w:t xml:space="preserve"> of compliance with corporate governance disclosure index (</w:t>
            </w:r>
            <w:r w:rsidR="007B0552" w:rsidRPr="005A79E1">
              <w:rPr>
                <w:rFonts w:cs="Times New Roman"/>
                <w:b/>
                <w:i/>
                <w:color w:val="000000"/>
                <w:sz w:val="20"/>
                <w:szCs w:val="20"/>
                <w:lang w:eastAsia="en-GB"/>
              </w:rPr>
              <w:t>O</w:t>
            </w:r>
            <w:r w:rsidR="009C7CF5" w:rsidRPr="005A79E1">
              <w:rPr>
                <w:rFonts w:cs="Times New Roman"/>
                <w:b/>
                <w:i/>
                <w:color w:val="000000"/>
                <w:sz w:val="20"/>
                <w:szCs w:val="20"/>
                <w:lang w:eastAsia="en-GB"/>
              </w:rPr>
              <w:t>CGI</w:t>
            </w:r>
            <w:r w:rsidR="009C7CF5" w:rsidRPr="005A79E1">
              <w:rPr>
                <w:rFonts w:cs="Times New Roman"/>
                <w:b/>
                <w:color w:val="000000"/>
                <w:sz w:val="20"/>
                <w:szCs w:val="20"/>
                <w:lang w:eastAsia="en-GB"/>
              </w:rPr>
              <w:t>) and sub-indices</w:t>
            </w:r>
            <w:r w:rsidR="009C7CF5" w:rsidRPr="005A79E1">
              <w:rPr>
                <w:rFonts w:cs="Times New Roman"/>
                <w:b/>
                <w:sz w:val="20"/>
                <w:szCs w:val="20"/>
              </w:rPr>
              <w:t xml:space="preserve"> (%)</w:t>
            </w:r>
          </w:p>
        </w:tc>
      </w:tr>
      <w:tr w:rsidR="00610A52" w:rsidRPr="00C15F52" w:rsidTr="009954BB">
        <w:trPr>
          <w:trHeight w:val="170"/>
        </w:trPr>
        <w:tc>
          <w:tcPr>
            <w:tcW w:w="1086" w:type="dxa"/>
            <w:tcBorders>
              <w:top w:val="single" w:sz="12" w:space="0" w:color="auto"/>
              <w:left w:val="nil"/>
              <w:bottom w:val="single" w:sz="8" w:space="0" w:color="auto"/>
              <w:right w:val="nil"/>
            </w:tcBorders>
            <w:noWrap/>
            <w:vAlign w:val="bottom"/>
          </w:tcPr>
          <w:p w:rsidR="00610A52" w:rsidRPr="00C15F52" w:rsidRDefault="00610A52" w:rsidP="00610A52">
            <w:pPr>
              <w:rPr>
                <w:rFonts w:cs="Times New Roman"/>
                <w:color w:val="000000"/>
                <w:sz w:val="16"/>
                <w:szCs w:val="16"/>
                <w:lang w:eastAsia="en-GB"/>
              </w:rPr>
            </w:pPr>
          </w:p>
        </w:tc>
        <w:tc>
          <w:tcPr>
            <w:tcW w:w="1053" w:type="dxa"/>
            <w:tcBorders>
              <w:top w:val="single" w:sz="12" w:space="0" w:color="auto"/>
              <w:left w:val="nil"/>
              <w:bottom w:val="single" w:sz="8" w:space="0" w:color="auto"/>
              <w:right w:val="nil"/>
            </w:tcBorders>
            <w:noWrap/>
            <w:vAlign w:val="bottom"/>
          </w:tcPr>
          <w:p w:rsidR="00D01645" w:rsidRPr="00C15F52" w:rsidRDefault="00C90C4E">
            <w:pPr>
              <w:jc w:val="center"/>
              <w:rPr>
                <w:rFonts w:cs="Times New Roman"/>
                <w:color w:val="000000"/>
                <w:sz w:val="16"/>
                <w:szCs w:val="16"/>
                <w:lang w:eastAsia="en-GB"/>
              </w:rPr>
            </w:pPr>
            <w:r w:rsidRPr="00C90C4E">
              <w:rPr>
                <w:rFonts w:cs="Times New Roman"/>
                <w:color w:val="000000"/>
                <w:sz w:val="16"/>
                <w:szCs w:val="16"/>
                <w:lang w:eastAsia="en-GB"/>
              </w:rPr>
              <w:t xml:space="preserve">       All</w:t>
            </w:r>
          </w:p>
        </w:tc>
        <w:tc>
          <w:tcPr>
            <w:tcW w:w="1137" w:type="dxa"/>
            <w:tcBorders>
              <w:top w:val="single" w:sz="12" w:space="0" w:color="auto"/>
              <w:left w:val="nil"/>
              <w:bottom w:val="single" w:sz="8" w:space="0" w:color="auto"/>
              <w:right w:val="nil"/>
            </w:tcBorders>
            <w:noWrap/>
          </w:tcPr>
          <w:p w:rsidR="00610A52" w:rsidRPr="00C15F52" w:rsidRDefault="00C90C4E" w:rsidP="00610A52">
            <w:pPr>
              <w:rPr>
                <w:rFonts w:cs="Times New Roman"/>
                <w:sz w:val="16"/>
                <w:szCs w:val="16"/>
              </w:rPr>
            </w:pPr>
            <w:r w:rsidRPr="00C90C4E">
              <w:rPr>
                <w:rFonts w:cs="Times New Roman"/>
                <w:color w:val="000000"/>
                <w:sz w:val="16"/>
                <w:szCs w:val="16"/>
                <w:lang w:eastAsia="en-GB"/>
              </w:rPr>
              <w:t xml:space="preserve">            2001</w:t>
            </w:r>
          </w:p>
        </w:tc>
        <w:tc>
          <w:tcPr>
            <w:tcW w:w="1053" w:type="dxa"/>
            <w:tcBorders>
              <w:top w:val="single" w:sz="12" w:space="0" w:color="auto"/>
              <w:left w:val="nil"/>
              <w:bottom w:val="single" w:sz="8" w:space="0" w:color="auto"/>
              <w:right w:val="nil"/>
            </w:tcBorders>
            <w:noWrap/>
          </w:tcPr>
          <w:p w:rsidR="00610A52" w:rsidRPr="00C15F52" w:rsidRDefault="00C90C4E" w:rsidP="00610A52">
            <w:pPr>
              <w:rPr>
                <w:rFonts w:cs="Times New Roman"/>
                <w:sz w:val="16"/>
                <w:szCs w:val="16"/>
              </w:rPr>
            </w:pPr>
            <w:r w:rsidRPr="00C90C4E">
              <w:rPr>
                <w:rFonts w:cs="Times New Roman"/>
                <w:color w:val="000000"/>
                <w:sz w:val="16"/>
                <w:szCs w:val="16"/>
                <w:lang w:eastAsia="en-GB"/>
              </w:rPr>
              <w:t xml:space="preserve">          2002</w:t>
            </w:r>
          </w:p>
        </w:tc>
        <w:tc>
          <w:tcPr>
            <w:tcW w:w="1053" w:type="dxa"/>
            <w:tcBorders>
              <w:top w:val="single" w:sz="12" w:space="0" w:color="auto"/>
              <w:left w:val="nil"/>
              <w:bottom w:val="single" w:sz="8" w:space="0" w:color="auto"/>
              <w:right w:val="nil"/>
            </w:tcBorders>
            <w:noWrap/>
          </w:tcPr>
          <w:p w:rsidR="00610A52" w:rsidRPr="00C15F52" w:rsidRDefault="00C90C4E" w:rsidP="00610A52">
            <w:pPr>
              <w:rPr>
                <w:rFonts w:cs="Times New Roman"/>
                <w:sz w:val="16"/>
                <w:szCs w:val="16"/>
              </w:rPr>
            </w:pPr>
            <w:r w:rsidRPr="00C90C4E">
              <w:rPr>
                <w:rFonts w:cs="Times New Roman"/>
                <w:color w:val="000000"/>
                <w:sz w:val="16"/>
                <w:szCs w:val="16"/>
                <w:lang w:eastAsia="en-GB"/>
              </w:rPr>
              <w:t xml:space="preserve">          2003</w:t>
            </w:r>
          </w:p>
        </w:tc>
        <w:tc>
          <w:tcPr>
            <w:tcW w:w="1053" w:type="dxa"/>
            <w:tcBorders>
              <w:top w:val="single" w:sz="12" w:space="0" w:color="auto"/>
              <w:left w:val="nil"/>
              <w:bottom w:val="single" w:sz="8" w:space="0" w:color="auto"/>
              <w:right w:val="nil"/>
            </w:tcBorders>
            <w:noWrap/>
            <w:vAlign w:val="bottom"/>
          </w:tcPr>
          <w:p w:rsidR="00610A52" w:rsidRPr="00C15F52" w:rsidRDefault="00C90C4E" w:rsidP="00610A52">
            <w:pPr>
              <w:jc w:val="center"/>
              <w:rPr>
                <w:rFonts w:cs="Times New Roman"/>
                <w:color w:val="000000"/>
                <w:sz w:val="16"/>
                <w:szCs w:val="16"/>
                <w:lang w:eastAsia="en-GB"/>
              </w:rPr>
            </w:pPr>
            <w:r w:rsidRPr="00C90C4E">
              <w:rPr>
                <w:rFonts w:cs="Times New Roman"/>
                <w:color w:val="000000"/>
                <w:sz w:val="16"/>
                <w:szCs w:val="16"/>
                <w:lang w:eastAsia="en-GB"/>
              </w:rPr>
              <w:t xml:space="preserve">       2004</w:t>
            </w:r>
          </w:p>
        </w:tc>
        <w:tc>
          <w:tcPr>
            <w:tcW w:w="1053" w:type="dxa"/>
            <w:tcBorders>
              <w:top w:val="single" w:sz="12" w:space="0" w:color="auto"/>
              <w:left w:val="nil"/>
              <w:bottom w:val="single" w:sz="8" w:space="0" w:color="auto"/>
              <w:right w:val="nil"/>
            </w:tcBorders>
            <w:noWrap/>
            <w:vAlign w:val="bottom"/>
          </w:tcPr>
          <w:p w:rsidR="00610A52" w:rsidRPr="00C15F52" w:rsidRDefault="00C90C4E" w:rsidP="00610A52">
            <w:pPr>
              <w:jc w:val="center"/>
              <w:rPr>
                <w:rFonts w:cs="Times New Roman"/>
                <w:color w:val="000000"/>
                <w:sz w:val="16"/>
                <w:szCs w:val="16"/>
                <w:lang w:eastAsia="en-GB"/>
              </w:rPr>
            </w:pPr>
            <w:r w:rsidRPr="00C90C4E">
              <w:rPr>
                <w:rFonts w:cs="Times New Roman"/>
                <w:color w:val="000000"/>
                <w:sz w:val="16"/>
                <w:szCs w:val="16"/>
                <w:lang w:eastAsia="en-GB"/>
              </w:rPr>
              <w:t xml:space="preserve">     2005</w:t>
            </w:r>
          </w:p>
        </w:tc>
        <w:tc>
          <w:tcPr>
            <w:tcW w:w="1053" w:type="dxa"/>
            <w:tcBorders>
              <w:top w:val="single" w:sz="12" w:space="0" w:color="auto"/>
              <w:left w:val="nil"/>
              <w:bottom w:val="single" w:sz="8" w:space="0" w:color="auto"/>
              <w:right w:val="nil"/>
            </w:tcBorders>
            <w:noWrap/>
            <w:vAlign w:val="bottom"/>
          </w:tcPr>
          <w:p w:rsidR="00610A52" w:rsidRPr="00C15F52" w:rsidRDefault="00C90C4E" w:rsidP="00610A52">
            <w:pPr>
              <w:jc w:val="center"/>
              <w:rPr>
                <w:rFonts w:cs="Times New Roman"/>
                <w:color w:val="000000"/>
                <w:sz w:val="16"/>
                <w:szCs w:val="16"/>
                <w:lang w:eastAsia="en-GB"/>
              </w:rPr>
            </w:pPr>
            <w:r w:rsidRPr="00C90C4E">
              <w:rPr>
                <w:rFonts w:cs="Times New Roman"/>
                <w:color w:val="000000"/>
                <w:sz w:val="16"/>
                <w:szCs w:val="16"/>
                <w:lang w:eastAsia="en-GB"/>
              </w:rPr>
              <w:t xml:space="preserve">      2006</w:t>
            </w:r>
          </w:p>
        </w:tc>
        <w:tc>
          <w:tcPr>
            <w:tcW w:w="1053" w:type="dxa"/>
            <w:tcBorders>
              <w:top w:val="single" w:sz="12" w:space="0" w:color="auto"/>
              <w:left w:val="nil"/>
              <w:bottom w:val="single" w:sz="8" w:space="0" w:color="auto"/>
              <w:right w:val="nil"/>
            </w:tcBorders>
            <w:noWrap/>
            <w:vAlign w:val="bottom"/>
          </w:tcPr>
          <w:p w:rsidR="00610A52" w:rsidRPr="00C15F52" w:rsidRDefault="00C90C4E" w:rsidP="00610A52">
            <w:pPr>
              <w:jc w:val="center"/>
              <w:rPr>
                <w:rFonts w:cs="Times New Roman"/>
                <w:color w:val="000000"/>
                <w:sz w:val="16"/>
                <w:szCs w:val="16"/>
                <w:lang w:eastAsia="en-GB"/>
              </w:rPr>
            </w:pPr>
            <w:r w:rsidRPr="00C90C4E">
              <w:rPr>
                <w:rFonts w:cs="Times New Roman"/>
                <w:color w:val="000000"/>
                <w:sz w:val="16"/>
                <w:szCs w:val="16"/>
                <w:lang w:eastAsia="en-GB"/>
              </w:rPr>
              <w:t xml:space="preserve">       2007</w:t>
            </w:r>
          </w:p>
        </w:tc>
        <w:tc>
          <w:tcPr>
            <w:tcW w:w="1053" w:type="dxa"/>
            <w:tcBorders>
              <w:top w:val="single" w:sz="12" w:space="0" w:color="auto"/>
              <w:left w:val="nil"/>
              <w:bottom w:val="single" w:sz="8" w:space="0" w:color="auto"/>
              <w:right w:val="nil"/>
            </w:tcBorders>
            <w:vAlign w:val="bottom"/>
          </w:tcPr>
          <w:p w:rsidR="00610A52" w:rsidRPr="00C15F52" w:rsidRDefault="00C90C4E" w:rsidP="00610A52">
            <w:pPr>
              <w:jc w:val="center"/>
              <w:rPr>
                <w:rFonts w:cs="Times New Roman"/>
                <w:color w:val="000000"/>
                <w:sz w:val="16"/>
                <w:szCs w:val="16"/>
                <w:lang w:eastAsia="en-GB"/>
              </w:rPr>
            </w:pPr>
            <w:r w:rsidRPr="00C90C4E">
              <w:rPr>
                <w:rFonts w:cs="Times New Roman"/>
                <w:color w:val="000000"/>
                <w:sz w:val="16"/>
                <w:szCs w:val="16"/>
                <w:lang w:eastAsia="en-GB"/>
              </w:rPr>
              <w:t xml:space="preserve">        2008</w:t>
            </w:r>
          </w:p>
        </w:tc>
        <w:tc>
          <w:tcPr>
            <w:tcW w:w="1053" w:type="dxa"/>
            <w:tcBorders>
              <w:top w:val="single" w:sz="12" w:space="0" w:color="auto"/>
              <w:left w:val="nil"/>
              <w:bottom w:val="single" w:sz="8" w:space="0" w:color="auto"/>
              <w:right w:val="nil"/>
            </w:tcBorders>
            <w:vAlign w:val="bottom"/>
          </w:tcPr>
          <w:p w:rsidR="00610A52" w:rsidRPr="00C15F52" w:rsidRDefault="00C90C4E" w:rsidP="00610A52">
            <w:pPr>
              <w:jc w:val="center"/>
              <w:rPr>
                <w:rFonts w:cs="Times New Roman"/>
                <w:color w:val="000000"/>
                <w:sz w:val="16"/>
                <w:szCs w:val="16"/>
                <w:lang w:eastAsia="en-GB"/>
              </w:rPr>
            </w:pPr>
            <w:r w:rsidRPr="00C90C4E">
              <w:rPr>
                <w:rFonts w:cs="Times New Roman"/>
                <w:color w:val="000000"/>
                <w:sz w:val="16"/>
                <w:szCs w:val="16"/>
                <w:lang w:eastAsia="en-GB"/>
              </w:rPr>
              <w:t xml:space="preserve">        2009</w:t>
            </w:r>
          </w:p>
        </w:tc>
        <w:tc>
          <w:tcPr>
            <w:tcW w:w="1053" w:type="dxa"/>
            <w:tcBorders>
              <w:top w:val="single" w:sz="12" w:space="0" w:color="auto"/>
              <w:left w:val="nil"/>
              <w:bottom w:val="single" w:sz="8" w:space="0" w:color="auto"/>
              <w:right w:val="nil"/>
            </w:tcBorders>
            <w:vAlign w:val="bottom"/>
          </w:tcPr>
          <w:p w:rsidR="00610A52" w:rsidRPr="00C15F52" w:rsidRDefault="00C90C4E" w:rsidP="00610A52">
            <w:pPr>
              <w:jc w:val="center"/>
              <w:rPr>
                <w:rFonts w:cs="Times New Roman"/>
                <w:color w:val="000000"/>
                <w:sz w:val="16"/>
                <w:szCs w:val="16"/>
                <w:lang w:eastAsia="en-GB"/>
              </w:rPr>
            </w:pPr>
            <w:r w:rsidRPr="00C90C4E">
              <w:rPr>
                <w:rFonts w:cs="Times New Roman"/>
                <w:color w:val="000000"/>
                <w:sz w:val="16"/>
                <w:szCs w:val="16"/>
                <w:lang w:eastAsia="en-GB"/>
              </w:rPr>
              <w:t xml:space="preserve">        2010</w:t>
            </w:r>
          </w:p>
        </w:tc>
        <w:tc>
          <w:tcPr>
            <w:tcW w:w="1053" w:type="dxa"/>
            <w:tcBorders>
              <w:top w:val="single" w:sz="12" w:space="0" w:color="auto"/>
              <w:left w:val="nil"/>
              <w:bottom w:val="single" w:sz="8" w:space="0" w:color="auto"/>
              <w:right w:val="nil"/>
            </w:tcBorders>
          </w:tcPr>
          <w:p w:rsidR="00610A52" w:rsidRPr="00C15F52" w:rsidRDefault="00C90C4E" w:rsidP="00610A52">
            <w:pPr>
              <w:jc w:val="center"/>
              <w:rPr>
                <w:rFonts w:cs="Times New Roman"/>
                <w:color w:val="000000"/>
                <w:sz w:val="16"/>
                <w:szCs w:val="16"/>
                <w:lang w:eastAsia="en-GB"/>
              </w:rPr>
            </w:pPr>
            <w:r w:rsidRPr="00C90C4E">
              <w:rPr>
                <w:rFonts w:cs="Times New Roman"/>
                <w:color w:val="000000"/>
                <w:sz w:val="16"/>
                <w:szCs w:val="16"/>
                <w:lang w:eastAsia="en-GB"/>
              </w:rPr>
              <w:t xml:space="preserve">        2011</w:t>
            </w:r>
          </w:p>
        </w:tc>
      </w:tr>
      <w:tr w:rsidR="00610A52" w:rsidRPr="00536B4C" w:rsidTr="00610A52">
        <w:trPr>
          <w:trHeight w:val="218"/>
        </w:trPr>
        <w:tc>
          <w:tcPr>
            <w:tcW w:w="13806" w:type="dxa"/>
            <w:gridSpan w:val="13"/>
            <w:tcBorders>
              <w:top w:val="nil"/>
              <w:left w:val="nil"/>
              <w:bottom w:val="nil"/>
              <w:right w:val="nil"/>
            </w:tcBorders>
            <w:noWrap/>
            <w:vAlign w:val="center"/>
          </w:tcPr>
          <w:p w:rsidR="00610A52" w:rsidRPr="00536B4C" w:rsidRDefault="00EE5C2A" w:rsidP="007B0552">
            <w:pPr>
              <w:rPr>
                <w:rFonts w:cs="Times New Roman"/>
                <w:color w:val="000000"/>
                <w:sz w:val="16"/>
                <w:szCs w:val="16"/>
              </w:rPr>
            </w:pPr>
            <w:r w:rsidRPr="00536B4C">
              <w:rPr>
                <w:rFonts w:cs="Times New Roman"/>
                <w:i/>
                <w:iCs/>
                <w:color w:val="000000"/>
                <w:sz w:val="18"/>
                <w:szCs w:val="18"/>
                <w:lang w:eastAsia="en-GB"/>
              </w:rPr>
              <w:t>Panel A</w:t>
            </w:r>
            <w:r w:rsidRPr="00536B4C">
              <w:rPr>
                <w:rFonts w:cs="Times New Roman"/>
                <w:color w:val="000000"/>
                <w:sz w:val="18"/>
                <w:szCs w:val="18"/>
                <w:lang w:eastAsia="en-GB"/>
              </w:rPr>
              <w:t xml:space="preserve">: </w:t>
            </w:r>
            <w:r w:rsidR="00610A52" w:rsidRPr="00536B4C">
              <w:rPr>
                <w:rFonts w:cs="Times New Roman"/>
                <w:i/>
                <w:iCs/>
                <w:color w:val="000000"/>
                <w:sz w:val="16"/>
                <w:szCs w:val="16"/>
                <w:lang w:eastAsia="en-GB"/>
              </w:rPr>
              <w:t>A</w:t>
            </w:r>
            <w:r w:rsidR="007B0552">
              <w:rPr>
                <w:rFonts w:cs="Times New Roman"/>
                <w:i/>
                <w:iCs/>
                <w:color w:val="000000"/>
                <w:sz w:val="16"/>
                <w:szCs w:val="16"/>
                <w:lang w:eastAsia="en-GB"/>
              </w:rPr>
              <w:t>ll provisions contained in the O</w:t>
            </w:r>
            <w:r w:rsidR="00610A52" w:rsidRPr="00536B4C">
              <w:rPr>
                <w:rFonts w:cs="Times New Roman"/>
                <w:i/>
                <w:iCs/>
                <w:color w:val="000000"/>
                <w:sz w:val="16"/>
                <w:szCs w:val="16"/>
                <w:lang w:eastAsia="en-GB"/>
              </w:rPr>
              <w:t>audi corporate governance index (</w:t>
            </w:r>
            <w:r w:rsidR="007B0552">
              <w:rPr>
                <w:rFonts w:cs="Times New Roman"/>
                <w:i/>
                <w:iCs/>
                <w:color w:val="000000"/>
                <w:sz w:val="16"/>
                <w:szCs w:val="16"/>
                <w:lang w:eastAsia="en-GB"/>
              </w:rPr>
              <w:t>O</w:t>
            </w:r>
            <w:r w:rsidR="00610A52" w:rsidRPr="00536B4C">
              <w:rPr>
                <w:rFonts w:cs="Times New Roman"/>
                <w:i/>
                <w:iCs/>
                <w:color w:val="000000"/>
                <w:sz w:val="16"/>
                <w:szCs w:val="16"/>
                <w:lang w:eastAsia="en-GB"/>
              </w:rPr>
              <w:t>CGI)</w:t>
            </w:r>
          </w:p>
        </w:tc>
      </w:tr>
      <w:tr w:rsidR="00610A52" w:rsidRPr="00536B4C" w:rsidTr="00610A52">
        <w:trPr>
          <w:trHeight w:val="218"/>
        </w:trPr>
        <w:tc>
          <w:tcPr>
            <w:tcW w:w="1086" w:type="dxa"/>
            <w:tcBorders>
              <w:top w:val="nil"/>
              <w:left w:val="nil"/>
              <w:bottom w:val="nil"/>
              <w:right w:val="nil"/>
            </w:tcBorders>
            <w:noWrap/>
            <w:vAlign w:val="center"/>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Mean</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47.8974</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6.7819</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17.4190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33.6627</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47.2222</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54.0351</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55.3686</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58.6336</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59.6248</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60.9284</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61.0749</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60.1768</w:t>
            </w:r>
          </w:p>
        </w:tc>
      </w:tr>
      <w:tr w:rsidR="00610A52" w:rsidRPr="00536B4C" w:rsidTr="00610A52">
        <w:trPr>
          <w:trHeight w:val="238"/>
        </w:trPr>
        <w:tc>
          <w:tcPr>
            <w:tcW w:w="1086" w:type="dxa"/>
            <w:tcBorders>
              <w:top w:val="nil"/>
              <w:left w:val="nil"/>
              <w:bottom w:val="nil"/>
              <w:right w:val="nil"/>
            </w:tcBorders>
            <w:noWrap/>
            <w:vAlign w:val="center"/>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Median</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54.1667</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5.5556</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8.3333</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41.6667</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54.1667</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55.5556</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58.3333</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59.0278</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59.7222</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59.7222</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59.7222</w:t>
            </w:r>
          </w:p>
        </w:tc>
      </w:tr>
      <w:tr w:rsidR="00610A52" w:rsidRPr="00536B4C" w:rsidTr="00610A52">
        <w:trPr>
          <w:trHeight w:val="20"/>
        </w:trPr>
        <w:tc>
          <w:tcPr>
            <w:tcW w:w="1086" w:type="dxa"/>
            <w:tcBorders>
              <w:top w:val="nil"/>
              <w:left w:val="nil"/>
              <w:bottom w:val="nil"/>
              <w:right w:val="nil"/>
            </w:tcBorders>
            <w:noWrap/>
            <w:vAlign w:val="center"/>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STD</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21.7747</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2.3565</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16.7201</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21.7550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17.4887</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11.5620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10.9602</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10.7947</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9.9774</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9.9513</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9.9535</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9.2303</w:t>
            </w:r>
          </w:p>
        </w:tc>
      </w:tr>
      <w:tr w:rsidR="00610A52" w:rsidRPr="00536B4C" w:rsidTr="00610A52">
        <w:trPr>
          <w:trHeight w:val="20"/>
        </w:trPr>
        <w:tc>
          <w:tcPr>
            <w:tcW w:w="1086" w:type="dxa"/>
            <w:tcBorders>
              <w:top w:val="nil"/>
              <w:left w:val="nil"/>
              <w:bottom w:val="nil"/>
              <w:right w:val="nil"/>
            </w:tcBorders>
            <w:noWrap/>
            <w:vAlign w:val="center"/>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Min</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1.3889</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1.3889</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2.7778</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1.3889</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1.3889</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4.1667</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6.9444</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34.7222</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34.7222</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34.7222</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30.5556</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33.3333</w:t>
            </w:r>
          </w:p>
        </w:tc>
      </w:tr>
      <w:tr w:rsidR="00610A52" w:rsidRPr="00536B4C" w:rsidTr="00610A52">
        <w:trPr>
          <w:trHeight w:val="20"/>
        </w:trPr>
        <w:tc>
          <w:tcPr>
            <w:tcW w:w="1086" w:type="dxa"/>
            <w:tcBorders>
              <w:top w:val="nil"/>
              <w:left w:val="nil"/>
              <w:bottom w:val="nil"/>
              <w:right w:val="nil"/>
            </w:tcBorders>
            <w:noWrap/>
            <w:vAlign w:val="center"/>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Max</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88.8889</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12.5000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62.5000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73.6111</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75.0000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77.7778</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77.7778</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88.8889</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87.5000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88.8889</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87.5000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84.7222</w:t>
            </w:r>
          </w:p>
        </w:tc>
      </w:tr>
      <w:tr w:rsidR="00610A52" w:rsidRPr="00C15F52" w:rsidTr="00610A52">
        <w:trPr>
          <w:trHeight w:val="170"/>
        </w:trPr>
        <w:tc>
          <w:tcPr>
            <w:tcW w:w="13806" w:type="dxa"/>
            <w:gridSpan w:val="13"/>
            <w:tcBorders>
              <w:top w:val="nil"/>
              <w:left w:val="nil"/>
              <w:bottom w:val="nil"/>
              <w:right w:val="nil"/>
            </w:tcBorders>
            <w:noWrap/>
            <w:vAlign w:val="bottom"/>
          </w:tcPr>
          <w:p w:rsidR="00610A52" w:rsidRPr="00A65E2B" w:rsidRDefault="00EE5C2A" w:rsidP="00610A52">
            <w:pPr>
              <w:rPr>
                <w:rFonts w:cs="Times New Roman"/>
                <w:i/>
                <w:iCs/>
                <w:color w:val="000000"/>
                <w:sz w:val="16"/>
                <w:szCs w:val="16"/>
                <w:lang w:eastAsia="en-GB"/>
              </w:rPr>
            </w:pPr>
            <w:r w:rsidRPr="00536B4C">
              <w:rPr>
                <w:rFonts w:cs="Times New Roman"/>
                <w:i/>
                <w:iCs/>
                <w:color w:val="000000"/>
                <w:sz w:val="18"/>
                <w:szCs w:val="18"/>
                <w:lang w:eastAsia="en-GB"/>
              </w:rPr>
              <w:t>Panel B</w:t>
            </w:r>
            <w:r w:rsidRPr="00536B4C">
              <w:rPr>
                <w:rFonts w:cs="Times New Roman"/>
                <w:color w:val="000000"/>
                <w:sz w:val="18"/>
                <w:szCs w:val="18"/>
                <w:lang w:eastAsia="en-GB"/>
              </w:rPr>
              <w:t xml:space="preserve">: </w:t>
            </w:r>
            <w:r w:rsidR="00610A52" w:rsidRPr="00536B4C">
              <w:rPr>
                <w:rFonts w:cs="Times New Roman"/>
                <w:i/>
                <w:iCs/>
                <w:sz w:val="16"/>
                <w:szCs w:val="16"/>
              </w:rPr>
              <w:t>Board &amp; Directors</w:t>
            </w:r>
          </w:p>
        </w:tc>
      </w:tr>
      <w:tr w:rsidR="00610A52" w:rsidRPr="00536B4C" w:rsidTr="00610A52">
        <w:trPr>
          <w:trHeight w:val="170"/>
        </w:trPr>
        <w:tc>
          <w:tcPr>
            <w:tcW w:w="1086" w:type="dxa"/>
            <w:tcBorders>
              <w:top w:val="nil"/>
              <w:left w:val="nil"/>
              <w:bottom w:val="nil"/>
              <w:right w:val="nil"/>
            </w:tcBorders>
            <w:noWrap/>
            <w:vAlign w:val="center"/>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Mean</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38.5884</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1.5276</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11.0577</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25.0330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37.0538</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43.0499</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43.8856</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48.0480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49.4602</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50.9447</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51.2821</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51.9114</w:t>
            </w:r>
          </w:p>
        </w:tc>
      </w:tr>
      <w:tr w:rsidR="00610A52" w:rsidRPr="00536B4C" w:rsidTr="00610A52">
        <w:trPr>
          <w:trHeight w:val="170"/>
        </w:trPr>
        <w:tc>
          <w:tcPr>
            <w:tcW w:w="1086" w:type="dxa"/>
            <w:tcBorders>
              <w:top w:val="nil"/>
              <w:left w:val="nil"/>
              <w:bottom w:val="nil"/>
              <w:right w:val="nil"/>
            </w:tcBorders>
            <w:noWrap/>
            <w:vAlign w:val="center"/>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Median</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41.0256</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1.2821</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2.5641</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28.2051</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35.8974</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38.4615</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41.0256</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46.1538</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48.7179</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51.2821</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53.8462</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53.8462</w:t>
            </w:r>
          </w:p>
        </w:tc>
      </w:tr>
      <w:tr w:rsidR="00610A52" w:rsidRPr="00536B4C" w:rsidTr="00610A52">
        <w:trPr>
          <w:trHeight w:val="170"/>
        </w:trPr>
        <w:tc>
          <w:tcPr>
            <w:tcW w:w="1086" w:type="dxa"/>
            <w:tcBorders>
              <w:top w:val="nil"/>
              <w:left w:val="nil"/>
              <w:bottom w:val="nil"/>
              <w:right w:val="nil"/>
            </w:tcBorders>
            <w:noWrap/>
            <w:vAlign w:val="center"/>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STD</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21.8379</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1.7362</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16.1583</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20.4284</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17.4004</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13.9938</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13.3751</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14.8256</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13.8301</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14.2274</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14.4050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13.6839</w:t>
            </w:r>
          </w:p>
        </w:tc>
      </w:tr>
      <w:tr w:rsidR="00610A52" w:rsidRPr="00536B4C" w:rsidTr="00610A52">
        <w:trPr>
          <w:trHeight w:val="170"/>
        </w:trPr>
        <w:tc>
          <w:tcPr>
            <w:tcW w:w="1086" w:type="dxa"/>
            <w:tcBorders>
              <w:top w:val="nil"/>
              <w:left w:val="nil"/>
              <w:bottom w:val="nil"/>
              <w:right w:val="nil"/>
            </w:tcBorders>
            <w:noWrap/>
            <w:vAlign w:val="center"/>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Min</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20.5128</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25.6410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25.6410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17.9487</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20.5128</w:t>
            </w:r>
          </w:p>
        </w:tc>
      </w:tr>
      <w:tr w:rsidR="00610A52" w:rsidRPr="00536B4C" w:rsidTr="00610A52">
        <w:trPr>
          <w:trHeight w:val="170"/>
        </w:trPr>
        <w:tc>
          <w:tcPr>
            <w:tcW w:w="1086" w:type="dxa"/>
            <w:tcBorders>
              <w:top w:val="nil"/>
              <w:left w:val="nil"/>
              <w:bottom w:val="nil"/>
              <w:right w:val="nil"/>
            </w:tcBorders>
            <w:noWrap/>
            <w:vAlign w:val="center"/>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Max</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97.4359</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7.6923</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58.9744</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71.7949</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74.3590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79.4872</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76.9231</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97.4359</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97.4359</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97.4359</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97.4359</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97.4359</w:t>
            </w:r>
          </w:p>
        </w:tc>
      </w:tr>
      <w:tr w:rsidR="00610A52" w:rsidRPr="00C15F52" w:rsidTr="00610A52">
        <w:trPr>
          <w:trHeight w:val="170"/>
        </w:trPr>
        <w:tc>
          <w:tcPr>
            <w:tcW w:w="13806" w:type="dxa"/>
            <w:gridSpan w:val="13"/>
            <w:tcBorders>
              <w:top w:val="nil"/>
              <w:left w:val="nil"/>
              <w:bottom w:val="nil"/>
              <w:right w:val="nil"/>
            </w:tcBorders>
            <w:noWrap/>
            <w:vAlign w:val="bottom"/>
          </w:tcPr>
          <w:p w:rsidR="00610A52" w:rsidRPr="00C15F52" w:rsidRDefault="00EE5C2A" w:rsidP="00610A52">
            <w:pPr>
              <w:rPr>
                <w:rFonts w:cs="Times New Roman"/>
                <w:i/>
                <w:iCs/>
                <w:color w:val="000000"/>
                <w:sz w:val="16"/>
                <w:szCs w:val="16"/>
                <w:lang w:eastAsia="en-GB"/>
              </w:rPr>
            </w:pPr>
            <w:r w:rsidRPr="00536B4C">
              <w:rPr>
                <w:rFonts w:cs="Times New Roman"/>
                <w:i/>
                <w:iCs/>
                <w:color w:val="000000"/>
                <w:sz w:val="18"/>
                <w:szCs w:val="18"/>
                <w:lang w:eastAsia="en-GB"/>
              </w:rPr>
              <w:t xml:space="preserve">Panel </w:t>
            </w:r>
            <w:r w:rsidR="00642F6F" w:rsidRPr="00536B4C">
              <w:rPr>
                <w:rFonts w:cs="Times New Roman"/>
                <w:i/>
                <w:iCs/>
                <w:color w:val="000000"/>
                <w:sz w:val="18"/>
                <w:szCs w:val="18"/>
                <w:lang w:eastAsia="en-GB"/>
              </w:rPr>
              <w:t>C</w:t>
            </w:r>
            <w:r w:rsidRPr="00536B4C">
              <w:rPr>
                <w:rFonts w:cs="Times New Roman"/>
                <w:color w:val="000000"/>
                <w:sz w:val="18"/>
                <w:szCs w:val="18"/>
                <w:lang w:eastAsia="en-GB"/>
              </w:rPr>
              <w:t xml:space="preserve">: </w:t>
            </w:r>
            <w:r w:rsidR="00610A52" w:rsidRPr="00A65E2B">
              <w:rPr>
                <w:rFonts w:cs="Times New Roman"/>
                <w:i/>
                <w:iCs/>
                <w:sz w:val="16"/>
                <w:szCs w:val="16"/>
              </w:rPr>
              <w:t>Accounting &amp; Auditing</w:t>
            </w:r>
          </w:p>
        </w:tc>
      </w:tr>
      <w:tr w:rsidR="00610A52" w:rsidRPr="00536B4C" w:rsidTr="00610A52">
        <w:trPr>
          <w:trHeight w:val="170"/>
        </w:trPr>
        <w:tc>
          <w:tcPr>
            <w:tcW w:w="1086" w:type="dxa"/>
            <w:tcBorders>
              <w:top w:val="nil"/>
              <w:left w:val="nil"/>
              <w:bottom w:val="nil"/>
              <w:right w:val="nil"/>
            </w:tcBorders>
            <w:noWrap/>
            <w:vAlign w:val="center"/>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Mean</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75.3720</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20.6845</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54.6392</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79.8319</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92.1805</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92.9945</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92.6641</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92.9825</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94.8622</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95.0311</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94.0260</w:t>
            </w:r>
          </w:p>
        </w:tc>
      </w:tr>
      <w:tr w:rsidR="00610A52" w:rsidRPr="00536B4C" w:rsidTr="00610A52">
        <w:trPr>
          <w:trHeight w:val="170"/>
        </w:trPr>
        <w:tc>
          <w:tcPr>
            <w:tcW w:w="1086" w:type="dxa"/>
            <w:tcBorders>
              <w:top w:val="nil"/>
              <w:left w:val="nil"/>
              <w:bottom w:val="nil"/>
              <w:right w:val="nil"/>
            </w:tcBorders>
            <w:noWrap/>
            <w:vAlign w:val="center"/>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Median</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71.4286</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r>
      <w:tr w:rsidR="00610A52" w:rsidRPr="00536B4C" w:rsidTr="00610A52">
        <w:trPr>
          <w:trHeight w:val="170"/>
        </w:trPr>
        <w:tc>
          <w:tcPr>
            <w:tcW w:w="1086" w:type="dxa"/>
            <w:tcBorders>
              <w:top w:val="nil"/>
              <w:left w:val="nil"/>
              <w:bottom w:val="nil"/>
              <w:right w:val="nil"/>
            </w:tcBorders>
            <w:noWrap/>
            <w:vAlign w:val="center"/>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STD</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38.9407</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34.8000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44.4166</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35.9808</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17.4053</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17.0077</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18.1587</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16.3762</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14.6141</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14.2912</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13.3202</w:t>
            </w:r>
          </w:p>
        </w:tc>
      </w:tr>
      <w:tr w:rsidR="00610A52" w:rsidRPr="00536B4C" w:rsidTr="00610A52">
        <w:trPr>
          <w:trHeight w:val="170"/>
        </w:trPr>
        <w:tc>
          <w:tcPr>
            <w:tcW w:w="1086" w:type="dxa"/>
            <w:tcBorders>
              <w:top w:val="nil"/>
              <w:left w:val="nil"/>
              <w:bottom w:val="nil"/>
              <w:right w:val="nil"/>
            </w:tcBorders>
            <w:noWrap/>
            <w:vAlign w:val="center"/>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Min</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28.5714</w:t>
            </w:r>
          </w:p>
        </w:tc>
      </w:tr>
      <w:tr w:rsidR="00610A52" w:rsidRPr="00536B4C" w:rsidTr="00610A52">
        <w:trPr>
          <w:trHeight w:val="170"/>
        </w:trPr>
        <w:tc>
          <w:tcPr>
            <w:tcW w:w="1086" w:type="dxa"/>
            <w:tcBorders>
              <w:top w:val="nil"/>
              <w:left w:val="nil"/>
              <w:bottom w:val="nil"/>
              <w:right w:val="nil"/>
            </w:tcBorders>
            <w:noWrap/>
            <w:vAlign w:val="center"/>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Max</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r>
      <w:tr w:rsidR="00610A52" w:rsidRPr="00C15F52" w:rsidTr="00610A52">
        <w:trPr>
          <w:trHeight w:val="237"/>
        </w:trPr>
        <w:tc>
          <w:tcPr>
            <w:tcW w:w="13806" w:type="dxa"/>
            <w:gridSpan w:val="13"/>
            <w:tcBorders>
              <w:top w:val="nil"/>
              <w:left w:val="nil"/>
              <w:bottom w:val="nil"/>
              <w:right w:val="nil"/>
            </w:tcBorders>
            <w:noWrap/>
            <w:vAlign w:val="bottom"/>
          </w:tcPr>
          <w:p w:rsidR="00610A52" w:rsidRPr="00C15F52" w:rsidRDefault="00EE5C2A" w:rsidP="00610A52">
            <w:pPr>
              <w:rPr>
                <w:rFonts w:cs="Times New Roman"/>
                <w:i/>
                <w:iCs/>
                <w:color w:val="000000"/>
                <w:sz w:val="16"/>
                <w:szCs w:val="16"/>
                <w:lang w:eastAsia="en-GB"/>
              </w:rPr>
            </w:pPr>
            <w:r w:rsidRPr="00536B4C">
              <w:rPr>
                <w:rFonts w:cs="Times New Roman"/>
                <w:i/>
                <w:iCs/>
                <w:color w:val="000000"/>
                <w:sz w:val="18"/>
                <w:szCs w:val="18"/>
                <w:lang w:eastAsia="en-GB"/>
              </w:rPr>
              <w:t xml:space="preserve">Panel </w:t>
            </w:r>
            <w:r w:rsidR="00642F6F" w:rsidRPr="00536B4C">
              <w:rPr>
                <w:rFonts w:cs="Times New Roman"/>
                <w:i/>
                <w:iCs/>
                <w:color w:val="000000"/>
                <w:sz w:val="18"/>
                <w:szCs w:val="18"/>
                <w:lang w:eastAsia="en-GB"/>
              </w:rPr>
              <w:t>D</w:t>
            </w:r>
            <w:r w:rsidRPr="00536B4C">
              <w:rPr>
                <w:rFonts w:cs="Times New Roman"/>
                <w:color w:val="000000"/>
                <w:sz w:val="18"/>
                <w:szCs w:val="18"/>
                <w:lang w:eastAsia="en-GB"/>
              </w:rPr>
              <w:t xml:space="preserve">: </w:t>
            </w:r>
            <w:r w:rsidR="00610A52" w:rsidRPr="00A65E2B">
              <w:rPr>
                <w:rFonts w:cs="Times New Roman"/>
                <w:i/>
                <w:iCs/>
                <w:sz w:val="16"/>
                <w:szCs w:val="16"/>
              </w:rPr>
              <w:t>External Auditors &amp; Internal Control Systems</w:t>
            </w:r>
          </w:p>
        </w:tc>
      </w:tr>
      <w:tr w:rsidR="00610A52" w:rsidRPr="00536B4C" w:rsidTr="00610A52">
        <w:trPr>
          <w:trHeight w:val="170"/>
        </w:trPr>
        <w:tc>
          <w:tcPr>
            <w:tcW w:w="1086" w:type="dxa"/>
            <w:tcBorders>
              <w:top w:val="nil"/>
              <w:left w:val="nil"/>
              <w:bottom w:val="nil"/>
              <w:right w:val="nil"/>
            </w:tcBorders>
            <w:noWrap/>
            <w:vAlign w:val="bottom"/>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Mean</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2.4300</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2.3900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2.3400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3.3500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1.9600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1.3200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2.8800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2.4800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2.4100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2.1900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2.3900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2.9500</w:t>
            </w:r>
          </w:p>
        </w:tc>
      </w:tr>
      <w:tr w:rsidR="00610A52" w:rsidRPr="00536B4C" w:rsidTr="00610A52">
        <w:trPr>
          <w:trHeight w:val="170"/>
        </w:trPr>
        <w:tc>
          <w:tcPr>
            <w:tcW w:w="1086" w:type="dxa"/>
            <w:tcBorders>
              <w:top w:val="nil"/>
              <w:left w:val="nil"/>
              <w:bottom w:val="nil"/>
              <w:right w:val="nil"/>
            </w:tcBorders>
            <w:noWrap/>
            <w:vAlign w:val="bottom"/>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Median</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r>
      <w:tr w:rsidR="00610A52" w:rsidRPr="00536B4C" w:rsidTr="00610A52">
        <w:trPr>
          <w:trHeight w:val="170"/>
        </w:trPr>
        <w:tc>
          <w:tcPr>
            <w:tcW w:w="1086" w:type="dxa"/>
            <w:tcBorders>
              <w:top w:val="nil"/>
              <w:left w:val="nil"/>
              <w:bottom w:val="nil"/>
              <w:right w:val="nil"/>
            </w:tcBorders>
            <w:noWrap/>
            <w:vAlign w:val="bottom"/>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STD</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7.7670</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7.3950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7.3250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8.5610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6.7540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5.6120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8.7490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8.2260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8.1260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7.8430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8.0930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8.1080</w:t>
            </w:r>
          </w:p>
        </w:tc>
      </w:tr>
      <w:tr w:rsidR="00610A52" w:rsidRPr="00536B4C" w:rsidTr="00610A52">
        <w:trPr>
          <w:trHeight w:val="170"/>
        </w:trPr>
        <w:tc>
          <w:tcPr>
            <w:tcW w:w="1086" w:type="dxa"/>
            <w:tcBorders>
              <w:top w:val="nil"/>
              <w:left w:val="nil"/>
              <w:bottom w:val="nil"/>
              <w:right w:val="nil"/>
            </w:tcBorders>
            <w:noWrap/>
            <w:vAlign w:val="bottom"/>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Min</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0.0000</w:t>
            </w:r>
          </w:p>
        </w:tc>
      </w:tr>
      <w:tr w:rsidR="00610A52" w:rsidRPr="00536B4C" w:rsidTr="00610A52">
        <w:trPr>
          <w:trHeight w:val="170"/>
        </w:trPr>
        <w:tc>
          <w:tcPr>
            <w:tcW w:w="1086" w:type="dxa"/>
            <w:tcBorders>
              <w:top w:val="nil"/>
              <w:left w:val="nil"/>
              <w:bottom w:val="nil"/>
              <w:right w:val="nil"/>
            </w:tcBorders>
            <w:noWrap/>
            <w:vAlign w:val="bottom"/>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Max</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50.0000</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25.0000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25.0000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25.0000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25.0000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25.0000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50.0000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50.0000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25.0000</w:t>
            </w:r>
          </w:p>
        </w:tc>
      </w:tr>
      <w:tr w:rsidR="00610A52" w:rsidRPr="00C15F52" w:rsidTr="00610A52">
        <w:trPr>
          <w:trHeight w:val="170"/>
        </w:trPr>
        <w:tc>
          <w:tcPr>
            <w:tcW w:w="13806" w:type="dxa"/>
            <w:gridSpan w:val="13"/>
            <w:tcBorders>
              <w:top w:val="nil"/>
              <w:left w:val="nil"/>
              <w:bottom w:val="nil"/>
              <w:right w:val="nil"/>
            </w:tcBorders>
            <w:noWrap/>
            <w:vAlign w:val="bottom"/>
          </w:tcPr>
          <w:p w:rsidR="00610A52" w:rsidRPr="00C15F52" w:rsidRDefault="00EE5C2A" w:rsidP="00610A52">
            <w:pPr>
              <w:rPr>
                <w:rFonts w:cs="Times New Roman"/>
                <w:i/>
                <w:iCs/>
                <w:color w:val="000000"/>
                <w:sz w:val="16"/>
                <w:szCs w:val="16"/>
                <w:lang w:eastAsia="en-GB"/>
              </w:rPr>
            </w:pPr>
            <w:r w:rsidRPr="00536B4C">
              <w:rPr>
                <w:rFonts w:cs="Times New Roman"/>
                <w:i/>
                <w:iCs/>
                <w:color w:val="000000"/>
                <w:sz w:val="18"/>
                <w:szCs w:val="18"/>
                <w:lang w:eastAsia="en-GB"/>
              </w:rPr>
              <w:t xml:space="preserve">Panel </w:t>
            </w:r>
            <w:r w:rsidR="00642F6F" w:rsidRPr="00536B4C">
              <w:rPr>
                <w:rFonts w:cs="Times New Roman"/>
                <w:i/>
                <w:iCs/>
                <w:color w:val="000000"/>
                <w:sz w:val="18"/>
                <w:szCs w:val="18"/>
                <w:lang w:eastAsia="en-GB"/>
              </w:rPr>
              <w:t>E</w:t>
            </w:r>
            <w:r w:rsidRPr="00536B4C">
              <w:rPr>
                <w:rFonts w:cs="Times New Roman"/>
                <w:color w:val="000000"/>
                <w:sz w:val="18"/>
                <w:szCs w:val="18"/>
                <w:lang w:eastAsia="en-GB"/>
              </w:rPr>
              <w:t xml:space="preserve">: </w:t>
            </w:r>
            <w:r w:rsidR="00610A52" w:rsidRPr="00A65E2B">
              <w:rPr>
                <w:rFonts w:cs="Times New Roman"/>
                <w:i/>
                <w:iCs/>
                <w:sz w:val="16"/>
                <w:szCs w:val="16"/>
              </w:rPr>
              <w:t xml:space="preserve">Disclosure &amp; Transparency </w:t>
            </w:r>
          </w:p>
        </w:tc>
      </w:tr>
      <w:tr w:rsidR="00610A52" w:rsidRPr="00536B4C" w:rsidTr="00610A52">
        <w:trPr>
          <w:trHeight w:val="170"/>
        </w:trPr>
        <w:tc>
          <w:tcPr>
            <w:tcW w:w="1086" w:type="dxa"/>
            <w:tcBorders>
              <w:top w:val="nil"/>
              <w:left w:val="nil"/>
              <w:bottom w:val="nil"/>
              <w:right w:val="nil"/>
            </w:tcBorders>
            <w:noWrap/>
            <w:vAlign w:val="bottom"/>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Mean</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64.0349</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19.0522</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30.3977</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47.7976</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63.1462</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71.0048</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73.3392</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76.9451</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77.5917</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78.7081</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78.4980</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74.7521</w:t>
            </w:r>
          </w:p>
        </w:tc>
      </w:tr>
      <w:tr w:rsidR="00610A52" w:rsidRPr="00536B4C" w:rsidTr="00610A52">
        <w:trPr>
          <w:trHeight w:val="170"/>
        </w:trPr>
        <w:tc>
          <w:tcPr>
            <w:tcW w:w="1086" w:type="dxa"/>
            <w:tcBorders>
              <w:top w:val="nil"/>
              <w:left w:val="nil"/>
              <w:bottom w:val="nil"/>
              <w:right w:val="nil"/>
            </w:tcBorders>
            <w:noWrap/>
            <w:vAlign w:val="bottom"/>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Median</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72.7273</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18.1818</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22.7273</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54.5455</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68.1818</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72.7273</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77.2727</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77.2727</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77.2727</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77.2727</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77.2727</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77.2727</w:t>
            </w:r>
          </w:p>
        </w:tc>
      </w:tr>
      <w:tr w:rsidR="00610A52" w:rsidRPr="00536B4C" w:rsidTr="00610A52">
        <w:trPr>
          <w:trHeight w:val="170"/>
        </w:trPr>
        <w:tc>
          <w:tcPr>
            <w:tcW w:w="1086" w:type="dxa"/>
            <w:tcBorders>
              <w:top w:val="nil"/>
              <w:left w:val="nil"/>
              <w:bottom w:val="nil"/>
              <w:right w:val="nil"/>
            </w:tcBorders>
            <w:noWrap/>
            <w:vAlign w:val="bottom"/>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STD</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24.3873</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6.6750</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18.4114</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24.4262</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20.7058</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13.5908</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12.8886</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11.3299</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11.6433</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11.6212</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11.8488</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11.1949</w:t>
            </w:r>
          </w:p>
        </w:tc>
      </w:tr>
      <w:tr w:rsidR="00610A52" w:rsidRPr="00536B4C" w:rsidTr="00610A52">
        <w:trPr>
          <w:trHeight w:val="170"/>
        </w:trPr>
        <w:tc>
          <w:tcPr>
            <w:tcW w:w="1086" w:type="dxa"/>
            <w:tcBorders>
              <w:top w:val="nil"/>
              <w:left w:val="nil"/>
              <w:bottom w:val="nil"/>
              <w:right w:val="nil"/>
            </w:tcBorders>
            <w:noWrap/>
            <w:vAlign w:val="bottom"/>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Min</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4.5455</w:t>
            </w:r>
          </w:p>
        </w:tc>
        <w:tc>
          <w:tcPr>
            <w:tcW w:w="1137"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4.5455</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9.0909</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4.5455</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4.5455</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13.6364</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18.1818</w:t>
            </w:r>
          </w:p>
        </w:tc>
        <w:tc>
          <w:tcPr>
            <w:tcW w:w="1053" w:type="dxa"/>
            <w:tcBorders>
              <w:top w:val="nil"/>
              <w:left w:val="nil"/>
              <w:bottom w:val="nil"/>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40.9091</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36.3636</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36.3636</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36.3636</w:t>
            </w:r>
          </w:p>
        </w:tc>
        <w:tc>
          <w:tcPr>
            <w:tcW w:w="1053" w:type="dxa"/>
            <w:tcBorders>
              <w:top w:val="nil"/>
              <w:left w:val="nil"/>
              <w:bottom w:val="nil"/>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40.9091</w:t>
            </w:r>
          </w:p>
        </w:tc>
      </w:tr>
      <w:tr w:rsidR="00610A52" w:rsidRPr="00536B4C" w:rsidTr="00055792">
        <w:trPr>
          <w:trHeight w:val="170"/>
        </w:trPr>
        <w:tc>
          <w:tcPr>
            <w:tcW w:w="1086" w:type="dxa"/>
            <w:tcBorders>
              <w:top w:val="nil"/>
              <w:left w:val="nil"/>
              <w:bottom w:val="single" w:sz="2" w:space="0" w:color="auto"/>
              <w:right w:val="nil"/>
            </w:tcBorders>
            <w:noWrap/>
            <w:vAlign w:val="bottom"/>
          </w:tcPr>
          <w:p w:rsidR="00610A52" w:rsidRPr="00536B4C" w:rsidRDefault="00610A52" w:rsidP="00610A52">
            <w:pPr>
              <w:rPr>
                <w:rFonts w:cs="Times New Roman"/>
                <w:color w:val="000000"/>
                <w:sz w:val="16"/>
                <w:szCs w:val="16"/>
                <w:lang w:eastAsia="en-GB"/>
              </w:rPr>
            </w:pPr>
            <w:r w:rsidRPr="00536B4C">
              <w:rPr>
                <w:rFonts w:cs="Times New Roman"/>
                <w:color w:val="000000"/>
                <w:sz w:val="16"/>
                <w:szCs w:val="16"/>
                <w:lang w:eastAsia="en-GB"/>
              </w:rPr>
              <w:t>Max</w:t>
            </w:r>
          </w:p>
        </w:tc>
        <w:tc>
          <w:tcPr>
            <w:tcW w:w="1053" w:type="dxa"/>
            <w:tcBorders>
              <w:top w:val="nil"/>
              <w:left w:val="nil"/>
              <w:bottom w:val="single" w:sz="2" w:space="0" w:color="auto"/>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137" w:type="dxa"/>
            <w:tcBorders>
              <w:top w:val="nil"/>
              <w:left w:val="nil"/>
              <w:bottom w:val="single" w:sz="2" w:space="0" w:color="auto"/>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40.9091</w:t>
            </w:r>
          </w:p>
        </w:tc>
        <w:tc>
          <w:tcPr>
            <w:tcW w:w="1053" w:type="dxa"/>
            <w:tcBorders>
              <w:top w:val="nil"/>
              <w:left w:val="nil"/>
              <w:bottom w:val="single" w:sz="2" w:space="0" w:color="auto"/>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81.8182</w:t>
            </w:r>
          </w:p>
        </w:tc>
        <w:tc>
          <w:tcPr>
            <w:tcW w:w="1053" w:type="dxa"/>
            <w:tcBorders>
              <w:top w:val="nil"/>
              <w:left w:val="nil"/>
              <w:bottom w:val="single" w:sz="2" w:space="0" w:color="auto"/>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86.3636</w:t>
            </w:r>
          </w:p>
        </w:tc>
        <w:tc>
          <w:tcPr>
            <w:tcW w:w="1053" w:type="dxa"/>
            <w:tcBorders>
              <w:top w:val="nil"/>
              <w:left w:val="nil"/>
              <w:bottom w:val="single" w:sz="2" w:space="0" w:color="auto"/>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single" w:sz="2" w:space="0" w:color="auto"/>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95.4545</w:t>
            </w:r>
          </w:p>
        </w:tc>
        <w:tc>
          <w:tcPr>
            <w:tcW w:w="1053" w:type="dxa"/>
            <w:tcBorders>
              <w:top w:val="nil"/>
              <w:left w:val="nil"/>
              <w:bottom w:val="single" w:sz="2" w:space="0" w:color="auto"/>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95.4545</w:t>
            </w:r>
          </w:p>
        </w:tc>
        <w:tc>
          <w:tcPr>
            <w:tcW w:w="1053" w:type="dxa"/>
            <w:tcBorders>
              <w:top w:val="nil"/>
              <w:left w:val="nil"/>
              <w:bottom w:val="single" w:sz="2" w:space="0" w:color="auto"/>
              <w:right w:val="nil"/>
            </w:tcBorders>
            <w:noWrap/>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95.4545</w:t>
            </w:r>
          </w:p>
        </w:tc>
        <w:tc>
          <w:tcPr>
            <w:tcW w:w="1053" w:type="dxa"/>
            <w:tcBorders>
              <w:top w:val="nil"/>
              <w:left w:val="nil"/>
              <w:bottom w:val="single" w:sz="2" w:space="0" w:color="auto"/>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single" w:sz="2" w:space="0" w:color="auto"/>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single" w:sz="2" w:space="0" w:color="auto"/>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100.0000</w:t>
            </w:r>
          </w:p>
        </w:tc>
        <w:tc>
          <w:tcPr>
            <w:tcW w:w="1053" w:type="dxa"/>
            <w:tcBorders>
              <w:top w:val="nil"/>
              <w:left w:val="nil"/>
              <w:bottom w:val="single" w:sz="2" w:space="0" w:color="auto"/>
              <w:right w:val="nil"/>
            </w:tcBorders>
            <w:vAlign w:val="bottom"/>
          </w:tcPr>
          <w:p w:rsidR="00610A52" w:rsidRPr="00536B4C" w:rsidRDefault="00610A52" w:rsidP="00610A52">
            <w:pPr>
              <w:jc w:val="right"/>
              <w:rPr>
                <w:rFonts w:cs="Times New Roman"/>
                <w:color w:val="000000"/>
                <w:sz w:val="16"/>
                <w:szCs w:val="16"/>
              </w:rPr>
            </w:pPr>
            <w:r w:rsidRPr="00536B4C">
              <w:rPr>
                <w:rFonts w:cs="Times New Roman"/>
                <w:color w:val="000000"/>
                <w:sz w:val="16"/>
                <w:szCs w:val="16"/>
              </w:rPr>
              <w:t>95.4545</w:t>
            </w:r>
          </w:p>
        </w:tc>
      </w:tr>
      <w:tr w:rsidR="00610A52" w:rsidRPr="00C15F52" w:rsidTr="00055792">
        <w:trPr>
          <w:trHeight w:val="170"/>
        </w:trPr>
        <w:tc>
          <w:tcPr>
            <w:tcW w:w="13806" w:type="dxa"/>
            <w:gridSpan w:val="13"/>
            <w:tcBorders>
              <w:top w:val="single" w:sz="2" w:space="0" w:color="auto"/>
              <w:left w:val="nil"/>
              <w:bottom w:val="nil"/>
              <w:right w:val="nil"/>
            </w:tcBorders>
            <w:noWrap/>
            <w:vAlign w:val="bottom"/>
          </w:tcPr>
          <w:p w:rsidR="00610A52" w:rsidRPr="00536B4C" w:rsidRDefault="00610A52" w:rsidP="0043266C">
            <w:pPr>
              <w:jc w:val="both"/>
              <w:rPr>
                <w:rFonts w:cs="Times New Roman"/>
                <w:sz w:val="16"/>
                <w:szCs w:val="16"/>
              </w:rPr>
            </w:pPr>
            <w:r w:rsidRPr="00536B4C">
              <w:rPr>
                <w:rFonts w:cs="Times New Roman"/>
                <w:sz w:val="16"/>
                <w:szCs w:val="16"/>
              </w:rPr>
              <w:t xml:space="preserve">Notes: This Table reports descriptive statistics of the aggregate levels of compliance with </w:t>
            </w:r>
            <w:r w:rsidR="006528DC">
              <w:rPr>
                <w:rFonts w:cs="Times New Roman"/>
                <w:sz w:val="16"/>
                <w:szCs w:val="16"/>
              </w:rPr>
              <w:t xml:space="preserve">the </w:t>
            </w:r>
            <w:r w:rsidRPr="00536B4C">
              <w:rPr>
                <w:rFonts w:cs="Times New Roman"/>
                <w:sz w:val="16"/>
                <w:szCs w:val="16"/>
              </w:rPr>
              <w:t>Omani corporate governance index (</w:t>
            </w:r>
            <w:r w:rsidRPr="00536B4C">
              <w:rPr>
                <w:rFonts w:cs="Times New Roman"/>
                <w:i/>
                <w:sz w:val="16"/>
                <w:szCs w:val="16"/>
              </w:rPr>
              <w:t>OCGI</w:t>
            </w:r>
            <w:r w:rsidRPr="00536B4C">
              <w:rPr>
                <w:rFonts w:cs="Times New Roman"/>
                <w:sz w:val="16"/>
                <w:szCs w:val="16"/>
              </w:rPr>
              <w:t xml:space="preserve">) from 2001 to 2011. </w:t>
            </w:r>
          </w:p>
        </w:tc>
      </w:tr>
    </w:tbl>
    <w:p w:rsidR="00CE64B9" w:rsidRDefault="00CE64B9" w:rsidP="00610A52">
      <w:pPr>
        <w:pStyle w:val="BodyText"/>
        <w:rPr>
          <w:rFonts w:cs="Times New Roman"/>
        </w:rPr>
      </w:pPr>
    </w:p>
    <w:p w:rsidR="002B1FA7" w:rsidRDefault="002B1FA7" w:rsidP="00610A52">
      <w:pPr>
        <w:pStyle w:val="BodyText"/>
        <w:rPr>
          <w:rFonts w:cs="Times New Roman"/>
        </w:rPr>
      </w:pPr>
    </w:p>
    <w:p w:rsidR="002B1FA7" w:rsidRPr="00C15F52" w:rsidRDefault="002B1FA7" w:rsidP="00610A52">
      <w:pPr>
        <w:pStyle w:val="BodyText"/>
        <w:rPr>
          <w:rFonts w:cs="Times New Roman"/>
        </w:rPr>
        <w:sectPr w:rsidR="002B1FA7" w:rsidRPr="00C15F52" w:rsidSect="00330DD3">
          <w:pgSz w:w="16838" w:h="11906" w:orient="landscape" w:code="9"/>
          <w:pgMar w:top="1021" w:right="1021" w:bottom="1021" w:left="1021" w:header="510" w:footer="510" w:gutter="0"/>
          <w:cols w:space="708"/>
          <w:docGrid w:linePitch="360"/>
        </w:sectPr>
      </w:pPr>
    </w:p>
    <w:p w:rsidR="00610A52" w:rsidRPr="00C15F52" w:rsidRDefault="00610A52" w:rsidP="00610A52">
      <w:pPr>
        <w:pStyle w:val="BodyText"/>
        <w:rPr>
          <w:rFonts w:cs="Times New Roman"/>
        </w:rPr>
      </w:pPr>
    </w:p>
    <w:tbl>
      <w:tblPr>
        <w:tblW w:w="8669" w:type="dxa"/>
        <w:jc w:val="center"/>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961"/>
        <w:gridCol w:w="1357"/>
        <w:gridCol w:w="1349"/>
        <w:gridCol w:w="1276"/>
        <w:gridCol w:w="1276"/>
        <w:gridCol w:w="1450"/>
      </w:tblGrid>
      <w:tr w:rsidR="00DE7088" w:rsidRPr="00C15F52" w:rsidTr="0051160C">
        <w:trPr>
          <w:trHeight w:val="129"/>
          <w:jc w:val="center"/>
        </w:trPr>
        <w:tc>
          <w:tcPr>
            <w:tcW w:w="8669" w:type="dxa"/>
            <w:gridSpan w:val="6"/>
            <w:tcBorders>
              <w:top w:val="nil"/>
              <w:left w:val="nil"/>
              <w:bottom w:val="single" w:sz="4" w:space="0" w:color="auto"/>
              <w:right w:val="nil"/>
            </w:tcBorders>
            <w:noWrap/>
            <w:vAlign w:val="center"/>
          </w:tcPr>
          <w:p w:rsidR="008551FA" w:rsidRDefault="00DE7088" w:rsidP="00185A0D">
            <w:pPr>
              <w:rPr>
                <w:rFonts w:cs="Times New Roman"/>
                <w:b/>
                <w:sz w:val="20"/>
                <w:szCs w:val="20"/>
              </w:rPr>
            </w:pPr>
            <w:r>
              <w:rPr>
                <w:rFonts w:cs="Times New Roman"/>
                <w:b/>
                <w:bCs/>
                <w:sz w:val="20"/>
                <w:szCs w:val="20"/>
              </w:rPr>
              <w:t>Table 4</w:t>
            </w:r>
          </w:p>
          <w:p w:rsidR="00DE7088" w:rsidRPr="005A79E1" w:rsidRDefault="00DE7088" w:rsidP="00185A0D">
            <w:pPr>
              <w:rPr>
                <w:rFonts w:cs="Times New Roman"/>
                <w:b/>
                <w:sz w:val="20"/>
                <w:szCs w:val="20"/>
              </w:rPr>
            </w:pPr>
            <w:r w:rsidRPr="005A79E1">
              <w:rPr>
                <w:rFonts w:cs="Times New Roman"/>
                <w:b/>
                <w:sz w:val="20"/>
                <w:szCs w:val="20"/>
              </w:rPr>
              <w:t>Summary descriptive statistics of the other variables for all (1,152) firm years</w:t>
            </w:r>
          </w:p>
        </w:tc>
      </w:tr>
      <w:tr w:rsidR="00DE7088" w:rsidRPr="00C15F52" w:rsidTr="0051160C">
        <w:trPr>
          <w:trHeight w:val="129"/>
          <w:jc w:val="center"/>
        </w:trPr>
        <w:tc>
          <w:tcPr>
            <w:tcW w:w="1961" w:type="dxa"/>
            <w:tcBorders>
              <w:top w:val="single" w:sz="4" w:space="0" w:color="auto"/>
              <w:left w:val="nil"/>
              <w:bottom w:val="single" w:sz="12" w:space="0" w:color="auto"/>
            </w:tcBorders>
            <w:noWrap/>
            <w:vAlign w:val="center"/>
          </w:tcPr>
          <w:p w:rsidR="00DE7088" w:rsidRPr="008658AA" w:rsidRDefault="00DE7088" w:rsidP="00185A0D">
            <w:pPr>
              <w:rPr>
                <w:rFonts w:cs="Times New Roman"/>
                <w:color w:val="000000"/>
                <w:sz w:val="20"/>
                <w:szCs w:val="20"/>
                <w:lang w:eastAsia="en-GB"/>
              </w:rPr>
            </w:pPr>
            <w:r w:rsidRPr="008658AA">
              <w:rPr>
                <w:rFonts w:cs="Times New Roman"/>
                <w:color w:val="000000"/>
                <w:sz w:val="20"/>
                <w:szCs w:val="20"/>
                <w:lang w:eastAsia="en-GB"/>
              </w:rPr>
              <w:t>Variables</w:t>
            </w:r>
          </w:p>
        </w:tc>
        <w:tc>
          <w:tcPr>
            <w:tcW w:w="1357" w:type="dxa"/>
            <w:tcBorders>
              <w:top w:val="single" w:sz="4" w:space="0" w:color="auto"/>
              <w:bottom w:val="single" w:sz="12" w:space="0" w:color="auto"/>
            </w:tcBorders>
            <w:vAlign w:val="center"/>
          </w:tcPr>
          <w:p w:rsidR="00DE7088" w:rsidRPr="008658AA" w:rsidRDefault="00DE7088" w:rsidP="00185A0D">
            <w:pPr>
              <w:rPr>
                <w:rFonts w:cs="Times New Roman"/>
                <w:color w:val="000000"/>
                <w:sz w:val="20"/>
                <w:szCs w:val="20"/>
                <w:lang w:eastAsia="en-GB"/>
              </w:rPr>
            </w:pPr>
            <w:r w:rsidRPr="008658AA">
              <w:rPr>
                <w:rFonts w:cs="Times New Roman"/>
                <w:color w:val="000000"/>
                <w:sz w:val="20"/>
                <w:szCs w:val="20"/>
                <w:lang w:eastAsia="en-GB"/>
              </w:rPr>
              <w:t>Mean</w:t>
            </w:r>
          </w:p>
        </w:tc>
        <w:tc>
          <w:tcPr>
            <w:tcW w:w="1349" w:type="dxa"/>
            <w:tcBorders>
              <w:top w:val="single" w:sz="4" w:space="0" w:color="auto"/>
              <w:bottom w:val="single" w:sz="12" w:space="0" w:color="auto"/>
            </w:tcBorders>
            <w:vAlign w:val="center"/>
          </w:tcPr>
          <w:p w:rsidR="00DE7088" w:rsidRPr="008658AA" w:rsidRDefault="00DE7088" w:rsidP="00185A0D">
            <w:pPr>
              <w:rPr>
                <w:rFonts w:cs="Times New Roman"/>
                <w:color w:val="000000"/>
                <w:sz w:val="20"/>
                <w:szCs w:val="20"/>
                <w:lang w:eastAsia="en-GB"/>
              </w:rPr>
            </w:pPr>
            <w:r w:rsidRPr="008658AA">
              <w:rPr>
                <w:rFonts w:cs="Times New Roman"/>
                <w:color w:val="000000"/>
                <w:sz w:val="20"/>
                <w:szCs w:val="20"/>
                <w:lang w:eastAsia="en-GB"/>
              </w:rPr>
              <w:t>Median</w:t>
            </w:r>
          </w:p>
        </w:tc>
        <w:tc>
          <w:tcPr>
            <w:tcW w:w="1276" w:type="dxa"/>
            <w:tcBorders>
              <w:top w:val="single" w:sz="4" w:space="0" w:color="auto"/>
              <w:bottom w:val="single" w:sz="12" w:space="0" w:color="auto"/>
            </w:tcBorders>
            <w:vAlign w:val="center"/>
          </w:tcPr>
          <w:p w:rsidR="00DE7088" w:rsidRPr="008658AA" w:rsidRDefault="00DE7088" w:rsidP="00185A0D">
            <w:pPr>
              <w:rPr>
                <w:rFonts w:cs="Times New Roman"/>
                <w:color w:val="000000"/>
                <w:sz w:val="20"/>
                <w:szCs w:val="20"/>
                <w:lang w:eastAsia="en-GB"/>
              </w:rPr>
            </w:pPr>
            <w:r w:rsidRPr="008658AA">
              <w:rPr>
                <w:rFonts w:cs="Times New Roman"/>
                <w:color w:val="000000"/>
                <w:sz w:val="20"/>
                <w:szCs w:val="20"/>
                <w:lang w:eastAsia="en-GB"/>
              </w:rPr>
              <w:t>Std. Dev.</w:t>
            </w:r>
          </w:p>
        </w:tc>
        <w:tc>
          <w:tcPr>
            <w:tcW w:w="1276" w:type="dxa"/>
            <w:tcBorders>
              <w:top w:val="single" w:sz="4" w:space="0" w:color="auto"/>
              <w:bottom w:val="single" w:sz="12" w:space="0" w:color="auto"/>
            </w:tcBorders>
            <w:vAlign w:val="center"/>
          </w:tcPr>
          <w:p w:rsidR="00DE7088" w:rsidRPr="008658AA" w:rsidRDefault="00DE7088" w:rsidP="00185A0D">
            <w:pPr>
              <w:rPr>
                <w:rFonts w:cs="Times New Roman"/>
                <w:color w:val="000000"/>
                <w:sz w:val="20"/>
                <w:szCs w:val="20"/>
                <w:lang w:eastAsia="en-GB"/>
              </w:rPr>
            </w:pPr>
            <w:r w:rsidRPr="008658AA">
              <w:rPr>
                <w:rFonts w:cs="Times New Roman"/>
                <w:color w:val="000000"/>
                <w:sz w:val="20"/>
                <w:szCs w:val="20"/>
                <w:lang w:eastAsia="en-GB"/>
              </w:rPr>
              <w:t>Minimum</w:t>
            </w:r>
          </w:p>
        </w:tc>
        <w:tc>
          <w:tcPr>
            <w:tcW w:w="1450" w:type="dxa"/>
            <w:tcBorders>
              <w:top w:val="single" w:sz="4" w:space="0" w:color="auto"/>
              <w:bottom w:val="single" w:sz="12" w:space="0" w:color="auto"/>
              <w:right w:val="nil"/>
            </w:tcBorders>
            <w:vAlign w:val="center"/>
          </w:tcPr>
          <w:p w:rsidR="00DE7088" w:rsidRPr="008658AA" w:rsidRDefault="00DE7088" w:rsidP="00185A0D">
            <w:pPr>
              <w:rPr>
                <w:rFonts w:cs="Times New Roman"/>
                <w:color w:val="000000"/>
                <w:sz w:val="20"/>
                <w:szCs w:val="20"/>
                <w:lang w:eastAsia="en-GB"/>
              </w:rPr>
            </w:pPr>
            <w:r w:rsidRPr="008658AA">
              <w:rPr>
                <w:rFonts w:cs="Times New Roman"/>
                <w:color w:val="000000"/>
                <w:sz w:val="20"/>
                <w:szCs w:val="20"/>
                <w:lang w:eastAsia="en-GB"/>
              </w:rPr>
              <w:t>Maximum</w:t>
            </w:r>
          </w:p>
        </w:tc>
      </w:tr>
      <w:tr w:rsidR="00DE7088" w:rsidRPr="00C15F52" w:rsidTr="0051160C">
        <w:trPr>
          <w:trHeight w:val="123"/>
          <w:jc w:val="center"/>
        </w:trPr>
        <w:tc>
          <w:tcPr>
            <w:tcW w:w="8669" w:type="dxa"/>
            <w:gridSpan w:val="6"/>
            <w:tcBorders>
              <w:top w:val="single" w:sz="12" w:space="0" w:color="auto"/>
              <w:left w:val="nil"/>
              <w:bottom w:val="nil"/>
              <w:right w:val="nil"/>
            </w:tcBorders>
            <w:vAlign w:val="bottom"/>
          </w:tcPr>
          <w:p w:rsidR="00DE7088" w:rsidRPr="00C15F52" w:rsidRDefault="00DE7088" w:rsidP="00185A0D">
            <w:pPr>
              <w:rPr>
                <w:rFonts w:cs="Times New Roman"/>
                <w:color w:val="000000"/>
                <w:sz w:val="20"/>
                <w:szCs w:val="20"/>
                <w:lang w:eastAsia="en-GB"/>
              </w:rPr>
            </w:pPr>
            <w:r w:rsidRPr="00C90C4E">
              <w:rPr>
                <w:rFonts w:cs="Times New Roman"/>
                <w:color w:val="000000"/>
                <w:sz w:val="20"/>
                <w:szCs w:val="20"/>
                <w:lang w:eastAsia="en-GB"/>
              </w:rPr>
              <w:t>Dependent variables</w:t>
            </w:r>
          </w:p>
        </w:tc>
      </w:tr>
      <w:tr w:rsidR="00DE7088" w:rsidRPr="00C15F52" w:rsidTr="0051160C">
        <w:trPr>
          <w:trHeight w:val="105"/>
          <w:jc w:val="center"/>
        </w:trPr>
        <w:tc>
          <w:tcPr>
            <w:tcW w:w="1961" w:type="dxa"/>
            <w:tcBorders>
              <w:top w:val="nil"/>
              <w:left w:val="nil"/>
              <w:bottom w:val="nil"/>
            </w:tcBorders>
            <w:vAlign w:val="center"/>
          </w:tcPr>
          <w:p w:rsidR="00DE7088" w:rsidRPr="00C15F52" w:rsidRDefault="00DE7088" w:rsidP="00185A0D">
            <w:pPr>
              <w:rPr>
                <w:rFonts w:cs="Times New Roman"/>
                <w:sz w:val="20"/>
                <w:szCs w:val="20"/>
              </w:rPr>
            </w:pPr>
            <w:r w:rsidRPr="00C90C4E">
              <w:rPr>
                <w:rFonts w:cs="Times New Roman"/>
                <w:sz w:val="20"/>
                <w:szCs w:val="20"/>
              </w:rPr>
              <w:t xml:space="preserve">   DA</w:t>
            </w:r>
          </w:p>
        </w:tc>
        <w:tc>
          <w:tcPr>
            <w:tcW w:w="1357" w:type="dxa"/>
            <w:tcBorders>
              <w:bottom w:val="nil"/>
            </w:tcBorders>
            <w:noWrap/>
            <w:vAlign w:val="center"/>
          </w:tcPr>
          <w:p w:rsidR="00DE7088" w:rsidRPr="00C15F52" w:rsidRDefault="00F43AD4" w:rsidP="00185A0D">
            <w:pPr>
              <w:rPr>
                <w:rFonts w:cs="Times New Roman"/>
                <w:color w:val="000000"/>
                <w:sz w:val="20"/>
                <w:szCs w:val="20"/>
                <w:lang w:eastAsia="en-GB"/>
              </w:rPr>
            </w:pPr>
            <w:r>
              <w:rPr>
                <w:rFonts w:cs="Times New Roman"/>
                <w:sz w:val="20"/>
                <w:szCs w:val="20"/>
              </w:rPr>
              <w:t xml:space="preserve">  </w:t>
            </w:r>
            <w:r w:rsidR="00DE7088" w:rsidRPr="00C90C4E">
              <w:rPr>
                <w:rFonts w:cs="Times New Roman"/>
                <w:sz w:val="20"/>
                <w:szCs w:val="20"/>
              </w:rPr>
              <w:t>0.0304</w:t>
            </w:r>
          </w:p>
        </w:tc>
        <w:tc>
          <w:tcPr>
            <w:tcW w:w="1349" w:type="dxa"/>
            <w:tcBorders>
              <w:bottom w:val="nil"/>
            </w:tcBorders>
            <w:noWrap/>
            <w:vAlign w:val="center"/>
          </w:tcPr>
          <w:p w:rsidR="00DE7088" w:rsidRPr="00C15F52" w:rsidRDefault="00F43AD4" w:rsidP="00185A0D">
            <w:pPr>
              <w:rPr>
                <w:rFonts w:cs="Times New Roman"/>
                <w:color w:val="000000"/>
                <w:sz w:val="20"/>
                <w:szCs w:val="20"/>
                <w:lang w:eastAsia="en-GB"/>
              </w:rPr>
            </w:pPr>
            <w:r>
              <w:rPr>
                <w:rFonts w:cs="Times New Roman"/>
                <w:color w:val="000000"/>
                <w:sz w:val="20"/>
                <w:szCs w:val="20"/>
                <w:lang w:eastAsia="en-GB"/>
              </w:rPr>
              <w:t xml:space="preserve">  </w:t>
            </w:r>
            <w:r w:rsidR="00DE7088" w:rsidRPr="00C90C4E">
              <w:rPr>
                <w:rFonts w:cs="Times New Roman"/>
                <w:color w:val="000000"/>
                <w:sz w:val="20"/>
                <w:szCs w:val="20"/>
                <w:lang w:eastAsia="en-GB"/>
              </w:rPr>
              <w:t>0.0308</w:t>
            </w:r>
          </w:p>
        </w:tc>
        <w:tc>
          <w:tcPr>
            <w:tcW w:w="1276" w:type="dxa"/>
            <w:tcBorders>
              <w:bottom w:val="nil"/>
            </w:tcBorders>
            <w:noWrap/>
            <w:vAlign w:val="center"/>
          </w:tcPr>
          <w:p w:rsidR="00DE7088" w:rsidRPr="00C15F52" w:rsidRDefault="00F43AD4" w:rsidP="00185A0D">
            <w:pPr>
              <w:rPr>
                <w:rFonts w:cs="Times New Roman"/>
                <w:color w:val="000000"/>
                <w:sz w:val="20"/>
                <w:szCs w:val="20"/>
                <w:lang w:eastAsia="en-GB"/>
              </w:rPr>
            </w:pPr>
            <w:r>
              <w:rPr>
                <w:rFonts w:cs="Times New Roman"/>
                <w:sz w:val="20"/>
                <w:szCs w:val="20"/>
              </w:rPr>
              <w:t xml:space="preserve">  </w:t>
            </w:r>
            <w:r w:rsidR="00DE7088" w:rsidRPr="00C90C4E">
              <w:rPr>
                <w:rFonts w:cs="Times New Roman"/>
                <w:sz w:val="20"/>
                <w:szCs w:val="20"/>
              </w:rPr>
              <w:t>0.1017</w:t>
            </w:r>
          </w:p>
        </w:tc>
        <w:tc>
          <w:tcPr>
            <w:tcW w:w="1276" w:type="dxa"/>
            <w:tcBorders>
              <w:bottom w:val="nil"/>
              <w:right w:val="nil"/>
            </w:tcBorders>
            <w:noWrap/>
            <w:vAlign w:val="center"/>
          </w:tcPr>
          <w:p w:rsidR="00DE7088" w:rsidRPr="00C15F52" w:rsidRDefault="00DE7088" w:rsidP="00185A0D">
            <w:pPr>
              <w:rPr>
                <w:rFonts w:cs="Times New Roman"/>
                <w:color w:val="000000"/>
                <w:sz w:val="20"/>
                <w:szCs w:val="20"/>
                <w:lang w:eastAsia="en-GB"/>
              </w:rPr>
            </w:pPr>
            <w:r w:rsidRPr="00C90C4E">
              <w:rPr>
                <w:rFonts w:cs="Times New Roman"/>
                <w:sz w:val="20"/>
                <w:szCs w:val="20"/>
              </w:rPr>
              <w:t>-0.1946</w:t>
            </w:r>
          </w:p>
        </w:tc>
        <w:tc>
          <w:tcPr>
            <w:tcW w:w="1450" w:type="dxa"/>
            <w:tcBorders>
              <w:top w:val="nil"/>
              <w:left w:val="nil"/>
              <w:bottom w:val="nil"/>
              <w:right w:val="nil"/>
            </w:tcBorders>
            <w:noWrap/>
            <w:vAlign w:val="center"/>
          </w:tcPr>
          <w:p w:rsidR="00DE7088" w:rsidRPr="00C15F52" w:rsidRDefault="00F43AD4" w:rsidP="00185A0D">
            <w:pPr>
              <w:rPr>
                <w:rFonts w:cs="Times New Roman"/>
                <w:color w:val="000000"/>
                <w:sz w:val="20"/>
                <w:szCs w:val="20"/>
                <w:lang w:eastAsia="en-GB"/>
              </w:rPr>
            </w:pPr>
            <w:r>
              <w:rPr>
                <w:rFonts w:cs="Times New Roman"/>
                <w:sz w:val="20"/>
                <w:szCs w:val="20"/>
              </w:rPr>
              <w:t xml:space="preserve">  </w:t>
            </w:r>
            <w:r w:rsidR="00DE7088" w:rsidRPr="00C90C4E">
              <w:rPr>
                <w:rFonts w:cs="Times New Roman"/>
                <w:sz w:val="20"/>
                <w:szCs w:val="20"/>
              </w:rPr>
              <w:t>0.3301</w:t>
            </w:r>
          </w:p>
        </w:tc>
      </w:tr>
      <w:tr w:rsidR="00DE7088" w:rsidRPr="00C15F52" w:rsidTr="0051160C">
        <w:trPr>
          <w:trHeight w:val="105"/>
          <w:jc w:val="center"/>
        </w:trPr>
        <w:tc>
          <w:tcPr>
            <w:tcW w:w="8669" w:type="dxa"/>
            <w:gridSpan w:val="6"/>
            <w:tcBorders>
              <w:top w:val="nil"/>
              <w:left w:val="nil"/>
              <w:bottom w:val="nil"/>
            </w:tcBorders>
            <w:vAlign w:val="center"/>
          </w:tcPr>
          <w:p w:rsidR="00DE7088" w:rsidRPr="00536B4C" w:rsidRDefault="00DE7088" w:rsidP="00185A0D">
            <w:pPr>
              <w:rPr>
                <w:rFonts w:cs="Times New Roman"/>
                <w:color w:val="000000"/>
                <w:sz w:val="20"/>
                <w:szCs w:val="20"/>
                <w:lang w:eastAsia="en-GB"/>
              </w:rPr>
            </w:pPr>
            <w:r w:rsidRPr="00C90C4E">
              <w:rPr>
                <w:rFonts w:cs="Times New Roman"/>
                <w:color w:val="000000"/>
                <w:sz w:val="20"/>
                <w:szCs w:val="20"/>
                <w:lang w:eastAsia="en-GB"/>
              </w:rPr>
              <w:t>Independent variables</w:t>
            </w:r>
          </w:p>
        </w:tc>
      </w:tr>
      <w:tr w:rsidR="00DE7088" w:rsidRPr="00C15F52" w:rsidTr="0051160C">
        <w:trPr>
          <w:trHeight w:val="105"/>
          <w:jc w:val="center"/>
        </w:trPr>
        <w:tc>
          <w:tcPr>
            <w:tcW w:w="1961" w:type="dxa"/>
            <w:tcBorders>
              <w:top w:val="nil"/>
              <w:left w:val="nil"/>
              <w:bottom w:val="nil"/>
            </w:tcBorders>
          </w:tcPr>
          <w:p w:rsidR="00DE7088" w:rsidRPr="00C15F52" w:rsidRDefault="00BB13A1" w:rsidP="00185A0D">
            <w:pPr>
              <w:rPr>
                <w:rFonts w:cs="Times New Roman"/>
                <w:sz w:val="20"/>
                <w:szCs w:val="20"/>
              </w:rPr>
            </w:pPr>
            <w:r>
              <w:rPr>
                <w:rFonts w:cs="Times New Roman"/>
                <w:sz w:val="20"/>
                <w:szCs w:val="20"/>
              </w:rPr>
              <w:t xml:space="preserve">  OCGI </w:t>
            </w:r>
          </w:p>
        </w:tc>
        <w:tc>
          <w:tcPr>
            <w:tcW w:w="1357" w:type="dxa"/>
            <w:tcBorders>
              <w:bottom w:val="nil"/>
            </w:tcBorders>
            <w:noWrap/>
          </w:tcPr>
          <w:p w:rsidR="00DE7088" w:rsidRPr="009302B5" w:rsidRDefault="009302B5" w:rsidP="009302B5">
            <w:pPr>
              <w:rPr>
                <w:color w:val="000000"/>
                <w:sz w:val="20"/>
                <w:szCs w:val="20"/>
              </w:rPr>
            </w:pPr>
            <w:r>
              <w:rPr>
                <w:color w:val="000000"/>
                <w:sz w:val="20"/>
                <w:szCs w:val="20"/>
              </w:rPr>
              <w:t>47.8974</w:t>
            </w:r>
          </w:p>
        </w:tc>
        <w:tc>
          <w:tcPr>
            <w:tcW w:w="1349" w:type="dxa"/>
            <w:tcBorders>
              <w:bottom w:val="nil"/>
            </w:tcBorders>
            <w:noWrap/>
            <w:vAlign w:val="center"/>
          </w:tcPr>
          <w:p w:rsidR="00DE7088" w:rsidRPr="009302B5" w:rsidRDefault="009302B5" w:rsidP="009302B5">
            <w:pPr>
              <w:rPr>
                <w:color w:val="000000"/>
                <w:sz w:val="20"/>
                <w:szCs w:val="20"/>
              </w:rPr>
            </w:pPr>
            <w:r>
              <w:rPr>
                <w:color w:val="000000"/>
                <w:sz w:val="20"/>
                <w:szCs w:val="20"/>
              </w:rPr>
              <w:t>54.1667</w:t>
            </w:r>
          </w:p>
        </w:tc>
        <w:tc>
          <w:tcPr>
            <w:tcW w:w="1276" w:type="dxa"/>
            <w:tcBorders>
              <w:bottom w:val="nil"/>
            </w:tcBorders>
            <w:noWrap/>
          </w:tcPr>
          <w:p w:rsidR="00DE7088" w:rsidRPr="009302B5" w:rsidRDefault="009302B5" w:rsidP="009302B5">
            <w:pPr>
              <w:rPr>
                <w:color w:val="000000"/>
                <w:sz w:val="20"/>
                <w:szCs w:val="20"/>
              </w:rPr>
            </w:pPr>
            <w:r>
              <w:rPr>
                <w:color w:val="000000"/>
                <w:sz w:val="20"/>
                <w:szCs w:val="20"/>
              </w:rPr>
              <w:t>21.7747</w:t>
            </w:r>
          </w:p>
        </w:tc>
        <w:tc>
          <w:tcPr>
            <w:tcW w:w="1276" w:type="dxa"/>
            <w:tcBorders>
              <w:bottom w:val="nil"/>
              <w:right w:val="nil"/>
            </w:tcBorders>
            <w:noWrap/>
          </w:tcPr>
          <w:p w:rsidR="00DE7088" w:rsidRPr="009302B5" w:rsidRDefault="009302B5" w:rsidP="009302B5">
            <w:pPr>
              <w:rPr>
                <w:color w:val="000000"/>
                <w:sz w:val="20"/>
                <w:szCs w:val="20"/>
              </w:rPr>
            </w:pPr>
            <w:r>
              <w:rPr>
                <w:color w:val="000000"/>
                <w:sz w:val="20"/>
                <w:szCs w:val="20"/>
              </w:rPr>
              <w:t xml:space="preserve">  1.3889</w:t>
            </w:r>
          </w:p>
        </w:tc>
        <w:tc>
          <w:tcPr>
            <w:tcW w:w="1450" w:type="dxa"/>
            <w:tcBorders>
              <w:top w:val="nil"/>
              <w:left w:val="nil"/>
              <w:bottom w:val="nil"/>
              <w:right w:val="nil"/>
            </w:tcBorders>
            <w:noWrap/>
          </w:tcPr>
          <w:p w:rsidR="00DE7088" w:rsidRPr="009302B5" w:rsidRDefault="009302B5" w:rsidP="009302B5">
            <w:pPr>
              <w:rPr>
                <w:color w:val="000000"/>
                <w:sz w:val="20"/>
                <w:szCs w:val="20"/>
              </w:rPr>
            </w:pPr>
            <w:r>
              <w:rPr>
                <w:color w:val="000000"/>
                <w:sz w:val="20"/>
                <w:szCs w:val="20"/>
              </w:rPr>
              <w:t>88.8889</w:t>
            </w:r>
          </w:p>
        </w:tc>
      </w:tr>
      <w:tr w:rsidR="00DE7088" w:rsidRPr="00C15F52" w:rsidTr="0051160C">
        <w:trPr>
          <w:trHeight w:val="120"/>
          <w:jc w:val="center"/>
        </w:trPr>
        <w:tc>
          <w:tcPr>
            <w:tcW w:w="1961" w:type="dxa"/>
            <w:tcBorders>
              <w:top w:val="nil"/>
              <w:left w:val="nil"/>
              <w:bottom w:val="nil"/>
            </w:tcBorders>
          </w:tcPr>
          <w:p w:rsidR="00DE7088" w:rsidRPr="00C15F52" w:rsidRDefault="00BB13A1" w:rsidP="00185A0D">
            <w:pPr>
              <w:rPr>
                <w:rFonts w:cs="Times New Roman"/>
                <w:sz w:val="20"/>
                <w:szCs w:val="20"/>
              </w:rPr>
            </w:pPr>
            <w:r>
              <w:rPr>
                <w:rFonts w:cs="Times New Roman"/>
                <w:sz w:val="20"/>
                <w:szCs w:val="20"/>
              </w:rPr>
              <w:t xml:space="preserve">  </w:t>
            </w:r>
            <w:r w:rsidR="00BB565D">
              <w:rPr>
                <w:rFonts w:cs="Times New Roman"/>
                <w:sz w:val="20"/>
                <w:szCs w:val="20"/>
              </w:rPr>
              <w:t>I</w:t>
            </w:r>
            <w:r w:rsidR="00F43AD4">
              <w:rPr>
                <w:rFonts w:cs="Times New Roman"/>
                <w:sz w:val="20"/>
                <w:szCs w:val="20"/>
              </w:rPr>
              <w:t>GC</w:t>
            </w:r>
          </w:p>
        </w:tc>
        <w:tc>
          <w:tcPr>
            <w:tcW w:w="1357" w:type="dxa"/>
            <w:tcBorders>
              <w:top w:val="nil"/>
              <w:bottom w:val="nil"/>
            </w:tcBorders>
            <w:noWrap/>
          </w:tcPr>
          <w:p w:rsidR="00DE7088" w:rsidRPr="009302B5" w:rsidRDefault="009302B5" w:rsidP="009302B5">
            <w:pPr>
              <w:rPr>
                <w:color w:val="000000"/>
                <w:sz w:val="20"/>
                <w:szCs w:val="20"/>
              </w:rPr>
            </w:pPr>
            <w:r>
              <w:rPr>
                <w:color w:val="000000"/>
                <w:sz w:val="20"/>
                <w:szCs w:val="20"/>
              </w:rPr>
              <w:t xml:space="preserve">  0.0122</w:t>
            </w:r>
          </w:p>
        </w:tc>
        <w:tc>
          <w:tcPr>
            <w:tcW w:w="1349" w:type="dxa"/>
            <w:tcBorders>
              <w:top w:val="nil"/>
              <w:bottom w:val="nil"/>
            </w:tcBorders>
            <w:noWrap/>
            <w:vAlign w:val="center"/>
          </w:tcPr>
          <w:p w:rsidR="00DE7088" w:rsidRPr="00C15F52" w:rsidRDefault="009302B5" w:rsidP="00185A0D">
            <w:pPr>
              <w:rPr>
                <w:rFonts w:cs="Times New Roman"/>
                <w:color w:val="000000"/>
                <w:sz w:val="20"/>
                <w:szCs w:val="20"/>
                <w:lang w:eastAsia="en-GB"/>
              </w:rPr>
            </w:pPr>
            <w:r>
              <w:rPr>
                <w:rFonts w:cs="Times New Roman"/>
                <w:color w:val="000000"/>
                <w:sz w:val="20"/>
                <w:szCs w:val="20"/>
                <w:lang w:eastAsia="en-GB"/>
              </w:rPr>
              <w:t xml:space="preserve">  0.0000</w:t>
            </w:r>
          </w:p>
        </w:tc>
        <w:tc>
          <w:tcPr>
            <w:tcW w:w="1276" w:type="dxa"/>
            <w:tcBorders>
              <w:top w:val="nil"/>
              <w:bottom w:val="nil"/>
            </w:tcBorders>
            <w:noWrap/>
          </w:tcPr>
          <w:p w:rsidR="00DE7088" w:rsidRPr="009302B5" w:rsidRDefault="009302B5" w:rsidP="009302B5">
            <w:pPr>
              <w:rPr>
                <w:color w:val="000000"/>
                <w:sz w:val="20"/>
                <w:szCs w:val="20"/>
              </w:rPr>
            </w:pPr>
            <w:r>
              <w:rPr>
                <w:color w:val="000000"/>
                <w:sz w:val="20"/>
                <w:szCs w:val="20"/>
              </w:rPr>
              <w:t xml:space="preserve">  0.1096</w:t>
            </w:r>
          </w:p>
        </w:tc>
        <w:tc>
          <w:tcPr>
            <w:tcW w:w="1276" w:type="dxa"/>
            <w:tcBorders>
              <w:top w:val="nil"/>
              <w:bottom w:val="nil"/>
            </w:tcBorders>
            <w:noWrap/>
          </w:tcPr>
          <w:p w:rsidR="00DE7088" w:rsidRPr="00C15F52" w:rsidRDefault="009302B5" w:rsidP="00185A0D">
            <w:pPr>
              <w:rPr>
                <w:rFonts w:cs="Times New Roman"/>
                <w:sz w:val="20"/>
                <w:szCs w:val="20"/>
              </w:rPr>
            </w:pPr>
            <w:r>
              <w:rPr>
                <w:rFonts w:cs="Times New Roman"/>
                <w:sz w:val="20"/>
                <w:szCs w:val="20"/>
              </w:rPr>
              <w:t xml:space="preserve">  0.0000</w:t>
            </w:r>
          </w:p>
        </w:tc>
        <w:tc>
          <w:tcPr>
            <w:tcW w:w="1450" w:type="dxa"/>
            <w:tcBorders>
              <w:bottom w:val="nil"/>
              <w:right w:val="nil"/>
            </w:tcBorders>
            <w:noWrap/>
          </w:tcPr>
          <w:p w:rsidR="00DE7088" w:rsidRPr="00C15F52" w:rsidRDefault="009302B5" w:rsidP="00185A0D">
            <w:pPr>
              <w:rPr>
                <w:rFonts w:cs="Times New Roman"/>
                <w:sz w:val="20"/>
                <w:szCs w:val="20"/>
              </w:rPr>
            </w:pPr>
            <w:r>
              <w:rPr>
                <w:rFonts w:cs="Times New Roman"/>
                <w:sz w:val="20"/>
                <w:szCs w:val="20"/>
              </w:rPr>
              <w:t xml:space="preserve">  1.0000</w:t>
            </w:r>
          </w:p>
        </w:tc>
      </w:tr>
      <w:tr w:rsidR="00DE7088" w:rsidRPr="00C15F52" w:rsidTr="0051160C">
        <w:trPr>
          <w:trHeight w:val="95"/>
          <w:jc w:val="center"/>
        </w:trPr>
        <w:tc>
          <w:tcPr>
            <w:tcW w:w="1961" w:type="dxa"/>
            <w:tcBorders>
              <w:top w:val="nil"/>
              <w:left w:val="nil"/>
              <w:bottom w:val="nil"/>
            </w:tcBorders>
          </w:tcPr>
          <w:p w:rsidR="00DE7088" w:rsidRPr="00C15F52" w:rsidRDefault="00DE7088" w:rsidP="00185A0D">
            <w:pPr>
              <w:rPr>
                <w:rFonts w:cs="Times New Roman"/>
                <w:sz w:val="20"/>
                <w:szCs w:val="20"/>
              </w:rPr>
            </w:pPr>
            <w:r w:rsidRPr="00C90C4E">
              <w:rPr>
                <w:rFonts w:eastAsiaTheme="minorEastAsia" w:cs="Times New Roman"/>
                <w:sz w:val="20"/>
                <w:szCs w:val="20"/>
              </w:rPr>
              <w:t xml:space="preserve">  </w:t>
            </w:r>
            <w:r w:rsidRPr="00C90C4E">
              <w:rPr>
                <w:rFonts w:cs="Times New Roman"/>
                <w:sz w:val="20"/>
                <w:szCs w:val="20"/>
              </w:rPr>
              <w:t>BSIZE</w:t>
            </w:r>
          </w:p>
        </w:tc>
        <w:tc>
          <w:tcPr>
            <w:tcW w:w="1357" w:type="dxa"/>
            <w:tcBorders>
              <w:top w:val="nil"/>
              <w:bottom w:val="nil"/>
            </w:tcBorders>
            <w:noWrap/>
          </w:tcPr>
          <w:p w:rsidR="00DE7088" w:rsidRPr="00C15F52" w:rsidRDefault="00DE7088" w:rsidP="00185A0D">
            <w:pPr>
              <w:rPr>
                <w:rFonts w:cs="Times New Roman"/>
                <w:sz w:val="20"/>
                <w:szCs w:val="20"/>
              </w:rPr>
            </w:pPr>
            <w:r w:rsidRPr="00C90C4E">
              <w:rPr>
                <w:rFonts w:cs="Times New Roman"/>
                <w:sz w:val="20"/>
                <w:szCs w:val="20"/>
              </w:rPr>
              <w:t xml:space="preserve">  7.3437</w:t>
            </w:r>
          </w:p>
        </w:tc>
        <w:tc>
          <w:tcPr>
            <w:tcW w:w="1349" w:type="dxa"/>
            <w:tcBorders>
              <w:top w:val="nil"/>
              <w:bottom w:val="nil"/>
            </w:tcBorders>
            <w:noWrap/>
            <w:vAlign w:val="center"/>
          </w:tcPr>
          <w:p w:rsidR="00DE7088" w:rsidRPr="00C15F52" w:rsidRDefault="00DE7088" w:rsidP="00185A0D">
            <w:pPr>
              <w:rPr>
                <w:rFonts w:cs="Times New Roman"/>
                <w:color w:val="000000"/>
                <w:sz w:val="20"/>
                <w:szCs w:val="20"/>
                <w:lang w:eastAsia="en-GB"/>
              </w:rPr>
            </w:pPr>
            <w:r>
              <w:rPr>
                <w:rFonts w:cs="Times New Roman"/>
                <w:color w:val="000000"/>
                <w:sz w:val="20"/>
                <w:szCs w:val="20"/>
                <w:lang w:eastAsia="en-GB"/>
              </w:rPr>
              <w:t xml:space="preserve">  </w:t>
            </w:r>
            <w:r w:rsidRPr="00C90C4E">
              <w:rPr>
                <w:rFonts w:cs="Times New Roman"/>
                <w:color w:val="000000"/>
                <w:sz w:val="20"/>
                <w:szCs w:val="20"/>
                <w:lang w:eastAsia="en-GB"/>
              </w:rPr>
              <w:t>7.0000</w:t>
            </w:r>
          </w:p>
        </w:tc>
        <w:tc>
          <w:tcPr>
            <w:tcW w:w="1276" w:type="dxa"/>
            <w:tcBorders>
              <w:top w:val="nil"/>
              <w:bottom w:val="nil"/>
            </w:tcBorders>
            <w:noWrap/>
          </w:tcPr>
          <w:p w:rsidR="00DE7088" w:rsidRPr="00C15F52" w:rsidRDefault="00DE7088" w:rsidP="00185A0D">
            <w:pPr>
              <w:rPr>
                <w:rFonts w:cs="Times New Roman"/>
                <w:sz w:val="20"/>
                <w:szCs w:val="20"/>
              </w:rPr>
            </w:pPr>
            <w:r w:rsidRPr="00C90C4E">
              <w:rPr>
                <w:rFonts w:cs="Times New Roman"/>
                <w:sz w:val="20"/>
                <w:szCs w:val="20"/>
              </w:rPr>
              <w:t xml:space="preserve">  1.7885</w:t>
            </w:r>
          </w:p>
        </w:tc>
        <w:tc>
          <w:tcPr>
            <w:tcW w:w="1276" w:type="dxa"/>
            <w:tcBorders>
              <w:top w:val="nil"/>
              <w:bottom w:val="nil"/>
            </w:tcBorders>
            <w:noWrap/>
          </w:tcPr>
          <w:p w:rsidR="00DE7088" w:rsidRPr="00C15F52" w:rsidRDefault="00DE7088" w:rsidP="00185A0D">
            <w:pPr>
              <w:rPr>
                <w:rFonts w:cs="Times New Roman"/>
                <w:sz w:val="20"/>
                <w:szCs w:val="20"/>
              </w:rPr>
            </w:pPr>
            <w:r w:rsidRPr="00C90C4E">
              <w:rPr>
                <w:rFonts w:cs="Times New Roman"/>
                <w:sz w:val="20"/>
                <w:szCs w:val="20"/>
              </w:rPr>
              <w:t xml:space="preserve">  4.0000</w:t>
            </w:r>
          </w:p>
        </w:tc>
        <w:tc>
          <w:tcPr>
            <w:tcW w:w="1450" w:type="dxa"/>
            <w:tcBorders>
              <w:top w:val="nil"/>
              <w:bottom w:val="nil"/>
              <w:right w:val="nil"/>
            </w:tcBorders>
            <w:noWrap/>
          </w:tcPr>
          <w:p w:rsidR="00DE7088" w:rsidRPr="00C15F52" w:rsidRDefault="00DE7088" w:rsidP="00185A0D">
            <w:pPr>
              <w:rPr>
                <w:rFonts w:cs="Times New Roman"/>
                <w:sz w:val="20"/>
                <w:szCs w:val="20"/>
              </w:rPr>
            </w:pPr>
            <w:r w:rsidRPr="00C90C4E">
              <w:rPr>
                <w:rFonts w:cs="Times New Roman"/>
                <w:sz w:val="20"/>
                <w:szCs w:val="20"/>
              </w:rPr>
              <w:t>13.0000</w:t>
            </w:r>
          </w:p>
        </w:tc>
      </w:tr>
      <w:tr w:rsidR="00DE7088" w:rsidRPr="00C15F52" w:rsidTr="0051160C">
        <w:trPr>
          <w:trHeight w:val="95"/>
          <w:jc w:val="center"/>
        </w:trPr>
        <w:tc>
          <w:tcPr>
            <w:tcW w:w="1961" w:type="dxa"/>
            <w:tcBorders>
              <w:top w:val="nil"/>
              <w:left w:val="nil"/>
              <w:bottom w:val="nil"/>
            </w:tcBorders>
          </w:tcPr>
          <w:p w:rsidR="00DE7088" w:rsidRPr="00C15F52" w:rsidRDefault="00DE7088" w:rsidP="00185A0D">
            <w:pPr>
              <w:rPr>
                <w:rFonts w:cs="Times New Roman"/>
                <w:sz w:val="20"/>
                <w:szCs w:val="20"/>
              </w:rPr>
            </w:pPr>
            <w:r w:rsidRPr="00C90C4E">
              <w:rPr>
                <w:rFonts w:eastAsiaTheme="minorEastAsia" w:cs="Times New Roman"/>
                <w:sz w:val="20"/>
                <w:szCs w:val="20"/>
              </w:rPr>
              <w:t xml:space="preserve">  </w:t>
            </w:r>
            <w:r w:rsidRPr="00C90C4E">
              <w:rPr>
                <w:rFonts w:cs="Times New Roman"/>
                <w:sz w:val="20"/>
                <w:szCs w:val="20"/>
              </w:rPr>
              <w:t>BIG4</w:t>
            </w:r>
          </w:p>
        </w:tc>
        <w:tc>
          <w:tcPr>
            <w:tcW w:w="1357" w:type="dxa"/>
            <w:tcBorders>
              <w:top w:val="nil"/>
              <w:bottom w:val="nil"/>
            </w:tcBorders>
            <w:noWrap/>
          </w:tcPr>
          <w:p w:rsidR="00DE7088" w:rsidRPr="00C15F52" w:rsidRDefault="00DE7088" w:rsidP="00185A0D">
            <w:pPr>
              <w:rPr>
                <w:rFonts w:cs="Times New Roman"/>
                <w:sz w:val="20"/>
                <w:szCs w:val="20"/>
              </w:rPr>
            </w:pPr>
            <w:r w:rsidRPr="00C90C4E">
              <w:rPr>
                <w:rFonts w:cs="Times New Roman"/>
                <w:sz w:val="20"/>
                <w:szCs w:val="20"/>
              </w:rPr>
              <w:t xml:space="preserve">  0.7100</w:t>
            </w:r>
          </w:p>
        </w:tc>
        <w:tc>
          <w:tcPr>
            <w:tcW w:w="1349" w:type="dxa"/>
            <w:tcBorders>
              <w:top w:val="nil"/>
              <w:bottom w:val="nil"/>
            </w:tcBorders>
            <w:noWrap/>
            <w:vAlign w:val="center"/>
          </w:tcPr>
          <w:p w:rsidR="00DE7088" w:rsidRPr="00C15F52" w:rsidRDefault="00DE7088" w:rsidP="00185A0D">
            <w:pPr>
              <w:rPr>
                <w:rFonts w:cs="Times New Roman"/>
                <w:color w:val="000000"/>
                <w:sz w:val="20"/>
                <w:szCs w:val="20"/>
                <w:lang w:eastAsia="en-GB"/>
              </w:rPr>
            </w:pPr>
            <w:r>
              <w:rPr>
                <w:rFonts w:cs="Times New Roman"/>
                <w:color w:val="000000"/>
                <w:sz w:val="20"/>
                <w:szCs w:val="20"/>
                <w:lang w:eastAsia="en-GB"/>
              </w:rPr>
              <w:t xml:space="preserve">  </w:t>
            </w:r>
            <w:r w:rsidRPr="00C90C4E">
              <w:rPr>
                <w:rFonts w:cs="Times New Roman"/>
                <w:color w:val="000000"/>
                <w:sz w:val="20"/>
                <w:szCs w:val="20"/>
                <w:lang w:eastAsia="en-GB"/>
              </w:rPr>
              <w:t>1.0000</w:t>
            </w:r>
          </w:p>
        </w:tc>
        <w:tc>
          <w:tcPr>
            <w:tcW w:w="1276" w:type="dxa"/>
            <w:tcBorders>
              <w:top w:val="nil"/>
              <w:bottom w:val="nil"/>
            </w:tcBorders>
            <w:noWrap/>
          </w:tcPr>
          <w:p w:rsidR="00DE7088" w:rsidRPr="00C15F52" w:rsidRDefault="00DE7088" w:rsidP="00185A0D">
            <w:pPr>
              <w:rPr>
                <w:rFonts w:cs="Times New Roman"/>
                <w:sz w:val="20"/>
                <w:szCs w:val="20"/>
              </w:rPr>
            </w:pPr>
            <w:r w:rsidRPr="00C90C4E">
              <w:rPr>
                <w:rFonts w:cs="Times New Roman"/>
                <w:sz w:val="20"/>
                <w:szCs w:val="20"/>
              </w:rPr>
              <w:t xml:space="preserve">  0.4539</w:t>
            </w:r>
          </w:p>
        </w:tc>
        <w:tc>
          <w:tcPr>
            <w:tcW w:w="1276" w:type="dxa"/>
            <w:tcBorders>
              <w:top w:val="nil"/>
              <w:bottom w:val="nil"/>
            </w:tcBorders>
            <w:noWrap/>
          </w:tcPr>
          <w:p w:rsidR="00DE7088" w:rsidRPr="00C15F52" w:rsidRDefault="00DE7088" w:rsidP="00185A0D">
            <w:pPr>
              <w:rPr>
                <w:rFonts w:cs="Times New Roman"/>
                <w:sz w:val="20"/>
                <w:szCs w:val="20"/>
              </w:rPr>
            </w:pPr>
            <w:r w:rsidRPr="00C90C4E">
              <w:rPr>
                <w:rFonts w:cs="Times New Roman"/>
                <w:sz w:val="20"/>
                <w:szCs w:val="20"/>
              </w:rPr>
              <w:t xml:space="preserve">  0.0000</w:t>
            </w:r>
          </w:p>
        </w:tc>
        <w:tc>
          <w:tcPr>
            <w:tcW w:w="1450" w:type="dxa"/>
            <w:tcBorders>
              <w:top w:val="nil"/>
              <w:bottom w:val="nil"/>
              <w:right w:val="nil"/>
            </w:tcBorders>
            <w:noWrap/>
          </w:tcPr>
          <w:p w:rsidR="00DE7088" w:rsidRPr="00C15F52" w:rsidRDefault="00DE7088" w:rsidP="00185A0D">
            <w:pPr>
              <w:rPr>
                <w:rFonts w:cs="Times New Roman"/>
                <w:sz w:val="20"/>
                <w:szCs w:val="20"/>
              </w:rPr>
            </w:pPr>
            <w:r w:rsidRPr="00C90C4E">
              <w:rPr>
                <w:rFonts w:cs="Times New Roman"/>
                <w:sz w:val="20"/>
                <w:szCs w:val="20"/>
              </w:rPr>
              <w:t xml:space="preserve">  1.0000</w:t>
            </w:r>
          </w:p>
        </w:tc>
      </w:tr>
      <w:tr w:rsidR="00DE7088" w:rsidRPr="00C15F52" w:rsidTr="0051160C">
        <w:trPr>
          <w:trHeight w:val="95"/>
          <w:jc w:val="center"/>
        </w:trPr>
        <w:tc>
          <w:tcPr>
            <w:tcW w:w="1961" w:type="dxa"/>
            <w:tcBorders>
              <w:top w:val="nil"/>
              <w:left w:val="nil"/>
              <w:bottom w:val="nil"/>
            </w:tcBorders>
          </w:tcPr>
          <w:p w:rsidR="00DE7088" w:rsidRPr="00C15F52" w:rsidRDefault="00DE7088" w:rsidP="00185A0D">
            <w:pPr>
              <w:rPr>
                <w:rFonts w:eastAsiaTheme="minorEastAsia" w:cs="Times New Roman"/>
                <w:sz w:val="20"/>
                <w:szCs w:val="20"/>
              </w:rPr>
            </w:pPr>
            <w:r w:rsidRPr="00C90C4E">
              <w:rPr>
                <w:rFonts w:cs="Times New Roman"/>
                <w:sz w:val="20"/>
                <w:szCs w:val="20"/>
              </w:rPr>
              <w:t xml:space="preserve">  CGCOM</w:t>
            </w:r>
          </w:p>
        </w:tc>
        <w:tc>
          <w:tcPr>
            <w:tcW w:w="1357" w:type="dxa"/>
            <w:tcBorders>
              <w:top w:val="nil"/>
              <w:bottom w:val="nil"/>
            </w:tcBorders>
            <w:noWrap/>
          </w:tcPr>
          <w:p w:rsidR="00DE7088" w:rsidRPr="00C15F52" w:rsidRDefault="00DE7088" w:rsidP="00185A0D">
            <w:pPr>
              <w:rPr>
                <w:rFonts w:cs="Times New Roman"/>
                <w:sz w:val="20"/>
                <w:szCs w:val="20"/>
              </w:rPr>
            </w:pPr>
            <w:r w:rsidRPr="00C90C4E">
              <w:rPr>
                <w:rFonts w:cs="Times New Roman"/>
                <w:sz w:val="20"/>
                <w:szCs w:val="20"/>
              </w:rPr>
              <w:t xml:space="preserve">  0.1588</w:t>
            </w:r>
          </w:p>
        </w:tc>
        <w:tc>
          <w:tcPr>
            <w:tcW w:w="1349" w:type="dxa"/>
            <w:tcBorders>
              <w:top w:val="nil"/>
              <w:bottom w:val="nil"/>
            </w:tcBorders>
            <w:noWrap/>
            <w:vAlign w:val="center"/>
          </w:tcPr>
          <w:p w:rsidR="00DE7088" w:rsidRPr="00C15F52" w:rsidRDefault="00DE7088" w:rsidP="00185A0D">
            <w:pPr>
              <w:rPr>
                <w:rFonts w:cs="Times New Roman"/>
                <w:color w:val="000000"/>
                <w:sz w:val="20"/>
                <w:szCs w:val="20"/>
                <w:lang w:eastAsia="en-GB"/>
              </w:rPr>
            </w:pPr>
            <w:r>
              <w:rPr>
                <w:rFonts w:cs="Times New Roman"/>
                <w:color w:val="000000"/>
                <w:sz w:val="20"/>
                <w:szCs w:val="20"/>
                <w:lang w:eastAsia="en-GB"/>
              </w:rPr>
              <w:t xml:space="preserve">  </w:t>
            </w:r>
            <w:r w:rsidRPr="00C90C4E">
              <w:rPr>
                <w:rFonts w:cs="Times New Roman"/>
                <w:color w:val="000000"/>
                <w:sz w:val="20"/>
                <w:szCs w:val="20"/>
                <w:lang w:eastAsia="en-GB"/>
              </w:rPr>
              <w:t>0.0000</w:t>
            </w:r>
          </w:p>
        </w:tc>
        <w:tc>
          <w:tcPr>
            <w:tcW w:w="1276" w:type="dxa"/>
            <w:tcBorders>
              <w:top w:val="nil"/>
              <w:bottom w:val="nil"/>
            </w:tcBorders>
            <w:noWrap/>
          </w:tcPr>
          <w:p w:rsidR="00DE7088" w:rsidRPr="00C15F52" w:rsidRDefault="00DE7088" w:rsidP="00185A0D">
            <w:pPr>
              <w:rPr>
                <w:rFonts w:cs="Times New Roman"/>
                <w:sz w:val="20"/>
                <w:szCs w:val="20"/>
              </w:rPr>
            </w:pPr>
            <w:r w:rsidRPr="00C90C4E">
              <w:rPr>
                <w:rFonts w:cs="Times New Roman"/>
                <w:sz w:val="20"/>
                <w:szCs w:val="20"/>
              </w:rPr>
              <w:t xml:space="preserve">  0.3656</w:t>
            </w:r>
          </w:p>
        </w:tc>
        <w:tc>
          <w:tcPr>
            <w:tcW w:w="1276" w:type="dxa"/>
            <w:tcBorders>
              <w:top w:val="nil"/>
              <w:bottom w:val="nil"/>
            </w:tcBorders>
            <w:noWrap/>
          </w:tcPr>
          <w:p w:rsidR="00DE7088" w:rsidRPr="00C15F52" w:rsidRDefault="00DE7088" w:rsidP="00185A0D">
            <w:pPr>
              <w:rPr>
                <w:rFonts w:cs="Times New Roman"/>
                <w:sz w:val="20"/>
                <w:szCs w:val="20"/>
              </w:rPr>
            </w:pPr>
            <w:r w:rsidRPr="00C90C4E">
              <w:rPr>
                <w:rFonts w:cs="Times New Roman"/>
                <w:sz w:val="20"/>
                <w:szCs w:val="20"/>
              </w:rPr>
              <w:t xml:space="preserve">  0.0000</w:t>
            </w:r>
          </w:p>
        </w:tc>
        <w:tc>
          <w:tcPr>
            <w:tcW w:w="1450" w:type="dxa"/>
            <w:tcBorders>
              <w:top w:val="nil"/>
              <w:bottom w:val="nil"/>
              <w:right w:val="nil"/>
            </w:tcBorders>
            <w:noWrap/>
          </w:tcPr>
          <w:p w:rsidR="00DE7088" w:rsidRPr="00C15F52" w:rsidRDefault="00DE7088" w:rsidP="00185A0D">
            <w:pPr>
              <w:rPr>
                <w:rFonts w:cs="Times New Roman"/>
                <w:sz w:val="20"/>
                <w:szCs w:val="20"/>
              </w:rPr>
            </w:pPr>
            <w:r w:rsidRPr="00C90C4E">
              <w:rPr>
                <w:rFonts w:cs="Times New Roman"/>
                <w:sz w:val="20"/>
                <w:szCs w:val="20"/>
              </w:rPr>
              <w:t xml:space="preserve">  1.0000</w:t>
            </w:r>
          </w:p>
        </w:tc>
      </w:tr>
      <w:tr w:rsidR="00DE7088" w:rsidRPr="00C15F52" w:rsidTr="0051160C">
        <w:trPr>
          <w:trHeight w:val="231"/>
          <w:jc w:val="center"/>
        </w:trPr>
        <w:tc>
          <w:tcPr>
            <w:tcW w:w="1961" w:type="dxa"/>
            <w:tcBorders>
              <w:top w:val="nil"/>
              <w:left w:val="nil"/>
              <w:bottom w:val="nil"/>
            </w:tcBorders>
          </w:tcPr>
          <w:p w:rsidR="00DE7088" w:rsidRPr="00C15F52" w:rsidRDefault="00DE7088" w:rsidP="00185A0D">
            <w:pPr>
              <w:rPr>
                <w:rFonts w:eastAsiaTheme="minorEastAsia" w:cs="Times New Roman"/>
                <w:sz w:val="20"/>
                <w:szCs w:val="20"/>
              </w:rPr>
            </w:pPr>
            <w:r w:rsidRPr="00C90C4E">
              <w:rPr>
                <w:rFonts w:cs="Times New Roman"/>
                <w:sz w:val="20"/>
                <w:szCs w:val="20"/>
              </w:rPr>
              <w:t xml:space="preserve">  GNDR</w:t>
            </w:r>
          </w:p>
        </w:tc>
        <w:tc>
          <w:tcPr>
            <w:tcW w:w="1357" w:type="dxa"/>
            <w:tcBorders>
              <w:top w:val="nil"/>
              <w:bottom w:val="nil"/>
            </w:tcBorders>
            <w:noWrap/>
          </w:tcPr>
          <w:p w:rsidR="00DE7088" w:rsidRPr="00C15F52" w:rsidRDefault="00DE7088" w:rsidP="00185A0D">
            <w:pPr>
              <w:rPr>
                <w:rFonts w:cs="Times New Roman"/>
                <w:sz w:val="20"/>
                <w:szCs w:val="20"/>
              </w:rPr>
            </w:pPr>
            <w:r w:rsidRPr="00C90C4E">
              <w:rPr>
                <w:rFonts w:cs="Times New Roman"/>
                <w:sz w:val="20"/>
                <w:szCs w:val="20"/>
              </w:rPr>
              <w:t xml:space="preserve">  0.1770</w:t>
            </w:r>
          </w:p>
        </w:tc>
        <w:tc>
          <w:tcPr>
            <w:tcW w:w="1349" w:type="dxa"/>
            <w:tcBorders>
              <w:top w:val="nil"/>
              <w:bottom w:val="nil"/>
            </w:tcBorders>
            <w:noWrap/>
            <w:vAlign w:val="center"/>
          </w:tcPr>
          <w:p w:rsidR="00DE7088" w:rsidRPr="00C15F52" w:rsidRDefault="00DE7088" w:rsidP="00185A0D">
            <w:pPr>
              <w:rPr>
                <w:rFonts w:cs="Times New Roman"/>
                <w:color w:val="000000"/>
                <w:sz w:val="20"/>
                <w:szCs w:val="20"/>
                <w:lang w:eastAsia="en-GB"/>
              </w:rPr>
            </w:pPr>
            <w:r>
              <w:rPr>
                <w:rFonts w:cs="Times New Roman"/>
                <w:color w:val="000000"/>
                <w:sz w:val="20"/>
                <w:szCs w:val="20"/>
                <w:lang w:eastAsia="en-GB"/>
              </w:rPr>
              <w:t xml:space="preserve">  </w:t>
            </w:r>
            <w:r w:rsidRPr="00C90C4E">
              <w:rPr>
                <w:rFonts w:cs="Times New Roman"/>
                <w:color w:val="000000"/>
                <w:sz w:val="20"/>
                <w:szCs w:val="20"/>
                <w:lang w:eastAsia="en-GB"/>
              </w:rPr>
              <w:t>0.0000</w:t>
            </w:r>
          </w:p>
        </w:tc>
        <w:tc>
          <w:tcPr>
            <w:tcW w:w="1276" w:type="dxa"/>
            <w:tcBorders>
              <w:top w:val="nil"/>
              <w:bottom w:val="nil"/>
            </w:tcBorders>
            <w:noWrap/>
          </w:tcPr>
          <w:p w:rsidR="00DE7088" w:rsidRPr="00C15F52" w:rsidRDefault="00DE7088" w:rsidP="00185A0D">
            <w:pPr>
              <w:rPr>
                <w:rFonts w:cs="Times New Roman"/>
                <w:sz w:val="20"/>
                <w:szCs w:val="20"/>
              </w:rPr>
            </w:pPr>
            <w:r w:rsidRPr="00C90C4E">
              <w:rPr>
                <w:rFonts w:cs="Times New Roman"/>
                <w:sz w:val="20"/>
                <w:szCs w:val="20"/>
              </w:rPr>
              <w:t xml:space="preserve">  0.3819</w:t>
            </w:r>
          </w:p>
        </w:tc>
        <w:tc>
          <w:tcPr>
            <w:tcW w:w="1276" w:type="dxa"/>
            <w:tcBorders>
              <w:top w:val="nil"/>
              <w:bottom w:val="nil"/>
            </w:tcBorders>
            <w:noWrap/>
          </w:tcPr>
          <w:p w:rsidR="00DE7088" w:rsidRPr="00C15F52" w:rsidRDefault="00DE7088" w:rsidP="00185A0D">
            <w:pPr>
              <w:rPr>
                <w:rFonts w:cs="Times New Roman"/>
                <w:sz w:val="20"/>
                <w:szCs w:val="20"/>
              </w:rPr>
            </w:pPr>
            <w:r w:rsidRPr="00C90C4E">
              <w:rPr>
                <w:rFonts w:cs="Times New Roman"/>
                <w:sz w:val="20"/>
                <w:szCs w:val="20"/>
              </w:rPr>
              <w:t xml:space="preserve">  0.0000</w:t>
            </w:r>
          </w:p>
        </w:tc>
        <w:tc>
          <w:tcPr>
            <w:tcW w:w="1450" w:type="dxa"/>
            <w:tcBorders>
              <w:top w:val="nil"/>
              <w:bottom w:val="nil"/>
              <w:right w:val="nil"/>
            </w:tcBorders>
            <w:noWrap/>
          </w:tcPr>
          <w:p w:rsidR="00DE7088" w:rsidRPr="00C15F52" w:rsidRDefault="00DE7088" w:rsidP="00185A0D">
            <w:pPr>
              <w:rPr>
                <w:rFonts w:cs="Times New Roman"/>
                <w:sz w:val="20"/>
                <w:szCs w:val="20"/>
              </w:rPr>
            </w:pPr>
            <w:r w:rsidRPr="00C90C4E">
              <w:rPr>
                <w:rFonts w:cs="Times New Roman"/>
                <w:sz w:val="20"/>
                <w:szCs w:val="20"/>
              </w:rPr>
              <w:t xml:space="preserve">  1.0000</w:t>
            </w:r>
          </w:p>
        </w:tc>
      </w:tr>
      <w:tr w:rsidR="00DE7088" w:rsidRPr="00C15F52" w:rsidTr="0051160C">
        <w:trPr>
          <w:trHeight w:val="197"/>
          <w:jc w:val="center"/>
        </w:trPr>
        <w:tc>
          <w:tcPr>
            <w:tcW w:w="8669" w:type="dxa"/>
            <w:gridSpan w:val="6"/>
            <w:tcBorders>
              <w:top w:val="nil"/>
              <w:left w:val="nil"/>
              <w:bottom w:val="nil"/>
              <w:right w:val="nil"/>
            </w:tcBorders>
            <w:vAlign w:val="bottom"/>
          </w:tcPr>
          <w:p w:rsidR="00DE7088" w:rsidRPr="00C15F52" w:rsidRDefault="00DE7088" w:rsidP="00185A0D">
            <w:pPr>
              <w:rPr>
                <w:rFonts w:cs="Times New Roman"/>
                <w:color w:val="000000"/>
                <w:sz w:val="20"/>
                <w:szCs w:val="20"/>
                <w:lang w:eastAsia="en-GB"/>
              </w:rPr>
            </w:pPr>
            <w:r w:rsidRPr="00C90C4E">
              <w:rPr>
                <w:rFonts w:cs="Times New Roman"/>
                <w:color w:val="000000"/>
                <w:sz w:val="20"/>
                <w:szCs w:val="20"/>
                <w:lang w:eastAsia="en-GB"/>
              </w:rPr>
              <w:t>Control variables</w:t>
            </w:r>
          </w:p>
        </w:tc>
      </w:tr>
      <w:tr w:rsidR="00660C21" w:rsidRPr="00C15F52" w:rsidTr="0051160C">
        <w:trPr>
          <w:trHeight w:val="106"/>
          <w:jc w:val="center"/>
        </w:trPr>
        <w:tc>
          <w:tcPr>
            <w:tcW w:w="1961" w:type="dxa"/>
            <w:tcBorders>
              <w:top w:val="nil"/>
              <w:left w:val="nil"/>
              <w:bottom w:val="nil"/>
            </w:tcBorders>
          </w:tcPr>
          <w:p w:rsidR="00660C21" w:rsidRPr="00C15F52" w:rsidRDefault="00660C21" w:rsidP="007E1196">
            <w:pPr>
              <w:rPr>
                <w:rFonts w:cs="Times New Roman"/>
                <w:sz w:val="20"/>
                <w:szCs w:val="20"/>
              </w:rPr>
            </w:pPr>
            <w:r w:rsidRPr="00C90C4E">
              <w:rPr>
                <w:rFonts w:eastAsiaTheme="minorEastAsia" w:cs="Times New Roman"/>
                <w:sz w:val="20"/>
                <w:szCs w:val="20"/>
              </w:rPr>
              <w:t xml:space="preserve">  </w:t>
            </w:r>
            <w:r w:rsidRPr="00C90C4E">
              <w:rPr>
                <w:rFonts w:cs="Times New Roman"/>
                <w:sz w:val="20"/>
                <w:szCs w:val="20"/>
              </w:rPr>
              <w:t>BLKOWN</w:t>
            </w:r>
          </w:p>
        </w:tc>
        <w:tc>
          <w:tcPr>
            <w:tcW w:w="1357" w:type="dxa"/>
            <w:tcBorders>
              <w:bottom w:val="nil"/>
            </w:tcBorders>
            <w:noWrap/>
          </w:tcPr>
          <w:p w:rsidR="00660C21" w:rsidRPr="00C15F52" w:rsidRDefault="00660C21" w:rsidP="007E1196">
            <w:pPr>
              <w:rPr>
                <w:rFonts w:cs="Times New Roman"/>
                <w:sz w:val="20"/>
                <w:szCs w:val="20"/>
              </w:rPr>
            </w:pPr>
            <w:r w:rsidRPr="00C90C4E">
              <w:rPr>
                <w:rFonts w:cs="Times New Roman"/>
                <w:sz w:val="20"/>
                <w:szCs w:val="20"/>
              </w:rPr>
              <w:t>54.8402</w:t>
            </w:r>
          </w:p>
        </w:tc>
        <w:tc>
          <w:tcPr>
            <w:tcW w:w="1349" w:type="dxa"/>
            <w:tcBorders>
              <w:bottom w:val="nil"/>
            </w:tcBorders>
            <w:noWrap/>
            <w:vAlign w:val="center"/>
          </w:tcPr>
          <w:p w:rsidR="00660C21" w:rsidRPr="00C15F52" w:rsidRDefault="00660C21" w:rsidP="007E1196">
            <w:pPr>
              <w:rPr>
                <w:rFonts w:cs="Times New Roman"/>
                <w:color w:val="000000"/>
                <w:sz w:val="20"/>
                <w:szCs w:val="20"/>
                <w:lang w:eastAsia="en-GB"/>
              </w:rPr>
            </w:pPr>
            <w:r w:rsidRPr="00C90C4E">
              <w:rPr>
                <w:rFonts w:cs="Times New Roman"/>
                <w:color w:val="000000"/>
                <w:sz w:val="20"/>
                <w:szCs w:val="20"/>
                <w:lang w:eastAsia="en-GB"/>
              </w:rPr>
              <w:t>56.5927</w:t>
            </w:r>
          </w:p>
        </w:tc>
        <w:tc>
          <w:tcPr>
            <w:tcW w:w="1276" w:type="dxa"/>
            <w:tcBorders>
              <w:bottom w:val="nil"/>
            </w:tcBorders>
            <w:noWrap/>
          </w:tcPr>
          <w:p w:rsidR="00660C21" w:rsidRPr="00C15F52" w:rsidRDefault="00660C21" w:rsidP="007E1196">
            <w:pPr>
              <w:rPr>
                <w:rFonts w:cs="Times New Roman"/>
                <w:sz w:val="20"/>
                <w:szCs w:val="20"/>
              </w:rPr>
            </w:pPr>
            <w:r w:rsidRPr="00C90C4E">
              <w:rPr>
                <w:rFonts w:cs="Times New Roman"/>
                <w:sz w:val="20"/>
                <w:szCs w:val="20"/>
              </w:rPr>
              <w:t>24.3699</w:t>
            </w:r>
          </w:p>
        </w:tc>
        <w:tc>
          <w:tcPr>
            <w:tcW w:w="1276" w:type="dxa"/>
            <w:tcBorders>
              <w:bottom w:val="nil"/>
            </w:tcBorders>
            <w:noWrap/>
          </w:tcPr>
          <w:p w:rsidR="00660C21" w:rsidRPr="00C15F52" w:rsidRDefault="00660C21" w:rsidP="007E1196">
            <w:pPr>
              <w:rPr>
                <w:rFonts w:cs="Times New Roman"/>
                <w:sz w:val="20"/>
                <w:szCs w:val="20"/>
              </w:rPr>
            </w:pPr>
            <w:r w:rsidRPr="00C90C4E">
              <w:rPr>
                <w:rFonts w:cs="Times New Roman"/>
                <w:sz w:val="20"/>
                <w:szCs w:val="20"/>
              </w:rPr>
              <w:t xml:space="preserve">  0.0000</w:t>
            </w:r>
          </w:p>
        </w:tc>
        <w:tc>
          <w:tcPr>
            <w:tcW w:w="1450" w:type="dxa"/>
            <w:tcBorders>
              <w:bottom w:val="nil"/>
              <w:right w:val="nil"/>
            </w:tcBorders>
            <w:noWrap/>
          </w:tcPr>
          <w:p w:rsidR="00660C21" w:rsidRPr="00C15F52" w:rsidRDefault="00660C21" w:rsidP="007E1196">
            <w:pPr>
              <w:rPr>
                <w:rFonts w:cs="Times New Roman"/>
                <w:sz w:val="20"/>
                <w:szCs w:val="20"/>
              </w:rPr>
            </w:pPr>
            <w:r w:rsidRPr="00C90C4E">
              <w:rPr>
                <w:rFonts w:cs="Times New Roman"/>
                <w:sz w:val="20"/>
                <w:szCs w:val="20"/>
              </w:rPr>
              <w:t>99.4700</w:t>
            </w:r>
          </w:p>
        </w:tc>
      </w:tr>
      <w:tr w:rsidR="00660C21" w:rsidRPr="00C15F52" w:rsidTr="0051160C">
        <w:trPr>
          <w:trHeight w:val="106"/>
          <w:jc w:val="center"/>
        </w:trPr>
        <w:tc>
          <w:tcPr>
            <w:tcW w:w="1961" w:type="dxa"/>
            <w:tcBorders>
              <w:top w:val="nil"/>
              <w:left w:val="nil"/>
              <w:bottom w:val="nil"/>
            </w:tcBorders>
          </w:tcPr>
          <w:p w:rsidR="00660C21" w:rsidRPr="00C15F52" w:rsidRDefault="00660C21" w:rsidP="007E1196">
            <w:pPr>
              <w:rPr>
                <w:rFonts w:cs="Times New Roman"/>
                <w:sz w:val="20"/>
                <w:szCs w:val="20"/>
              </w:rPr>
            </w:pPr>
            <w:r w:rsidRPr="00C90C4E">
              <w:rPr>
                <w:rFonts w:eastAsiaTheme="minorEastAsia" w:cs="Times New Roman"/>
                <w:sz w:val="20"/>
                <w:szCs w:val="20"/>
              </w:rPr>
              <w:t xml:space="preserve">  </w:t>
            </w:r>
            <w:r w:rsidRPr="00C90C4E">
              <w:rPr>
                <w:rFonts w:cs="Times New Roman"/>
                <w:sz w:val="20"/>
                <w:szCs w:val="20"/>
              </w:rPr>
              <w:t>GOVOWN</w:t>
            </w:r>
          </w:p>
        </w:tc>
        <w:tc>
          <w:tcPr>
            <w:tcW w:w="1357" w:type="dxa"/>
            <w:tcBorders>
              <w:bottom w:val="nil"/>
            </w:tcBorders>
            <w:noWrap/>
          </w:tcPr>
          <w:p w:rsidR="00660C21" w:rsidRPr="00C15F52" w:rsidRDefault="00660C21" w:rsidP="007E1196">
            <w:pPr>
              <w:rPr>
                <w:rFonts w:cs="Times New Roman"/>
                <w:sz w:val="20"/>
                <w:szCs w:val="20"/>
              </w:rPr>
            </w:pPr>
            <w:r w:rsidRPr="00C90C4E">
              <w:rPr>
                <w:rFonts w:cs="Times New Roman"/>
                <w:sz w:val="20"/>
                <w:szCs w:val="20"/>
              </w:rPr>
              <w:t xml:space="preserve">  0.2578</w:t>
            </w:r>
          </w:p>
        </w:tc>
        <w:tc>
          <w:tcPr>
            <w:tcW w:w="1349" w:type="dxa"/>
            <w:tcBorders>
              <w:bottom w:val="nil"/>
            </w:tcBorders>
            <w:noWrap/>
            <w:vAlign w:val="center"/>
          </w:tcPr>
          <w:p w:rsidR="00660C21" w:rsidRPr="00C15F52" w:rsidRDefault="00660C21" w:rsidP="007E1196">
            <w:pPr>
              <w:rPr>
                <w:rFonts w:cs="Times New Roman"/>
                <w:color w:val="000000"/>
                <w:sz w:val="20"/>
                <w:szCs w:val="20"/>
                <w:lang w:eastAsia="en-GB"/>
              </w:rPr>
            </w:pPr>
            <w:r>
              <w:rPr>
                <w:rFonts w:cs="Times New Roman"/>
                <w:color w:val="000000"/>
                <w:sz w:val="20"/>
                <w:szCs w:val="20"/>
                <w:lang w:eastAsia="en-GB"/>
              </w:rPr>
              <w:t xml:space="preserve">   </w:t>
            </w:r>
            <w:r w:rsidRPr="00C90C4E">
              <w:rPr>
                <w:rFonts w:cs="Times New Roman"/>
                <w:color w:val="000000"/>
                <w:sz w:val="20"/>
                <w:szCs w:val="20"/>
                <w:lang w:eastAsia="en-GB"/>
              </w:rPr>
              <w:t>0.0000</w:t>
            </w:r>
          </w:p>
        </w:tc>
        <w:tc>
          <w:tcPr>
            <w:tcW w:w="1276" w:type="dxa"/>
            <w:tcBorders>
              <w:bottom w:val="nil"/>
            </w:tcBorders>
            <w:noWrap/>
          </w:tcPr>
          <w:p w:rsidR="00660C21" w:rsidRPr="00C15F52" w:rsidRDefault="00660C21" w:rsidP="007E1196">
            <w:pPr>
              <w:rPr>
                <w:rFonts w:cs="Times New Roman"/>
                <w:sz w:val="20"/>
                <w:szCs w:val="20"/>
              </w:rPr>
            </w:pPr>
            <w:r w:rsidRPr="00C90C4E">
              <w:rPr>
                <w:rFonts w:cs="Times New Roman"/>
                <w:sz w:val="20"/>
                <w:szCs w:val="20"/>
              </w:rPr>
              <w:t xml:space="preserve">  0.4376</w:t>
            </w:r>
          </w:p>
        </w:tc>
        <w:tc>
          <w:tcPr>
            <w:tcW w:w="1276" w:type="dxa"/>
            <w:tcBorders>
              <w:bottom w:val="nil"/>
            </w:tcBorders>
            <w:noWrap/>
          </w:tcPr>
          <w:p w:rsidR="00660C21" w:rsidRPr="00C15F52" w:rsidRDefault="00660C21" w:rsidP="007E1196">
            <w:pPr>
              <w:rPr>
                <w:rFonts w:cs="Times New Roman"/>
                <w:sz w:val="20"/>
                <w:szCs w:val="20"/>
              </w:rPr>
            </w:pPr>
            <w:r w:rsidRPr="00C90C4E">
              <w:rPr>
                <w:rFonts w:cs="Times New Roman"/>
                <w:sz w:val="20"/>
                <w:szCs w:val="20"/>
              </w:rPr>
              <w:t xml:space="preserve">  0.0000</w:t>
            </w:r>
          </w:p>
        </w:tc>
        <w:tc>
          <w:tcPr>
            <w:tcW w:w="1450" w:type="dxa"/>
            <w:tcBorders>
              <w:bottom w:val="nil"/>
              <w:right w:val="nil"/>
            </w:tcBorders>
            <w:noWrap/>
          </w:tcPr>
          <w:p w:rsidR="00660C21" w:rsidRPr="00C15F52" w:rsidRDefault="00660C21" w:rsidP="007E1196">
            <w:pPr>
              <w:rPr>
                <w:rFonts w:cs="Times New Roman"/>
                <w:sz w:val="20"/>
                <w:szCs w:val="20"/>
              </w:rPr>
            </w:pPr>
            <w:r w:rsidRPr="00C90C4E">
              <w:rPr>
                <w:rFonts w:cs="Times New Roman"/>
                <w:sz w:val="20"/>
                <w:szCs w:val="20"/>
              </w:rPr>
              <w:t xml:space="preserve">   1.0000</w:t>
            </w:r>
          </w:p>
        </w:tc>
      </w:tr>
      <w:tr w:rsidR="00660C21" w:rsidRPr="00C15F52" w:rsidTr="0051160C">
        <w:trPr>
          <w:trHeight w:val="106"/>
          <w:jc w:val="center"/>
        </w:trPr>
        <w:tc>
          <w:tcPr>
            <w:tcW w:w="1961" w:type="dxa"/>
            <w:tcBorders>
              <w:top w:val="nil"/>
              <w:left w:val="nil"/>
              <w:bottom w:val="nil"/>
            </w:tcBorders>
          </w:tcPr>
          <w:p w:rsidR="00660C21" w:rsidRPr="00C15F52" w:rsidRDefault="00660C21" w:rsidP="007E1196">
            <w:pPr>
              <w:rPr>
                <w:rFonts w:cs="Times New Roman"/>
                <w:sz w:val="20"/>
                <w:szCs w:val="20"/>
              </w:rPr>
            </w:pPr>
            <w:r w:rsidRPr="00C90C4E">
              <w:rPr>
                <w:rFonts w:cs="Times New Roman"/>
                <w:sz w:val="20"/>
                <w:szCs w:val="20"/>
              </w:rPr>
              <w:t xml:space="preserve">  INSOWN</w:t>
            </w:r>
          </w:p>
        </w:tc>
        <w:tc>
          <w:tcPr>
            <w:tcW w:w="1357" w:type="dxa"/>
            <w:tcBorders>
              <w:bottom w:val="nil"/>
            </w:tcBorders>
            <w:noWrap/>
          </w:tcPr>
          <w:p w:rsidR="00660C21" w:rsidRPr="00C15F52" w:rsidRDefault="00660C21" w:rsidP="007E1196">
            <w:pPr>
              <w:rPr>
                <w:rFonts w:cs="Times New Roman"/>
                <w:sz w:val="20"/>
                <w:szCs w:val="20"/>
              </w:rPr>
            </w:pPr>
            <w:r w:rsidRPr="00C90C4E">
              <w:rPr>
                <w:rFonts w:cs="Times New Roman"/>
                <w:sz w:val="20"/>
                <w:szCs w:val="20"/>
              </w:rPr>
              <w:t>20.3921</w:t>
            </w:r>
          </w:p>
        </w:tc>
        <w:tc>
          <w:tcPr>
            <w:tcW w:w="1349" w:type="dxa"/>
            <w:tcBorders>
              <w:bottom w:val="nil"/>
            </w:tcBorders>
            <w:noWrap/>
            <w:vAlign w:val="center"/>
          </w:tcPr>
          <w:p w:rsidR="00660C21" w:rsidRPr="00C15F52" w:rsidRDefault="00660C21" w:rsidP="007E1196">
            <w:pPr>
              <w:rPr>
                <w:rFonts w:cs="Times New Roman"/>
                <w:color w:val="000000"/>
                <w:sz w:val="20"/>
                <w:szCs w:val="20"/>
                <w:lang w:eastAsia="en-GB"/>
              </w:rPr>
            </w:pPr>
            <w:r>
              <w:rPr>
                <w:rFonts w:cs="Times New Roman"/>
                <w:color w:val="000000"/>
                <w:sz w:val="20"/>
                <w:szCs w:val="20"/>
                <w:lang w:eastAsia="en-GB"/>
              </w:rPr>
              <w:t xml:space="preserve"> </w:t>
            </w:r>
            <w:r w:rsidRPr="00C90C4E">
              <w:rPr>
                <w:rFonts w:cs="Times New Roman"/>
                <w:color w:val="000000"/>
                <w:sz w:val="20"/>
                <w:szCs w:val="20"/>
                <w:lang w:eastAsia="en-GB"/>
              </w:rPr>
              <w:t>12.4205</w:t>
            </w:r>
          </w:p>
        </w:tc>
        <w:tc>
          <w:tcPr>
            <w:tcW w:w="1276" w:type="dxa"/>
            <w:tcBorders>
              <w:bottom w:val="nil"/>
            </w:tcBorders>
            <w:noWrap/>
          </w:tcPr>
          <w:p w:rsidR="00660C21" w:rsidRPr="00C15F52" w:rsidRDefault="00660C21" w:rsidP="007E1196">
            <w:pPr>
              <w:rPr>
                <w:rFonts w:cs="Times New Roman"/>
                <w:sz w:val="20"/>
                <w:szCs w:val="20"/>
              </w:rPr>
            </w:pPr>
            <w:r w:rsidRPr="00C90C4E">
              <w:rPr>
                <w:rFonts w:cs="Times New Roman"/>
                <w:sz w:val="20"/>
                <w:szCs w:val="20"/>
              </w:rPr>
              <w:t>22.6782</w:t>
            </w:r>
          </w:p>
        </w:tc>
        <w:tc>
          <w:tcPr>
            <w:tcW w:w="1276" w:type="dxa"/>
            <w:tcBorders>
              <w:bottom w:val="nil"/>
            </w:tcBorders>
            <w:noWrap/>
          </w:tcPr>
          <w:p w:rsidR="00660C21" w:rsidRPr="00C15F52" w:rsidRDefault="00660C21" w:rsidP="007E1196">
            <w:pPr>
              <w:rPr>
                <w:rFonts w:cs="Times New Roman"/>
                <w:sz w:val="20"/>
                <w:szCs w:val="20"/>
              </w:rPr>
            </w:pPr>
            <w:r w:rsidRPr="00C90C4E">
              <w:rPr>
                <w:rFonts w:cs="Times New Roman"/>
                <w:sz w:val="20"/>
                <w:szCs w:val="20"/>
              </w:rPr>
              <w:t xml:space="preserve">  0.0000</w:t>
            </w:r>
          </w:p>
        </w:tc>
        <w:tc>
          <w:tcPr>
            <w:tcW w:w="1450" w:type="dxa"/>
            <w:tcBorders>
              <w:bottom w:val="nil"/>
              <w:right w:val="nil"/>
            </w:tcBorders>
            <w:noWrap/>
          </w:tcPr>
          <w:p w:rsidR="00660C21" w:rsidRPr="00C15F52" w:rsidRDefault="00660C21" w:rsidP="007E1196">
            <w:pPr>
              <w:rPr>
                <w:rFonts w:cs="Times New Roman"/>
                <w:sz w:val="20"/>
                <w:szCs w:val="20"/>
              </w:rPr>
            </w:pPr>
            <w:r w:rsidRPr="00C90C4E">
              <w:rPr>
                <w:rFonts w:cs="Times New Roman"/>
                <w:sz w:val="20"/>
                <w:szCs w:val="20"/>
              </w:rPr>
              <w:t>90.8500</w:t>
            </w:r>
          </w:p>
        </w:tc>
      </w:tr>
      <w:tr w:rsidR="00660C21" w:rsidRPr="00C15F52" w:rsidTr="0051160C">
        <w:trPr>
          <w:trHeight w:val="106"/>
          <w:jc w:val="center"/>
        </w:trPr>
        <w:tc>
          <w:tcPr>
            <w:tcW w:w="1961" w:type="dxa"/>
            <w:tcBorders>
              <w:top w:val="nil"/>
              <w:left w:val="nil"/>
              <w:bottom w:val="nil"/>
            </w:tcBorders>
          </w:tcPr>
          <w:p w:rsidR="00660C21" w:rsidRPr="00C15F52" w:rsidRDefault="00660C21" w:rsidP="007E1196">
            <w:pPr>
              <w:rPr>
                <w:rFonts w:cs="Times New Roman"/>
                <w:sz w:val="20"/>
                <w:szCs w:val="20"/>
              </w:rPr>
            </w:pPr>
            <w:r w:rsidRPr="00C90C4E">
              <w:rPr>
                <w:rFonts w:eastAsiaTheme="minorEastAsia" w:cs="Times New Roman"/>
                <w:sz w:val="20"/>
                <w:szCs w:val="20"/>
              </w:rPr>
              <w:t xml:space="preserve">  </w:t>
            </w:r>
            <w:r w:rsidRPr="00C90C4E">
              <w:rPr>
                <w:rFonts w:cs="Times New Roman"/>
                <w:sz w:val="20"/>
                <w:szCs w:val="20"/>
              </w:rPr>
              <w:t>FOROWN</w:t>
            </w:r>
          </w:p>
        </w:tc>
        <w:tc>
          <w:tcPr>
            <w:tcW w:w="1357" w:type="dxa"/>
            <w:tcBorders>
              <w:bottom w:val="nil"/>
            </w:tcBorders>
            <w:noWrap/>
          </w:tcPr>
          <w:p w:rsidR="00660C21" w:rsidRPr="00C15F52" w:rsidRDefault="00660C21" w:rsidP="007E1196">
            <w:pPr>
              <w:rPr>
                <w:rFonts w:cs="Times New Roman"/>
                <w:sz w:val="20"/>
                <w:szCs w:val="20"/>
              </w:rPr>
            </w:pPr>
            <w:r w:rsidRPr="00C90C4E">
              <w:rPr>
                <w:rFonts w:cs="Times New Roman"/>
                <w:sz w:val="20"/>
                <w:szCs w:val="20"/>
              </w:rPr>
              <w:t>10.4591</w:t>
            </w:r>
          </w:p>
        </w:tc>
        <w:tc>
          <w:tcPr>
            <w:tcW w:w="1349" w:type="dxa"/>
            <w:tcBorders>
              <w:bottom w:val="nil"/>
            </w:tcBorders>
            <w:noWrap/>
            <w:vAlign w:val="center"/>
          </w:tcPr>
          <w:p w:rsidR="00660C21" w:rsidRPr="00C15F52" w:rsidRDefault="00660C21" w:rsidP="007E1196">
            <w:pPr>
              <w:rPr>
                <w:rFonts w:cs="Times New Roman"/>
                <w:color w:val="000000"/>
                <w:sz w:val="20"/>
                <w:szCs w:val="20"/>
                <w:lang w:eastAsia="en-GB"/>
              </w:rPr>
            </w:pPr>
            <w:r>
              <w:rPr>
                <w:rFonts w:cs="Times New Roman"/>
                <w:color w:val="000000"/>
                <w:sz w:val="20"/>
                <w:szCs w:val="20"/>
                <w:lang w:eastAsia="en-GB"/>
              </w:rPr>
              <w:t xml:space="preserve">   </w:t>
            </w:r>
            <w:r w:rsidRPr="00C90C4E">
              <w:rPr>
                <w:rFonts w:cs="Times New Roman"/>
                <w:color w:val="000000"/>
                <w:sz w:val="20"/>
                <w:szCs w:val="20"/>
                <w:lang w:eastAsia="en-GB"/>
              </w:rPr>
              <w:t>0.0000</w:t>
            </w:r>
          </w:p>
        </w:tc>
        <w:tc>
          <w:tcPr>
            <w:tcW w:w="1276" w:type="dxa"/>
            <w:tcBorders>
              <w:bottom w:val="nil"/>
            </w:tcBorders>
            <w:noWrap/>
          </w:tcPr>
          <w:p w:rsidR="00660C21" w:rsidRPr="00C15F52" w:rsidRDefault="00660C21" w:rsidP="007E1196">
            <w:pPr>
              <w:rPr>
                <w:rFonts w:cs="Times New Roman"/>
                <w:sz w:val="20"/>
                <w:szCs w:val="20"/>
              </w:rPr>
            </w:pPr>
            <w:r w:rsidRPr="00C90C4E">
              <w:rPr>
                <w:rFonts w:cs="Times New Roman"/>
                <w:sz w:val="20"/>
                <w:szCs w:val="20"/>
              </w:rPr>
              <w:t>20.0972</w:t>
            </w:r>
          </w:p>
        </w:tc>
        <w:tc>
          <w:tcPr>
            <w:tcW w:w="1276" w:type="dxa"/>
            <w:tcBorders>
              <w:bottom w:val="nil"/>
            </w:tcBorders>
            <w:noWrap/>
          </w:tcPr>
          <w:p w:rsidR="00660C21" w:rsidRPr="00C15F52" w:rsidRDefault="00660C21" w:rsidP="007E1196">
            <w:pPr>
              <w:rPr>
                <w:rFonts w:cs="Times New Roman"/>
                <w:sz w:val="20"/>
                <w:szCs w:val="20"/>
              </w:rPr>
            </w:pPr>
            <w:r w:rsidRPr="00C90C4E">
              <w:rPr>
                <w:rFonts w:cs="Times New Roman"/>
                <w:sz w:val="20"/>
                <w:szCs w:val="20"/>
              </w:rPr>
              <w:t xml:space="preserve">  0.0000</w:t>
            </w:r>
          </w:p>
        </w:tc>
        <w:tc>
          <w:tcPr>
            <w:tcW w:w="1450" w:type="dxa"/>
            <w:tcBorders>
              <w:bottom w:val="nil"/>
              <w:right w:val="nil"/>
            </w:tcBorders>
            <w:noWrap/>
          </w:tcPr>
          <w:p w:rsidR="00660C21" w:rsidRPr="00C15F52" w:rsidRDefault="00660C21" w:rsidP="007E1196">
            <w:pPr>
              <w:rPr>
                <w:rFonts w:cs="Times New Roman"/>
                <w:sz w:val="20"/>
                <w:szCs w:val="20"/>
              </w:rPr>
            </w:pPr>
            <w:r w:rsidRPr="00C90C4E">
              <w:rPr>
                <w:rFonts w:cs="Times New Roman"/>
                <w:sz w:val="20"/>
                <w:szCs w:val="20"/>
              </w:rPr>
              <w:t>90.1300</w:t>
            </w:r>
          </w:p>
        </w:tc>
      </w:tr>
      <w:tr w:rsidR="00660C21" w:rsidRPr="00C15F52" w:rsidTr="0051160C">
        <w:trPr>
          <w:trHeight w:val="106"/>
          <w:jc w:val="center"/>
        </w:trPr>
        <w:tc>
          <w:tcPr>
            <w:tcW w:w="1961" w:type="dxa"/>
            <w:tcBorders>
              <w:top w:val="nil"/>
              <w:left w:val="nil"/>
              <w:bottom w:val="nil"/>
            </w:tcBorders>
          </w:tcPr>
          <w:p w:rsidR="00660C21" w:rsidRPr="00C15F52" w:rsidRDefault="00660C21" w:rsidP="007E1196">
            <w:pPr>
              <w:rPr>
                <w:rFonts w:cs="Times New Roman"/>
                <w:sz w:val="20"/>
                <w:szCs w:val="20"/>
              </w:rPr>
            </w:pPr>
            <w:r>
              <w:rPr>
                <w:rFonts w:eastAsiaTheme="minorEastAsia" w:cs="Times New Roman"/>
                <w:sz w:val="20"/>
                <w:szCs w:val="20"/>
              </w:rPr>
              <w:t xml:space="preserve">  </w:t>
            </w:r>
            <w:r>
              <w:rPr>
                <w:rFonts w:cs="Times New Roman"/>
                <w:sz w:val="20"/>
                <w:szCs w:val="20"/>
              </w:rPr>
              <w:t>LNTA</w:t>
            </w:r>
          </w:p>
        </w:tc>
        <w:tc>
          <w:tcPr>
            <w:tcW w:w="1357" w:type="dxa"/>
            <w:tcBorders>
              <w:bottom w:val="nil"/>
            </w:tcBorders>
            <w:noWrap/>
          </w:tcPr>
          <w:p w:rsidR="00660C21" w:rsidRPr="00C15F52" w:rsidRDefault="00660C21" w:rsidP="007E1196">
            <w:pPr>
              <w:rPr>
                <w:rFonts w:cs="Times New Roman"/>
                <w:sz w:val="20"/>
                <w:szCs w:val="20"/>
              </w:rPr>
            </w:pPr>
            <w:r>
              <w:rPr>
                <w:rFonts w:cs="Times New Roman"/>
                <w:sz w:val="20"/>
                <w:szCs w:val="20"/>
              </w:rPr>
              <w:t>16.6222</w:t>
            </w:r>
          </w:p>
        </w:tc>
        <w:tc>
          <w:tcPr>
            <w:tcW w:w="1349" w:type="dxa"/>
            <w:tcBorders>
              <w:bottom w:val="nil"/>
            </w:tcBorders>
            <w:noWrap/>
            <w:vAlign w:val="center"/>
          </w:tcPr>
          <w:p w:rsidR="00660C21" w:rsidRPr="00C15F52" w:rsidRDefault="00660C21" w:rsidP="007E1196">
            <w:pPr>
              <w:rPr>
                <w:rFonts w:cs="Times New Roman"/>
                <w:color w:val="000000"/>
                <w:sz w:val="20"/>
                <w:szCs w:val="20"/>
                <w:lang w:eastAsia="en-GB"/>
              </w:rPr>
            </w:pPr>
            <w:r w:rsidRPr="00C90C4E">
              <w:rPr>
                <w:rFonts w:cs="Times New Roman"/>
                <w:color w:val="000000"/>
                <w:sz w:val="20"/>
                <w:szCs w:val="20"/>
                <w:lang w:eastAsia="en-GB"/>
              </w:rPr>
              <w:t>16.4241</w:t>
            </w:r>
          </w:p>
        </w:tc>
        <w:tc>
          <w:tcPr>
            <w:tcW w:w="1276" w:type="dxa"/>
            <w:tcBorders>
              <w:bottom w:val="nil"/>
            </w:tcBorders>
            <w:noWrap/>
          </w:tcPr>
          <w:p w:rsidR="00660C21" w:rsidRPr="00C15F52" w:rsidRDefault="00660C21" w:rsidP="007E1196">
            <w:pPr>
              <w:rPr>
                <w:rFonts w:cs="Times New Roman"/>
                <w:sz w:val="20"/>
                <w:szCs w:val="20"/>
              </w:rPr>
            </w:pPr>
            <w:r>
              <w:rPr>
                <w:rFonts w:cs="Times New Roman"/>
                <w:sz w:val="20"/>
                <w:szCs w:val="20"/>
              </w:rPr>
              <w:t xml:space="preserve">  1.4732</w:t>
            </w:r>
          </w:p>
        </w:tc>
        <w:tc>
          <w:tcPr>
            <w:tcW w:w="1276" w:type="dxa"/>
            <w:tcBorders>
              <w:bottom w:val="nil"/>
            </w:tcBorders>
            <w:noWrap/>
          </w:tcPr>
          <w:p w:rsidR="00660C21" w:rsidRPr="00C15F52" w:rsidRDefault="00660C21" w:rsidP="007E1196">
            <w:pPr>
              <w:rPr>
                <w:rFonts w:cs="Times New Roman"/>
                <w:sz w:val="20"/>
                <w:szCs w:val="20"/>
              </w:rPr>
            </w:pPr>
            <w:r>
              <w:rPr>
                <w:rFonts w:cs="Times New Roman"/>
                <w:sz w:val="20"/>
                <w:szCs w:val="20"/>
              </w:rPr>
              <w:t>14.4500</w:t>
            </w:r>
          </w:p>
        </w:tc>
        <w:tc>
          <w:tcPr>
            <w:tcW w:w="1450" w:type="dxa"/>
            <w:tcBorders>
              <w:bottom w:val="nil"/>
              <w:right w:val="nil"/>
            </w:tcBorders>
            <w:noWrap/>
          </w:tcPr>
          <w:p w:rsidR="00660C21" w:rsidRPr="00C15F52" w:rsidRDefault="00660C21" w:rsidP="007E1196">
            <w:pPr>
              <w:rPr>
                <w:rFonts w:cs="Times New Roman"/>
                <w:sz w:val="20"/>
                <w:szCs w:val="20"/>
              </w:rPr>
            </w:pPr>
            <w:r>
              <w:rPr>
                <w:rFonts w:cs="Times New Roman"/>
                <w:sz w:val="20"/>
                <w:szCs w:val="20"/>
              </w:rPr>
              <w:t>19.9400</w:t>
            </w:r>
          </w:p>
        </w:tc>
      </w:tr>
      <w:tr w:rsidR="00660C21" w:rsidRPr="00C15F52" w:rsidTr="0051160C">
        <w:trPr>
          <w:trHeight w:val="106"/>
          <w:jc w:val="center"/>
        </w:trPr>
        <w:tc>
          <w:tcPr>
            <w:tcW w:w="1961" w:type="dxa"/>
            <w:tcBorders>
              <w:top w:val="nil"/>
              <w:left w:val="nil"/>
              <w:bottom w:val="nil"/>
            </w:tcBorders>
          </w:tcPr>
          <w:p w:rsidR="00660C21" w:rsidRPr="00C15F52" w:rsidRDefault="00660C21" w:rsidP="007E1196">
            <w:pPr>
              <w:rPr>
                <w:rFonts w:cs="Times New Roman"/>
                <w:sz w:val="20"/>
                <w:szCs w:val="20"/>
              </w:rPr>
            </w:pPr>
            <w:r>
              <w:rPr>
                <w:rFonts w:eastAsiaTheme="minorEastAsia" w:cs="Times New Roman"/>
                <w:sz w:val="20"/>
                <w:szCs w:val="20"/>
              </w:rPr>
              <w:t xml:space="preserve">  </w:t>
            </w:r>
            <w:r>
              <w:rPr>
                <w:rFonts w:cs="Times New Roman"/>
                <w:sz w:val="20"/>
                <w:szCs w:val="20"/>
              </w:rPr>
              <w:t>ROA</w:t>
            </w:r>
          </w:p>
        </w:tc>
        <w:tc>
          <w:tcPr>
            <w:tcW w:w="1357" w:type="dxa"/>
            <w:tcBorders>
              <w:bottom w:val="nil"/>
            </w:tcBorders>
            <w:noWrap/>
          </w:tcPr>
          <w:p w:rsidR="00660C21" w:rsidRPr="00C15F52" w:rsidRDefault="00660C21" w:rsidP="007E1196">
            <w:pPr>
              <w:rPr>
                <w:rFonts w:cs="Times New Roman"/>
                <w:sz w:val="20"/>
                <w:szCs w:val="20"/>
              </w:rPr>
            </w:pPr>
            <w:r>
              <w:rPr>
                <w:rFonts w:cs="Times New Roman"/>
                <w:sz w:val="20"/>
                <w:szCs w:val="20"/>
              </w:rPr>
              <w:t xml:space="preserve">  0.0573</w:t>
            </w:r>
          </w:p>
        </w:tc>
        <w:tc>
          <w:tcPr>
            <w:tcW w:w="1349" w:type="dxa"/>
            <w:tcBorders>
              <w:bottom w:val="nil"/>
            </w:tcBorders>
            <w:noWrap/>
            <w:vAlign w:val="center"/>
          </w:tcPr>
          <w:p w:rsidR="00660C21" w:rsidRPr="00C15F52" w:rsidRDefault="00660C21" w:rsidP="007E1196">
            <w:pPr>
              <w:rPr>
                <w:rFonts w:cs="Times New Roman"/>
                <w:color w:val="000000"/>
                <w:sz w:val="20"/>
                <w:szCs w:val="20"/>
                <w:lang w:eastAsia="en-GB"/>
              </w:rPr>
            </w:pPr>
            <w:r>
              <w:rPr>
                <w:rFonts w:cs="Times New Roman"/>
                <w:color w:val="000000"/>
                <w:sz w:val="20"/>
                <w:szCs w:val="20"/>
                <w:lang w:eastAsia="en-GB"/>
              </w:rPr>
              <w:t xml:space="preserve">  </w:t>
            </w:r>
            <w:r w:rsidRPr="00C90C4E">
              <w:rPr>
                <w:rFonts w:cs="Times New Roman"/>
                <w:color w:val="000000"/>
                <w:sz w:val="20"/>
                <w:szCs w:val="20"/>
                <w:lang w:eastAsia="en-GB"/>
              </w:rPr>
              <w:t>0.0504</w:t>
            </w:r>
          </w:p>
        </w:tc>
        <w:tc>
          <w:tcPr>
            <w:tcW w:w="1276" w:type="dxa"/>
            <w:tcBorders>
              <w:bottom w:val="nil"/>
            </w:tcBorders>
            <w:noWrap/>
          </w:tcPr>
          <w:p w:rsidR="00660C21" w:rsidRPr="00C15F52" w:rsidRDefault="00660C21" w:rsidP="007E1196">
            <w:pPr>
              <w:rPr>
                <w:rFonts w:cs="Times New Roman"/>
                <w:sz w:val="20"/>
                <w:szCs w:val="20"/>
              </w:rPr>
            </w:pPr>
            <w:r>
              <w:rPr>
                <w:rFonts w:cs="Times New Roman"/>
                <w:sz w:val="20"/>
                <w:szCs w:val="20"/>
              </w:rPr>
              <w:t xml:space="preserve">  0.0980</w:t>
            </w:r>
          </w:p>
        </w:tc>
        <w:tc>
          <w:tcPr>
            <w:tcW w:w="1276" w:type="dxa"/>
            <w:tcBorders>
              <w:bottom w:val="nil"/>
            </w:tcBorders>
            <w:noWrap/>
          </w:tcPr>
          <w:p w:rsidR="00660C21" w:rsidRPr="00C15F52" w:rsidRDefault="00660C21" w:rsidP="007E1196">
            <w:pPr>
              <w:rPr>
                <w:rFonts w:cs="Times New Roman"/>
                <w:sz w:val="20"/>
                <w:szCs w:val="20"/>
              </w:rPr>
            </w:pPr>
            <w:r>
              <w:rPr>
                <w:rFonts w:cs="Times New Roman"/>
                <w:sz w:val="20"/>
                <w:szCs w:val="20"/>
              </w:rPr>
              <w:t xml:space="preserve"> -0.1368</w:t>
            </w:r>
          </w:p>
        </w:tc>
        <w:tc>
          <w:tcPr>
            <w:tcW w:w="1450" w:type="dxa"/>
            <w:tcBorders>
              <w:bottom w:val="nil"/>
              <w:right w:val="nil"/>
            </w:tcBorders>
            <w:noWrap/>
          </w:tcPr>
          <w:p w:rsidR="00660C21" w:rsidRPr="00C15F52" w:rsidRDefault="00660C21" w:rsidP="007E1196">
            <w:pPr>
              <w:rPr>
                <w:rFonts w:cs="Times New Roman"/>
                <w:sz w:val="20"/>
                <w:szCs w:val="20"/>
              </w:rPr>
            </w:pPr>
            <w:r>
              <w:rPr>
                <w:rFonts w:cs="Times New Roman"/>
                <w:sz w:val="20"/>
                <w:szCs w:val="20"/>
              </w:rPr>
              <w:t xml:space="preserve">  0.2500</w:t>
            </w:r>
          </w:p>
        </w:tc>
      </w:tr>
      <w:tr w:rsidR="00660C21" w:rsidRPr="00C15F52" w:rsidTr="0051160C">
        <w:trPr>
          <w:trHeight w:val="106"/>
          <w:jc w:val="center"/>
        </w:trPr>
        <w:tc>
          <w:tcPr>
            <w:tcW w:w="1961" w:type="dxa"/>
            <w:tcBorders>
              <w:top w:val="nil"/>
              <w:left w:val="nil"/>
              <w:bottom w:val="nil"/>
            </w:tcBorders>
          </w:tcPr>
          <w:p w:rsidR="00660C21" w:rsidRPr="00C15F52" w:rsidRDefault="00660C21" w:rsidP="007B0FE6">
            <w:pPr>
              <w:rPr>
                <w:rFonts w:cs="Times New Roman"/>
                <w:sz w:val="20"/>
                <w:szCs w:val="20"/>
              </w:rPr>
            </w:pPr>
            <w:r>
              <w:rPr>
                <w:rFonts w:eastAsiaTheme="minorEastAsia" w:cs="Times New Roman"/>
                <w:sz w:val="20"/>
                <w:szCs w:val="20"/>
              </w:rPr>
              <w:t xml:space="preserve">  </w:t>
            </w:r>
            <w:r>
              <w:rPr>
                <w:rFonts w:cs="Times New Roman"/>
                <w:sz w:val="20"/>
                <w:szCs w:val="20"/>
              </w:rPr>
              <w:t>GROWTH</w:t>
            </w:r>
          </w:p>
        </w:tc>
        <w:tc>
          <w:tcPr>
            <w:tcW w:w="1357" w:type="dxa"/>
            <w:tcBorders>
              <w:bottom w:val="nil"/>
            </w:tcBorders>
            <w:noWrap/>
          </w:tcPr>
          <w:p w:rsidR="00660C21" w:rsidRPr="00C15F52" w:rsidRDefault="00660C21" w:rsidP="007B0FE6">
            <w:pPr>
              <w:rPr>
                <w:rFonts w:cs="Times New Roman"/>
                <w:sz w:val="20"/>
                <w:szCs w:val="20"/>
              </w:rPr>
            </w:pPr>
            <w:r>
              <w:rPr>
                <w:rFonts w:cs="Times New Roman"/>
                <w:sz w:val="20"/>
                <w:szCs w:val="20"/>
              </w:rPr>
              <w:t xml:space="preserve">  0.7858</w:t>
            </w:r>
          </w:p>
        </w:tc>
        <w:tc>
          <w:tcPr>
            <w:tcW w:w="1349" w:type="dxa"/>
            <w:tcBorders>
              <w:bottom w:val="nil"/>
            </w:tcBorders>
            <w:noWrap/>
            <w:vAlign w:val="center"/>
          </w:tcPr>
          <w:p w:rsidR="00660C21" w:rsidRPr="00C15F52" w:rsidRDefault="00660C21" w:rsidP="007B0FE6">
            <w:pPr>
              <w:rPr>
                <w:rFonts w:cs="Times New Roman"/>
                <w:color w:val="000000"/>
                <w:sz w:val="20"/>
                <w:szCs w:val="20"/>
                <w:lang w:eastAsia="en-GB"/>
              </w:rPr>
            </w:pPr>
            <w:r>
              <w:rPr>
                <w:rFonts w:cs="Times New Roman"/>
                <w:color w:val="000000"/>
                <w:sz w:val="20"/>
                <w:szCs w:val="20"/>
                <w:lang w:eastAsia="en-GB"/>
              </w:rPr>
              <w:t xml:space="preserve">  </w:t>
            </w:r>
            <w:r w:rsidRPr="00C90C4E">
              <w:rPr>
                <w:rFonts w:cs="Times New Roman"/>
                <w:color w:val="000000"/>
                <w:sz w:val="20"/>
                <w:szCs w:val="20"/>
                <w:lang w:eastAsia="en-GB"/>
              </w:rPr>
              <w:t>0.6735</w:t>
            </w:r>
          </w:p>
        </w:tc>
        <w:tc>
          <w:tcPr>
            <w:tcW w:w="1276" w:type="dxa"/>
            <w:tcBorders>
              <w:bottom w:val="nil"/>
            </w:tcBorders>
            <w:noWrap/>
          </w:tcPr>
          <w:p w:rsidR="00660C21" w:rsidRPr="00C15F52" w:rsidRDefault="00660C21" w:rsidP="007B0FE6">
            <w:pPr>
              <w:rPr>
                <w:rFonts w:cs="Times New Roman"/>
                <w:sz w:val="20"/>
                <w:szCs w:val="20"/>
              </w:rPr>
            </w:pPr>
            <w:r>
              <w:rPr>
                <w:rFonts w:cs="Times New Roman"/>
                <w:sz w:val="20"/>
                <w:szCs w:val="20"/>
              </w:rPr>
              <w:t xml:space="preserve">  0.4408</w:t>
            </w:r>
          </w:p>
        </w:tc>
        <w:tc>
          <w:tcPr>
            <w:tcW w:w="1276" w:type="dxa"/>
            <w:tcBorders>
              <w:bottom w:val="nil"/>
            </w:tcBorders>
            <w:noWrap/>
          </w:tcPr>
          <w:p w:rsidR="00660C21" w:rsidRPr="00C15F52" w:rsidRDefault="00660C21" w:rsidP="007B0FE6">
            <w:pPr>
              <w:rPr>
                <w:rFonts w:cs="Times New Roman"/>
                <w:sz w:val="20"/>
                <w:szCs w:val="20"/>
              </w:rPr>
            </w:pPr>
            <w:r>
              <w:rPr>
                <w:rFonts w:cs="Times New Roman"/>
                <w:sz w:val="20"/>
                <w:szCs w:val="20"/>
              </w:rPr>
              <w:t xml:space="preserve">  0.1990</w:t>
            </w:r>
          </w:p>
        </w:tc>
        <w:tc>
          <w:tcPr>
            <w:tcW w:w="1450" w:type="dxa"/>
            <w:tcBorders>
              <w:bottom w:val="nil"/>
              <w:right w:val="nil"/>
            </w:tcBorders>
            <w:noWrap/>
          </w:tcPr>
          <w:p w:rsidR="00660C21" w:rsidRPr="00C15F52" w:rsidRDefault="00660C21" w:rsidP="007B0FE6">
            <w:pPr>
              <w:rPr>
                <w:rFonts w:cs="Times New Roman"/>
                <w:sz w:val="20"/>
                <w:szCs w:val="20"/>
              </w:rPr>
            </w:pPr>
            <w:r>
              <w:rPr>
                <w:rFonts w:cs="Times New Roman"/>
                <w:sz w:val="20"/>
                <w:szCs w:val="20"/>
              </w:rPr>
              <w:t xml:space="preserve">  1.8570</w:t>
            </w:r>
          </w:p>
        </w:tc>
      </w:tr>
      <w:tr w:rsidR="00660C21" w:rsidRPr="00C15F52" w:rsidTr="0051160C">
        <w:trPr>
          <w:trHeight w:val="105"/>
          <w:jc w:val="center"/>
        </w:trPr>
        <w:tc>
          <w:tcPr>
            <w:tcW w:w="1961" w:type="dxa"/>
            <w:tcBorders>
              <w:top w:val="nil"/>
              <w:left w:val="nil"/>
              <w:bottom w:val="nil"/>
            </w:tcBorders>
          </w:tcPr>
          <w:p w:rsidR="00660C21" w:rsidRPr="00C15F52" w:rsidRDefault="00660C21" w:rsidP="00185A0D">
            <w:pPr>
              <w:rPr>
                <w:rFonts w:cs="Times New Roman"/>
                <w:sz w:val="20"/>
                <w:szCs w:val="20"/>
              </w:rPr>
            </w:pPr>
            <w:r>
              <w:rPr>
                <w:rFonts w:eastAsiaTheme="minorEastAsia" w:cs="Times New Roman"/>
                <w:sz w:val="20"/>
                <w:szCs w:val="20"/>
              </w:rPr>
              <w:t xml:space="preserve">  </w:t>
            </w:r>
            <w:r>
              <w:rPr>
                <w:rFonts w:cs="Times New Roman"/>
                <w:sz w:val="20"/>
                <w:szCs w:val="20"/>
              </w:rPr>
              <w:t>LVRG</w:t>
            </w:r>
          </w:p>
        </w:tc>
        <w:tc>
          <w:tcPr>
            <w:tcW w:w="1357" w:type="dxa"/>
            <w:tcBorders>
              <w:top w:val="nil"/>
              <w:bottom w:val="nil"/>
            </w:tcBorders>
            <w:noWrap/>
          </w:tcPr>
          <w:p w:rsidR="00660C21" w:rsidRPr="00C15F52" w:rsidRDefault="00660C21" w:rsidP="00185A0D">
            <w:pPr>
              <w:rPr>
                <w:rFonts w:cs="Times New Roman"/>
                <w:sz w:val="20"/>
                <w:szCs w:val="20"/>
              </w:rPr>
            </w:pPr>
            <w:r>
              <w:rPr>
                <w:rFonts w:cs="Times New Roman"/>
                <w:sz w:val="20"/>
                <w:szCs w:val="20"/>
              </w:rPr>
              <w:t xml:space="preserve">  0.3300</w:t>
            </w:r>
          </w:p>
        </w:tc>
        <w:tc>
          <w:tcPr>
            <w:tcW w:w="1349" w:type="dxa"/>
            <w:tcBorders>
              <w:top w:val="nil"/>
              <w:bottom w:val="nil"/>
            </w:tcBorders>
            <w:noWrap/>
            <w:vAlign w:val="center"/>
          </w:tcPr>
          <w:p w:rsidR="00660C21" w:rsidRPr="00C15F52" w:rsidRDefault="00660C21" w:rsidP="00185A0D">
            <w:pPr>
              <w:rPr>
                <w:rFonts w:cs="Times New Roman"/>
                <w:color w:val="000000"/>
                <w:sz w:val="20"/>
                <w:szCs w:val="20"/>
                <w:lang w:eastAsia="en-GB"/>
              </w:rPr>
            </w:pPr>
            <w:r>
              <w:rPr>
                <w:rFonts w:cs="Times New Roman"/>
                <w:color w:val="000000"/>
                <w:sz w:val="20"/>
                <w:szCs w:val="20"/>
                <w:lang w:eastAsia="en-GB"/>
              </w:rPr>
              <w:t xml:space="preserve">  </w:t>
            </w:r>
            <w:r w:rsidRPr="00C90C4E">
              <w:rPr>
                <w:rFonts w:cs="Times New Roman"/>
                <w:color w:val="000000"/>
                <w:sz w:val="20"/>
                <w:szCs w:val="20"/>
                <w:lang w:eastAsia="en-GB"/>
              </w:rPr>
              <w:t>0.2678</w:t>
            </w:r>
          </w:p>
        </w:tc>
        <w:tc>
          <w:tcPr>
            <w:tcW w:w="1276" w:type="dxa"/>
            <w:tcBorders>
              <w:top w:val="nil"/>
              <w:bottom w:val="nil"/>
            </w:tcBorders>
            <w:noWrap/>
          </w:tcPr>
          <w:p w:rsidR="00660C21" w:rsidRPr="00C15F52" w:rsidRDefault="00660C21" w:rsidP="00185A0D">
            <w:pPr>
              <w:rPr>
                <w:rFonts w:cs="Times New Roman"/>
                <w:sz w:val="20"/>
                <w:szCs w:val="20"/>
              </w:rPr>
            </w:pPr>
            <w:r>
              <w:rPr>
                <w:rFonts w:cs="Times New Roman"/>
                <w:sz w:val="20"/>
                <w:szCs w:val="20"/>
              </w:rPr>
              <w:t xml:space="preserve">  0.2937</w:t>
            </w:r>
          </w:p>
        </w:tc>
        <w:tc>
          <w:tcPr>
            <w:tcW w:w="1276" w:type="dxa"/>
            <w:tcBorders>
              <w:top w:val="nil"/>
              <w:bottom w:val="nil"/>
            </w:tcBorders>
            <w:noWrap/>
          </w:tcPr>
          <w:p w:rsidR="00660C21" w:rsidRPr="00C15F52" w:rsidRDefault="00660C21" w:rsidP="00185A0D">
            <w:pPr>
              <w:rPr>
                <w:rFonts w:cs="Times New Roman"/>
                <w:sz w:val="20"/>
                <w:szCs w:val="20"/>
              </w:rPr>
            </w:pPr>
            <w:r>
              <w:rPr>
                <w:rFonts w:cs="Times New Roman"/>
                <w:sz w:val="20"/>
                <w:szCs w:val="20"/>
              </w:rPr>
              <w:t xml:space="preserve">  0.0001</w:t>
            </w:r>
          </w:p>
        </w:tc>
        <w:tc>
          <w:tcPr>
            <w:tcW w:w="1450" w:type="dxa"/>
            <w:tcBorders>
              <w:top w:val="nil"/>
              <w:bottom w:val="nil"/>
              <w:right w:val="nil"/>
            </w:tcBorders>
            <w:noWrap/>
          </w:tcPr>
          <w:p w:rsidR="00660C21" w:rsidRPr="00C15F52" w:rsidRDefault="00660C21" w:rsidP="00185A0D">
            <w:pPr>
              <w:rPr>
                <w:rFonts w:cs="Times New Roman"/>
                <w:sz w:val="20"/>
                <w:szCs w:val="20"/>
              </w:rPr>
            </w:pPr>
            <w:r>
              <w:rPr>
                <w:rFonts w:cs="Times New Roman"/>
                <w:sz w:val="20"/>
                <w:szCs w:val="20"/>
              </w:rPr>
              <w:t xml:space="preserve">  0.9530</w:t>
            </w:r>
          </w:p>
        </w:tc>
      </w:tr>
      <w:tr w:rsidR="00660C21" w:rsidRPr="00C15F52" w:rsidTr="0051160C">
        <w:trPr>
          <w:trHeight w:val="957"/>
          <w:jc w:val="center"/>
        </w:trPr>
        <w:tc>
          <w:tcPr>
            <w:tcW w:w="8669" w:type="dxa"/>
            <w:gridSpan w:val="6"/>
            <w:tcBorders>
              <w:top w:val="single" w:sz="4" w:space="0" w:color="auto"/>
              <w:left w:val="nil"/>
              <w:bottom w:val="nil"/>
              <w:right w:val="nil"/>
            </w:tcBorders>
          </w:tcPr>
          <w:p w:rsidR="00660C21" w:rsidRPr="009E5F6E" w:rsidRDefault="00660C21" w:rsidP="00112DBD">
            <w:pPr>
              <w:jc w:val="both"/>
              <w:rPr>
                <w:rFonts w:eastAsiaTheme="minorEastAsia" w:cs="Times New Roman"/>
                <w:sz w:val="16"/>
                <w:szCs w:val="16"/>
              </w:rPr>
            </w:pPr>
            <w:r w:rsidRPr="00536B4C">
              <w:rPr>
                <w:rFonts w:cs="Times New Roman"/>
                <w:i/>
                <w:iCs/>
                <w:sz w:val="16"/>
                <w:szCs w:val="16"/>
              </w:rPr>
              <w:t>Notes</w:t>
            </w:r>
            <w:r w:rsidRPr="00536B4C">
              <w:rPr>
                <w:rFonts w:cs="Times New Roman"/>
                <w:sz w:val="16"/>
                <w:szCs w:val="16"/>
              </w:rPr>
              <w:t xml:space="preserve">: </w:t>
            </w:r>
            <w:r w:rsidRPr="00367FC7">
              <w:rPr>
                <w:rFonts w:eastAsiaTheme="minorEastAsia" w:cs="Times New Roman"/>
                <w:i/>
                <w:iCs/>
                <w:sz w:val="16"/>
                <w:szCs w:val="16"/>
              </w:rPr>
              <w:t>DA</w:t>
            </w:r>
            <w:r w:rsidRPr="00536B4C">
              <w:rPr>
                <w:rFonts w:eastAsiaTheme="minorEastAsia" w:cs="Times New Roman"/>
                <w:sz w:val="16"/>
                <w:szCs w:val="16"/>
              </w:rPr>
              <w:t xml:space="preserve"> denotes the firm-level </w:t>
            </w:r>
            <w:r w:rsidRPr="00367FC7">
              <w:rPr>
                <w:rFonts w:eastAsiaTheme="minorEastAsia" w:cs="Times New Roman"/>
                <w:i/>
                <w:iCs/>
                <w:sz w:val="16"/>
                <w:szCs w:val="16"/>
              </w:rPr>
              <w:t>EM</w:t>
            </w:r>
            <w:r w:rsidRPr="00536B4C">
              <w:rPr>
                <w:rFonts w:eastAsiaTheme="minorEastAsia" w:cs="Times New Roman"/>
                <w:sz w:val="16"/>
                <w:szCs w:val="16"/>
              </w:rPr>
              <w:t xml:space="preserve"> practices, </w:t>
            </w:r>
            <w:r w:rsidRPr="00536B4C">
              <w:rPr>
                <w:rFonts w:eastAsiaTheme="minorEastAsia" w:cs="Times New Roman"/>
                <w:i/>
                <w:sz w:val="16"/>
                <w:szCs w:val="16"/>
              </w:rPr>
              <w:t xml:space="preserve">OCGI </w:t>
            </w:r>
            <w:r w:rsidRPr="00536B4C">
              <w:rPr>
                <w:rFonts w:eastAsiaTheme="minorEastAsia" w:cs="Times New Roman"/>
                <w:sz w:val="16"/>
                <w:szCs w:val="16"/>
              </w:rPr>
              <w:t>denotes the Oman</w:t>
            </w:r>
            <w:r w:rsidR="0017435A">
              <w:rPr>
                <w:rFonts w:eastAsiaTheme="minorEastAsia" w:cs="Times New Roman"/>
                <w:sz w:val="16"/>
                <w:szCs w:val="16"/>
              </w:rPr>
              <w:t>i</w:t>
            </w:r>
            <w:r w:rsidRPr="00536B4C">
              <w:rPr>
                <w:rFonts w:eastAsiaTheme="minorEastAsia" w:cs="Times New Roman"/>
                <w:sz w:val="16"/>
                <w:szCs w:val="16"/>
              </w:rPr>
              <w:t xml:space="preserve"> corporate governance index, </w:t>
            </w:r>
            <w:r w:rsidR="00BB565D">
              <w:rPr>
                <w:rFonts w:eastAsiaTheme="minorEastAsia" w:cs="Times New Roman"/>
                <w:i/>
                <w:iCs/>
                <w:sz w:val="16"/>
                <w:szCs w:val="16"/>
              </w:rPr>
              <w:t>I</w:t>
            </w:r>
            <w:r w:rsidRPr="004B26A1">
              <w:rPr>
                <w:rFonts w:eastAsiaTheme="minorEastAsia" w:cs="Times New Roman"/>
                <w:i/>
                <w:iCs/>
                <w:sz w:val="16"/>
                <w:szCs w:val="16"/>
              </w:rPr>
              <w:t>GC</w:t>
            </w:r>
            <w:r>
              <w:rPr>
                <w:rFonts w:eastAsiaTheme="minorEastAsia" w:cs="Times New Roman"/>
                <w:sz w:val="16"/>
                <w:szCs w:val="16"/>
              </w:rPr>
              <w:t xml:space="preserve"> </w:t>
            </w:r>
            <w:r w:rsidRPr="00536B4C">
              <w:rPr>
                <w:rFonts w:eastAsiaTheme="minorEastAsia" w:cs="Times New Roman"/>
                <w:sz w:val="16"/>
                <w:szCs w:val="16"/>
              </w:rPr>
              <w:t>denotes</w:t>
            </w:r>
            <w:r>
              <w:rPr>
                <w:rFonts w:eastAsiaTheme="minorEastAsia" w:cs="Times New Roman"/>
                <w:i/>
                <w:iCs/>
                <w:sz w:val="16"/>
                <w:szCs w:val="16"/>
              </w:rPr>
              <w:t xml:space="preserve"> </w:t>
            </w:r>
            <w:r w:rsidR="00BB565D">
              <w:rPr>
                <w:rFonts w:eastAsiaTheme="minorEastAsia" w:cs="Times New Roman"/>
                <w:sz w:val="16"/>
                <w:szCs w:val="16"/>
              </w:rPr>
              <w:t>Islamic</w:t>
            </w:r>
            <w:r w:rsidRPr="004B26A1">
              <w:rPr>
                <w:rFonts w:eastAsiaTheme="minorEastAsia" w:cs="Times New Roman"/>
                <w:sz w:val="16"/>
                <w:szCs w:val="16"/>
              </w:rPr>
              <w:t xml:space="preserve"> governance committee</w:t>
            </w:r>
            <w:r>
              <w:rPr>
                <w:rFonts w:eastAsiaTheme="minorEastAsia" w:cs="Times New Roman"/>
                <w:i/>
                <w:iCs/>
                <w:sz w:val="16"/>
                <w:szCs w:val="16"/>
              </w:rPr>
              <w:t>,</w:t>
            </w:r>
            <w:r>
              <w:rPr>
                <w:rFonts w:eastAsiaTheme="minorEastAsia" w:cs="Times New Roman"/>
                <w:sz w:val="16"/>
                <w:szCs w:val="16"/>
              </w:rPr>
              <w:t xml:space="preserve">  </w:t>
            </w:r>
            <w:r w:rsidRPr="005C2B3F">
              <w:rPr>
                <w:rFonts w:eastAsiaTheme="minorEastAsia" w:cs="Times New Roman"/>
                <w:i/>
                <w:iCs/>
                <w:sz w:val="16"/>
                <w:szCs w:val="16"/>
              </w:rPr>
              <w:t>BSIZE</w:t>
            </w:r>
            <w:r w:rsidRPr="00536B4C">
              <w:rPr>
                <w:rFonts w:eastAsiaTheme="minorEastAsia" w:cs="Times New Roman"/>
                <w:sz w:val="16"/>
                <w:szCs w:val="16"/>
              </w:rPr>
              <w:t xml:space="preserve"> denotes the size of board, </w:t>
            </w:r>
            <w:r w:rsidRPr="00536B4C">
              <w:rPr>
                <w:rFonts w:eastAsiaTheme="minorEastAsia" w:cs="Times New Roman"/>
                <w:i/>
                <w:sz w:val="16"/>
                <w:szCs w:val="16"/>
              </w:rPr>
              <w:t>BIG4</w:t>
            </w:r>
            <w:r w:rsidRPr="00536B4C">
              <w:rPr>
                <w:rFonts w:eastAsiaTheme="minorEastAsia" w:cs="Times New Roman"/>
                <w:sz w:val="16"/>
                <w:szCs w:val="16"/>
              </w:rPr>
              <w:t xml:space="preserve"> denotes the audit firm size, </w:t>
            </w:r>
            <w:r w:rsidRPr="00536B4C">
              <w:rPr>
                <w:rFonts w:eastAsiaTheme="minorEastAsia" w:cs="Times New Roman"/>
                <w:i/>
                <w:sz w:val="16"/>
                <w:szCs w:val="16"/>
              </w:rPr>
              <w:t>CGCOM</w:t>
            </w:r>
            <w:r w:rsidRPr="00536B4C">
              <w:rPr>
                <w:rFonts w:eastAsiaTheme="minorEastAsia" w:cs="Times New Roman"/>
                <w:sz w:val="16"/>
                <w:szCs w:val="16"/>
              </w:rPr>
              <w:t xml:space="preserve"> denotes the </w:t>
            </w:r>
            <w:r w:rsidR="0017435A">
              <w:rPr>
                <w:rFonts w:eastAsiaTheme="minorEastAsia" w:cs="Times New Roman"/>
                <w:sz w:val="16"/>
                <w:szCs w:val="16"/>
              </w:rPr>
              <w:t xml:space="preserve">presence of a </w:t>
            </w:r>
            <w:r w:rsidRPr="00536B4C">
              <w:rPr>
                <w:rFonts w:eastAsiaTheme="minorEastAsia" w:cs="Times New Roman"/>
                <w:sz w:val="16"/>
                <w:szCs w:val="16"/>
              </w:rPr>
              <w:t xml:space="preserve">corporate governance committee, </w:t>
            </w:r>
            <w:r w:rsidRPr="00536B4C">
              <w:rPr>
                <w:rFonts w:eastAsiaTheme="minorEastAsia" w:cs="Times New Roman"/>
                <w:i/>
                <w:sz w:val="16"/>
                <w:szCs w:val="16"/>
              </w:rPr>
              <w:t>GNDR</w:t>
            </w:r>
            <w:r w:rsidRPr="00536B4C">
              <w:rPr>
                <w:rFonts w:eastAsiaTheme="minorEastAsia" w:cs="Times New Roman"/>
                <w:sz w:val="16"/>
                <w:szCs w:val="16"/>
              </w:rPr>
              <w:t xml:space="preserve"> denotes </w:t>
            </w:r>
            <w:r w:rsidRPr="00536B4C">
              <w:rPr>
                <w:rFonts w:cs="Times New Roman"/>
                <w:sz w:val="16"/>
                <w:szCs w:val="16"/>
              </w:rPr>
              <w:t>board diversity on the basis of gender</w:t>
            </w:r>
            <w:r w:rsidRPr="00536B4C">
              <w:rPr>
                <w:rFonts w:eastAsiaTheme="minorEastAsia" w:cs="Times New Roman"/>
                <w:sz w:val="16"/>
                <w:szCs w:val="16"/>
              </w:rPr>
              <w:t xml:space="preserve">, </w:t>
            </w:r>
            <w:r w:rsidRPr="00C90C4E">
              <w:rPr>
                <w:rFonts w:eastAsiaTheme="minorEastAsia" w:cs="Times New Roman"/>
                <w:i/>
                <w:sz w:val="16"/>
                <w:szCs w:val="16"/>
              </w:rPr>
              <w:t>BLKOWN</w:t>
            </w:r>
            <w:r w:rsidRPr="00536B4C">
              <w:rPr>
                <w:rFonts w:eastAsiaTheme="minorEastAsia" w:cs="Times New Roman"/>
                <w:sz w:val="16"/>
                <w:szCs w:val="16"/>
              </w:rPr>
              <w:t xml:space="preserve"> denotes block ownership,</w:t>
            </w:r>
            <w:r>
              <w:rPr>
                <w:rFonts w:eastAsiaTheme="minorEastAsia" w:cs="Times New Roman"/>
                <w:sz w:val="16"/>
                <w:szCs w:val="16"/>
              </w:rPr>
              <w:t xml:space="preserve"> </w:t>
            </w:r>
            <w:r w:rsidRPr="00536B4C">
              <w:rPr>
                <w:rFonts w:eastAsiaTheme="minorEastAsia" w:cs="Times New Roman"/>
                <w:i/>
                <w:sz w:val="16"/>
                <w:szCs w:val="16"/>
              </w:rPr>
              <w:t>GOVOWN</w:t>
            </w:r>
            <w:r w:rsidRPr="00536B4C">
              <w:rPr>
                <w:rFonts w:eastAsiaTheme="minorEastAsia" w:cs="Times New Roman"/>
                <w:sz w:val="16"/>
                <w:szCs w:val="16"/>
              </w:rPr>
              <w:t xml:space="preserve"> represents government ownership, </w:t>
            </w:r>
            <w:r w:rsidRPr="00536B4C">
              <w:rPr>
                <w:rFonts w:eastAsiaTheme="minorEastAsia" w:cs="Times New Roman"/>
                <w:i/>
                <w:sz w:val="16"/>
                <w:szCs w:val="16"/>
              </w:rPr>
              <w:t>INSOWN</w:t>
            </w:r>
            <w:r w:rsidRPr="00536B4C">
              <w:rPr>
                <w:rFonts w:eastAsiaTheme="minorEastAsia" w:cs="Times New Roman"/>
                <w:sz w:val="16"/>
                <w:szCs w:val="16"/>
              </w:rPr>
              <w:t xml:space="preserve"> denotes institutional ownership, </w:t>
            </w:r>
            <w:r w:rsidRPr="00536B4C">
              <w:rPr>
                <w:rFonts w:eastAsiaTheme="minorEastAsia" w:cs="Times New Roman"/>
                <w:i/>
                <w:sz w:val="16"/>
                <w:szCs w:val="16"/>
              </w:rPr>
              <w:t>FOROWN</w:t>
            </w:r>
            <w:r w:rsidRPr="00536B4C">
              <w:rPr>
                <w:rFonts w:eastAsiaTheme="minorEastAsia" w:cs="Times New Roman"/>
                <w:sz w:val="16"/>
                <w:szCs w:val="16"/>
              </w:rPr>
              <w:t xml:space="preserve"> represents foreign ownership</w:t>
            </w:r>
            <w:r w:rsidR="0017435A">
              <w:rPr>
                <w:rFonts w:eastAsiaTheme="minorEastAsia" w:cs="Times New Roman"/>
                <w:sz w:val="16"/>
                <w:szCs w:val="16"/>
              </w:rPr>
              <w:t>,</w:t>
            </w:r>
            <w:r w:rsidRPr="00536B4C">
              <w:rPr>
                <w:rFonts w:eastAsiaTheme="minorEastAsia" w:cs="Times New Roman"/>
                <w:i/>
                <w:sz w:val="16"/>
                <w:szCs w:val="16"/>
              </w:rPr>
              <w:t xml:space="preserve"> LNTA</w:t>
            </w:r>
            <w:r w:rsidRPr="00536B4C">
              <w:rPr>
                <w:rFonts w:eastAsiaTheme="minorEastAsia" w:cs="Times New Roman"/>
                <w:sz w:val="16"/>
                <w:szCs w:val="16"/>
              </w:rPr>
              <w:t xml:space="preserve"> denotes firm size</w:t>
            </w:r>
            <w:r>
              <w:rPr>
                <w:rFonts w:eastAsiaTheme="minorEastAsia" w:cs="Times New Roman"/>
                <w:sz w:val="16"/>
                <w:szCs w:val="16"/>
              </w:rPr>
              <w:t>,</w:t>
            </w:r>
            <w:r w:rsidRPr="00536B4C">
              <w:rPr>
                <w:rFonts w:eastAsiaTheme="minorEastAsia" w:cs="Times New Roman"/>
                <w:i/>
                <w:sz w:val="16"/>
                <w:szCs w:val="16"/>
              </w:rPr>
              <w:t xml:space="preserve"> ROA</w:t>
            </w:r>
            <w:r w:rsidRPr="00536B4C">
              <w:rPr>
                <w:rFonts w:eastAsiaTheme="minorEastAsia" w:cs="Times New Roman"/>
                <w:sz w:val="16"/>
                <w:szCs w:val="16"/>
              </w:rPr>
              <w:t xml:space="preserve"> denotes </w:t>
            </w:r>
            <w:r w:rsidR="00112DBD">
              <w:rPr>
                <w:rFonts w:eastAsiaTheme="minorEastAsia" w:cs="Times New Roman"/>
                <w:sz w:val="16"/>
                <w:szCs w:val="16"/>
              </w:rPr>
              <w:t>firm</w:t>
            </w:r>
            <w:r w:rsidRPr="00536B4C">
              <w:rPr>
                <w:rFonts w:eastAsiaTheme="minorEastAsia" w:cs="Times New Roman"/>
                <w:sz w:val="16"/>
                <w:szCs w:val="16"/>
              </w:rPr>
              <w:t xml:space="preserve"> profitability</w:t>
            </w:r>
            <w:r>
              <w:rPr>
                <w:rFonts w:eastAsiaTheme="minorEastAsia" w:cs="Times New Roman"/>
                <w:sz w:val="16"/>
                <w:szCs w:val="16"/>
              </w:rPr>
              <w:t>,</w:t>
            </w:r>
            <w:r w:rsidRPr="00536B4C">
              <w:rPr>
                <w:rFonts w:eastAsiaTheme="minorEastAsia" w:cs="Times New Roman"/>
                <w:i/>
                <w:sz w:val="16"/>
                <w:szCs w:val="16"/>
              </w:rPr>
              <w:t xml:space="preserve"> GROWT</w:t>
            </w:r>
            <w:r>
              <w:rPr>
                <w:rFonts w:eastAsiaTheme="minorEastAsia" w:cs="Times New Roman"/>
                <w:i/>
                <w:sz w:val="16"/>
                <w:szCs w:val="16"/>
              </w:rPr>
              <w:t>H</w:t>
            </w:r>
            <w:r w:rsidRPr="00536B4C">
              <w:rPr>
                <w:rFonts w:eastAsiaTheme="minorEastAsia" w:cs="Times New Roman"/>
                <w:sz w:val="16"/>
                <w:szCs w:val="16"/>
              </w:rPr>
              <w:t xml:space="preserve"> denotes firm growth</w:t>
            </w:r>
            <w:r>
              <w:rPr>
                <w:rFonts w:eastAsiaTheme="minorEastAsia" w:cs="Times New Roman"/>
                <w:sz w:val="16"/>
                <w:szCs w:val="16"/>
              </w:rPr>
              <w:t xml:space="preserve"> and </w:t>
            </w:r>
            <w:r w:rsidRPr="00536B4C">
              <w:rPr>
                <w:rFonts w:eastAsiaTheme="minorEastAsia" w:cs="Times New Roman"/>
                <w:i/>
                <w:sz w:val="16"/>
                <w:szCs w:val="16"/>
              </w:rPr>
              <w:t>LVRG</w:t>
            </w:r>
            <w:r w:rsidRPr="00536B4C">
              <w:rPr>
                <w:rFonts w:eastAsiaTheme="minorEastAsia" w:cs="Times New Roman"/>
                <w:sz w:val="16"/>
                <w:szCs w:val="16"/>
              </w:rPr>
              <w:t xml:space="preserve"> denotes </w:t>
            </w:r>
            <w:r w:rsidRPr="00536B4C">
              <w:rPr>
                <w:rFonts w:cs="Times New Roman"/>
                <w:sz w:val="16"/>
                <w:szCs w:val="16"/>
              </w:rPr>
              <w:t>leverage</w:t>
            </w:r>
            <w:r>
              <w:rPr>
                <w:rFonts w:eastAsiaTheme="minorEastAsia" w:cs="Times New Roman"/>
                <w:sz w:val="16"/>
                <w:szCs w:val="16"/>
              </w:rPr>
              <w:t>.</w:t>
            </w:r>
          </w:p>
        </w:tc>
      </w:tr>
    </w:tbl>
    <w:p w:rsidR="00610A52" w:rsidRPr="00C15F52" w:rsidRDefault="00610A52" w:rsidP="00610A52">
      <w:pPr>
        <w:pStyle w:val="BodyText"/>
        <w:rPr>
          <w:rFonts w:cs="Times New Roman"/>
        </w:rPr>
      </w:pPr>
    </w:p>
    <w:p w:rsidR="00610A52" w:rsidRPr="00C15F52" w:rsidRDefault="00610A52" w:rsidP="00610A52">
      <w:pPr>
        <w:pStyle w:val="BodyText"/>
        <w:rPr>
          <w:rFonts w:cs="Times New Roman"/>
        </w:rPr>
      </w:pPr>
    </w:p>
    <w:p w:rsidR="00610A52" w:rsidRPr="00C15F52" w:rsidRDefault="00610A52" w:rsidP="00610A52">
      <w:pPr>
        <w:pStyle w:val="BodyText"/>
        <w:rPr>
          <w:rFonts w:cs="Times New Roman"/>
        </w:rPr>
      </w:pPr>
    </w:p>
    <w:p w:rsidR="00CE64B9" w:rsidRDefault="00CE64B9" w:rsidP="00610A52">
      <w:pPr>
        <w:pStyle w:val="BodyText"/>
        <w:rPr>
          <w:rFonts w:cs="Times New Roman"/>
        </w:rPr>
      </w:pPr>
    </w:p>
    <w:p w:rsidR="00EF1D3F" w:rsidRDefault="00EF1D3F" w:rsidP="00610A52">
      <w:pPr>
        <w:pStyle w:val="BodyText"/>
        <w:rPr>
          <w:rFonts w:cs="Times New Roman"/>
        </w:rPr>
      </w:pPr>
    </w:p>
    <w:p w:rsidR="00EF1D3F" w:rsidRDefault="00EF1D3F" w:rsidP="00610A52">
      <w:pPr>
        <w:pStyle w:val="BodyText"/>
        <w:rPr>
          <w:rFonts w:cs="Times New Roman"/>
        </w:rPr>
      </w:pPr>
    </w:p>
    <w:p w:rsidR="00EF1D3F" w:rsidRDefault="00EF1D3F" w:rsidP="00610A52">
      <w:pPr>
        <w:pStyle w:val="BodyText"/>
        <w:rPr>
          <w:rFonts w:cs="Times New Roman"/>
        </w:rPr>
      </w:pPr>
    </w:p>
    <w:p w:rsidR="00EF1D3F" w:rsidRDefault="00EF1D3F" w:rsidP="00610A52">
      <w:pPr>
        <w:pStyle w:val="BodyText"/>
        <w:rPr>
          <w:rFonts w:cs="Times New Roman"/>
        </w:rPr>
      </w:pPr>
    </w:p>
    <w:p w:rsidR="00EF1D3F" w:rsidRDefault="00EF1D3F" w:rsidP="00610A52">
      <w:pPr>
        <w:pStyle w:val="BodyText"/>
        <w:rPr>
          <w:rFonts w:cs="Times New Roman"/>
        </w:rPr>
      </w:pPr>
    </w:p>
    <w:p w:rsidR="00EF1D3F" w:rsidRDefault="00EF1D3F" w:rsidP="00610A52">
      <w:pPr>
        <w:pStyle w:val="BodyText"/>
        <w:rPr>
          <w:rFonts w:cs="Times New Roman"/>
        </w:rPr>
        <w:sectPr w:rsidR="00EF1D3F" w:rsidSect="00D6376A">
          <w:pgSz w:w="11906" w:h="16838" w:code="9"/>
          <w:pgMar w:top="1247" w:right="1247" w:bottom="1247" w:left="1247" w:header="510" w:footer="510" w:gutter="0"/>
          <w:cols w:space="708"/>
          <w:docGrid w:linePitch="360"/>
        </w:sectPr>
      </w:pPr>
    </w:p>
    <w:tbl>
      <w:tblPr>
        <w:tblW w:w="14290" w:type="dxa"/>
        <w:jc w:val="center"/>
        <w:tblLook w:val="04A0" w:firstRow="1" w:lastRow="0" w:firstColumn="1" w:lastColumn="0" w:noHBand="0" w:noVBand="1"/>
      </w:tblPr>
      <w:tblGrid>
        <w:gridCol w:w="968"/>
        <w:gridCol w:w="727"/>
        <w:gridCol w:w="797"/>
        <w:gridCol w:w="950"/>
        <w:gridCol w:w="950"/>
        <w:gridCol w:w="937"/>
        <w:gridCol w:w="952"/>
        <w:gridCol w:w="937"/>
        <w:gridCol w:w="919"/>
        <w:gridCol w:w="945"/>
        <w:gridCol w:w="856"/>
        <w:gridCol w:w="910"/>
        <w:gridCol w:w="891"/>
        <w:gridCol w:w="807"/>
        <w:gridCol w:w="919"/>
        <w:gridCol w:w="825"/>
      </w:tblGrid>
      <w:tr w:rsidR="00EF1D3F" w:rsidRPr="00C15F52" w:rsidTr="00A37AC3">
        <w:trPr>
          <w:cantSplit/>
          <w:trHeight w:val="139"/>
          <w:jc w:val="center"/>
        </w:trPr>
        <w:tc>
          <w:tcPr>
            <w:tcW w:w="14290" w:type="dxa"/>
            <w:gridSpan w:val="16"/>
            <w:tcBorders>
              <w:bottom w:val="single" w:sz="2" w:space="0" w:color="auto"/>
            </w:tcBorders>
            <w:shd w:val="clear" w:color="000000" w:fill="FFFFFF"/>
          </w:tcPr>
          <w:p w:rsidR="008551FA" w:rsidRDefault="00EF1D3F" w:rsidP="00A37AC3">
            <w:pPr>
              <w:pStyle w:val="Caption"/>
              <w:spacing w:before="0"/>
              <w:rPr>
                <w:rFonts w:ascii="Times New Roman" w:eastAsia="Times New Roman" w:hAnsi="Times New Roman" w:cs="Times New Roman"/>
                <w:color w:val="000000"/>
                <w:szCs w:val="20"/>
                <w:lang w:eastAsia="en-GB"/>
              </w:rPr>
            </w:pPr>
            <w:r w:rsidRPr="005A79E1">
              <w:rPr>
                <w:rFonts w:ascii="Times New Roman" w:hAnsi="Times New Roman" w:cs="Times New Roman"/>
                <w:szCs w:val="20"/>
              </w:rPr>
              <w:t xml:space="preserve">Table </w:t>
            </w:r>
            <w:r>
              <w:rPr>
                <w:rFonts w:ascii="Times New Roman" w:hAnsi="Times New Roman" w:cs="Times New Roman"/>
                <w:szCs w:val="20"/>
              </w:rPr>
              <w:t>5</w:t>
            </w:r>
          </w:p>
          <w:p w:rsidR="00EF1D3F" w:rsidRPr="005A79E1" w:rsidRDefault="00EF1D3F" w:rsidP="00A37AC3">
            <w:pPr>
              <w:pStyle w:val="Caption"/>
              <w:spacing w:before="0"/>
              <w:rPr>
                <w:rFonts w:ascii="Times New Roman" w:eastAsia="Times New Roman" w:hAnsi="Times New Roman" w:cs="Times New Roman"/>
                <w:b w:val="0"/>
                <w:bCs w:val="0"/>
                <w:color w:val="000000"/>
                <w:szCs w:val="20"/>
                <w:lang w:eastAsia="en-GB"/>
              </w:rPr>
            </w:pPr>
            <w:r w:rsidRPr="005A79E1">
              <w:rPr>
                <w:rFonts w:ascii="Times New Roman" w:eastAsia="Times New Roman" w:hAnsi="Times New Roman" w:cs="Times New Roman"/>
                <w:color w:val="000000"/>
                <w:szCs w:val="20"/>
                <w:lang w:eastAsia="en-GB"/>
              </w:rPr>
              <w:t>Pearson’s and Spearman’s correlation matrices of the dependent, independent, and control variables</w:t>
            </w:r>
          </w:p>
        </w:tc>
      </w:tr>
      <w:tr w:rsidR="00EF1D3F" w:rsidRPr="00C15F52" w:rsidTr="007E1196">
        <w:trPr>
          <w:cantSplit/>
          <w:trHeight w:val="88"/>
          <w:jc w:val="center"/>
        </w:trPr>
        <w:tc>
          <w:tcPr>
            <w:tcW w:w="968" w:type="dxa"/>
            <w:tcBorders>
              <w:top w:val="single" w:sz="2" w:space="0" w:color="auto"/>
              <w:bottom w:val="single" w:sz="18" w:space="0" w:color="auto"/>
            </w:tcBorders>
            <w:shd w:val="clear" w:color="000000" w:fill="FFFFFF"/>
            <w:vAlign w:val="bottom"/>
            <w:hideMark/>
          </w:tcPr>
          <w:p w:rsidR="00EF1D3F" w:rsidRPr="00C15F52" w:rsidRDefault="00EF1D3F" w:rsidP="007E1196">
            <w:pPr>
              <w:jc w:val="center"/>
              <w:rPr>
                <w:rFonts w:eastAsia="Times New Roman" w:cs="Times New Roman"/>
                <w:color w:val="000000"/>
                <w:sz w:val="16"/>
                <w:szCs w:val="16"/>
                <w:lang w:eastAsia="en-GB"/>
              </w:rPr>
            </w:pPr>
            <w:r>
              <w:rPr>
                <w:rFonts w:eastAsia="Times New Roman" w:cs="Times New Roman"/>
                <w:color w:val="000000"/>
                <w:sz w:val="16"/>
                <w:szCs w:val="16"/>
                <w:lang w:eastAsia="en-GB"/>
              </w:rPr>
              <w:t> </w:t>
            </w:r>
          </w:p>
        </w:tc>
        <w:tc>
          <w:tcPr>
            <w:tcW w:w="727" w:type="dxa"/>
            <w:tcBorders>
              <w:top w:val="single" w:sz="2" w:space="0" w:color="auto"/>
              <w:bottom w:val="single" w:sz="18" w:space="0" w:color="auto"/>
            </w:tcBorders>
            <w:shd w:val="clear" w:color="000000" w:fill="FFFFFF"/>
            <w:vAlign w:val="center"/>
            <w:hideMark/>
          </w:tcPr>
          <w:p w:rsidR="00EF1D3F" w:rsidRPr="00C15F52" w:rsidRDefault="00EF1D3F" w:rsidP="007E1196">
            <w:pPr>
              <w:rPr>
                <w:rFonts w:eastAsia="Times New Roman" w:cs="Times New Roman"/>
                <w:color w:val="000000"/>
                <w:sz w:val="16"/>
                <w:szCs w:val="16"/>
                <w:lang w:eastAsia="en-GB"/>
              </w:rPr>
            </w:pPr>
            <w:r>
              <w:rPr>
                <w:rFonts w:cs="Times New Roman"/>
                <w:sz w:val="16"/>
                <w:szCs w:val="16"/>
              </w:rPr>
              <w:t>DA</w:t>
            </w:r>
          </w:p>
        </w:tc>
        <w:tc>
          <w:tcPr>
            <w:tcW w:w="797" w:type="dxa"/>
            <w:tcBorders>
              <w:top w:val="single" w:sz="2" w:space="0" w:color="auto"/>
              <w:bottom w:val="single" w:sz="18" w:space="0" w:color="auto"/>
            </w:tcBorders>
            <w:shd w:val="clear" w:color="000000" w:fill="FFFFFF"/>
            <w:vAlign w:val="center"/>
            <w:hideMark/>
          </w:tcPr>
          <w:p w:rsidR="00EF1D3F" w:rsidRPr="00C15F52" w:rsidRDefault="00EF1D3F" w:rsidP="007E1196">
            <w:pPr>
              <w:rPr>
                <w:rFonts w:eastAsia="Times New Roman" w:cs="Times New Roman"/>
                <w:color w:val="000000"/>
                <w:sz w:val="16"/>
                <w:szCs w:val="16"/>
                <w:lang w:eastAsia="en-GB"/>
              </w:rPr>
            </w:pPr>
            <w:r>
              <w:rPr>
                <w:rFonts w:cs="Times New Roman"/>
                <w:sz w:val="16"/>
                <w:szCs w:val="16"/>
              </w:rPr>
              <w:t>OCGI</w:t>
            </w:r>
          </w:p>
        </w:tc>
        <w:tc>
          <w:tcPr>
            <w:tcW w:w="950" w:type="dxa"/>
            <w:tcBorders>
              <w:top w:val="single" w:sz="2" w:space="0" w:color="auto"/>
              <w:bottom w:val="single" w:sz="18" w:space="0" w:color="auto"/>
            </w:tcBorders>
            <w:shd w:val="clear" w:color="000000" w:fill="FFFFFF"/>
          </w:tcPr>
          <w:p w:rsidR="00EF1D3F" w:rsidRDefault="00BB565D" w:rsidP="007E1196">
            <w:pPr>
              <w:rPr>
                <w:rFonts w:cs="Times New Roman"/>
                <w:sz w:val="16"/>
                <w:szCs w:val="16"/>
              </w:rPr>
            </w:pPr>
            <w:r>
              <w:rPr>
                <w:rFonts w:cs="Times New Roman"/>
                <w:sz w:val="16"/>
                <w:szCs w:val="16"/>
              </w:rPr>
              <w:t>I</w:t>
            </w:r>
            <w:r w:rsidR="005F1FAA">
              <w:rPr>
                <w:rFonts w:cs="Times New Roman"/>
                <w:sz w:val="16"/>
                <w:szCs w:val="16"/>
              </w:rPr>
              <w:t>GC</w:t>
            </w:r>
          </w:p>
        </w:tc>
        <w:tc>
          <w:tcPr>
            <w:tcW w:w="950" w:type="dxa"/>
            <w:tcBorders>
              <w:top w:val="single" w:sz="2" w:space="0" w:color="auto"/>
              <w:bottom w:val="single" w:sz="18" w:space="0" w:color="auto"/>
            </w:tcBorders>
            <w:shd w:val="clear" w:color="000000" w:fill="FFFFFF"/>
            <w:vAlign w:val="center"/>
            <w:hideMark/>
          </w:tcPr>
          <w:p w:rsidR="00EF1D3F" w:rsidRPr="00C15F52" w:rsidRDefault="00EF1D3F" w:rsidP="007E1196">
            <w:pPr>
              <w:rPr>
                <w:rFonts w:eastAsia="Times New Roman" w:cs="Times New Roman"/>
                <w:color w:val="000000"/>
                <w:sz w:val="16"/>
                <w:szCs w:val="16"/>
                <w:lang w:eastAsia="en-GB"/>
              </w:rPr>
            </w:pPr>
            <w:r>
              <w:rPr>
                <w:rFonts w:cs="Times New Roman"/>
                <w:sz w:val="16"/>
                <w:szCs w:val="16"/>
              </w:rPr>
              <w:t>BSIZE</w:t>
            </w:r>
          </w:p>
        </w:tc>
        <w:tc>
          <w:tcPr>
            <w:tcW w:w="937" w:type="dxa"/>
            <w:tcBorders>
              <w:top w:val="single" w:sz="2" w:space="0" w:color="auto"/>
              <w:bottom w:val="single" w:sz="18" w:space="0" w:color="auto"/>
            </w:tcBorders>
            <w:shd w:val="clear" w:color="000000" w:fill="FFFFFF"/>
            <w:vAlign w:val="center"/>
            <w:hideMark/>
          </w:tcPr>
          <w:p w:rsidR="00EF1D3F" w:rsidRPr="00C15F52" w:rsidRDefault="00EF1D3F" w:rsidP="007E1196">
            <w:pPr>
              <w:rPr>
                <w:rFonts w:eastAsia="Times New Roman" w:cs="Times New Roman"/>
                <w:color w:val="000000"/>
                <w:sz w:val="16"/>
                <w:szCs w:val="16"/>
                <w:lang w:eastAsia="en-GB"/>
              </w:rPr>
            </w:pPr>
            <w:r>
              <w:rPr>
                <w:rFonts w:cs="Times New Roman"/>
                <w:sz w:val="16"/>
                <w:szCs w:val="16"/>
              </w:rPr>
              <w:t>BIG4</w:t>
            </w:r>
          </w:p>
        </w:tc>
        <w:tc>
          <w:tcPr>
            <w:tcW w:w="952" w:type="dxa"/>
            <w:tcBorders>
              <w:top w:val="single" w:sz="2" w:space="0" w:color="auto"/>
              <w:bottom w:val="single" w:sz="18" w:space="0" w:color="auto"/>
            </w:tcBorders>
            <w:shd w:val="clear" w:color="000000" w:fill="FFFFFF"/>
            <w:vAlign w:val="center"/>
            <w:hideMark/>
          </w:tcPr>
          <w:p w:rsidR="00EF1D3F" w:rsidRPr="00C15F52" w:rsidRDefault="00EF1D3F" w:rsidP="007E1196">
            <w:pPr>
              <w:rPr>
                <w:rFonts w:eastAsia="Times New Roman" w:cs="Times New Roman"/>
                <w:color w:val="000000"/>
                <w:sz w:val="16"/>
                <w:szCs w:val="16"/>
                <w:lang w:eastAsia="en-GB"/>
              </w:rPr>
            </w:pPr>
            <w:r>
              <w:rPr>
                <w:rFonts w:cs="Times New Roman"/>
                <w:sz w:val="16"/>
                <w:szCs w:val="16"/>
              </w:rPr>
              <w:t>CGCOM</w:t>
            </w:r>
          </w:p>
        </w:tc>
        <w:tc>
          <w:tcPr>
            <w:tcW w:w="937" w:type="dxa"/>
            <w:tcBorders>
              <w:top w:val="single" w:sz="2" w:space="0" w:color="auto"/>
              <w:bottom w:val="single" w:sz="18" w:space="0" w:color="auto"/>
            </w:tcBorders>
            <w:shd w:val="clear" w:color="000000" w:fill="FFFFFF"/>
            <w:vAlign w:val="center"/>
            <w:hideMark/>
          </w:tcPr>
          <w:p w:rsidR="00EF1D3F" w:rsidRPr="00C15F52" w:rsidRDefault="00EF1D3F" w:rsidP="007E1196">
            <w:pPr>
              <w:rPr>
                <w:rFonts w:eastAsia="Times New Roman" w:cs="Times New Roman"/>
                <w:color w:val="000000"/>
                <w:sz w:val="16"/>
                <w:szCs w:val="16"/>
                <w:lang w:eastAsia="en-GB"/>
              </w:rPr>
            </w:pPr>
            <w:r>
              <w:rPr>
                <w:rFonts w:cs="Times New Roman"/>
                <w:sz w:val="16"/>
                <w:szCs w:val="16"/>
              </w:rPr>
              <w:t>GNDR</w:t>
            </w:r>
          </w:p>
        </w:tc>
        <w:tc>
          <w:tcPr>
            <w:tcW w:w="919" w:type="dxa"/>
            <w:tcBorders>
              <w:top w:val="single" w:sz="2" w:space="0" w:color="auto"/>
              <w:bottom w:val="single" w:sz="18" w:space="0" w:color="auto"/>
            </w:tcBorders>
            <w:shd w:val="clear" w:color="000000" w:fill="FFFFFF"/>
            <w:vAlign w:val="center"/>
            <w:hideMark/>
          </w:tcPr>
          <w:p w:rsidR="00EF1D3F" w:rsidRPr="00C15F52" w:rsidRDefault="00EF1D3F" w:rsidP="007E1196">
            <w:pPr>
              <w:rPr>
                <w:rFonts w:eastAsia="Times New Roman" w:cs="Times New Roman"/>
                <w:color w:val="000000"/>
                <w:sz w:val="16"/>
                <w:szCs w:val="16"/>
                <w:lang w:eastAsia="en-GB"/>
              </w:rPr>
            </w:pPr>
            <w:r>
              <w:rPr>
                <w:rFonts w:cs="Times New Roman"/>
                <w:sz w:val="16"/>
                <w:szCs w:val="16"/>
              </w:rPr>
              <w:t>BLKOWN</w:t>
            </w:r>
          </w:p>
        </w:tc>
        <w:tc>
          <w:tcPr>
            <w:tcW w:w="945" w:type="dxa"/>
            <w:tcBorders>
              <w:top w:val="single" w:sz="2" w:space="0" w:color="auto"/>
              <w:bottom w:val="single" w:sz="18" w:space="0" w:color="auto"/>
            </w:tcBorders>
            <w:shd w:val="clear" w:color="000000" w:fill="FFFFFF"/>
            <w:vAlign w:val="center"/>
            <w:hideMark/>
          </w:tcPr>
          <w:p w:rsidR="00EF1D3F" w:rsidRPr="00C15F52" w:rsidRDefault="00EF1D3F" w:rsidP="007E1196">
            <w:pPr>
              <w:rPr>
                <w:rFonts w:eastAsia="Times New Roman" w:cs="Times New Roman"/>
                <w:color w:val="000000"/>
                <w:sz w:val="16"/>
                <w:szCs w:val="16"/>
                <w:lang w:eastAsia="en-GB"/>
              </w:rPr>
            </w:pPr>
            <w:r>
              <w:rPr>
                <w:rFonts w:cs="Times New Roman"/>
                <w:sz w:val="16"/>
                <w:szCs w:val="16"/>
              </w:rPr>
              <w:t>GOVOWN</w:t>
            </w:r>
          </w:p>
        </w:tc>
        <w:tc>
          <w:tcPr>
            <w:tcW w:w="856" w:type="dxa"/>
            <w:tcBorders>
              <w:top w:val="single" w:sz="2" w:space="0" w:color="auto"/>
              <w:bottom w:val="single" w:sz="18" w:space="0" w:color="auto"/>
            </w:tcBorders>
            <w:shd w:val="clear" w:color="000000" w:fill="FFFFFF"/>
            <w:vAlign w:val="center"/>
            <w:hideMark/>
          </w:tcPr>
          <w:p w:rsidR="00EF1D3F" w:rsidRPr="00C15F52" w:rsidRDefault="00EF1D3F" w:rsidP="007E1196">
            <w:pPr>
              <w:rPr>
                <w:rFonts w:eastAsia="Times New Roman" w:cs="Times New Roman"/>
                <w:color w:val="000000"/>
                <w:sz w:val="16"/>
                <w:szCs w:val="16"/>
                <w:lang w:eastAsia="en-GB"/>
              </w:rPr>
            </w:pPr>
            <w:r>
              <w:rPr>
                <w:rFonts w:cs="Times New Roman"/>
                <w:sz w:val="16"/>
                <w:szCs w:val="16"/>
              </w:rPr>
              <w:t>INSOWN</w:t>
            </w:r>
          </w:p>
        </w:tc>
        <w:tc>
          <w:tcPr>
            <w:tcW w:w="910" w:type="dxa"/>
            <w:tcBorders>
              <w:top w:val="single" w:sz="2" w:space="0" w:color="auto"/>
              <w:bottom w:val="single" w:sz="18" w:space="0" w:color="auto"/>
            </w:tcBorders>
            <w:shd w:val="clear" w:color="000000" w:fill="FFFFFF"/>
            <w:vAlign w:val="center"/>
          </w:tcPr>
          <w:p w:rsidR="00EF1D3F" w:rsidRPr="00C15F52" w:rsidRDefault="00EF1D3F" w:rsidP="007E1196">
            <w:pPr>
              <w:rPr>
                <w:rFonts w:cs="Times New Roman"/>
                <w:sz w:val="16"/>
                <w:szCs w:val="16"/>
              </w:rPr>
            </w:pPr>
            <w:r>
              <w:rPr>
                <w:rFonts w:cs="Times New Roman"/>
                <w:sz w:val="16"/>
                <w:szCs w:val="16"/>
              </w:rPr>
              <w:t>FOROWN</w:t>
            </w:r>
          </w:p>
        </w:tc>
        <w:tc>
          <w:tcPr>
            <w:tcW w:w="891" w:type="dxa"/>
            <w:tcBorders>
              <w:top w:val="single" w:sz="2" w:space="0" w:color="auto"/>
              <w:bottom w:val="single" w:sz="18" w:space="0" w:color="auto"/>
            </w:tcBorders>
            <w:shd w:val="clear" w:color="000000" w:fill="FFFFFF"/>
            <w:vAlign w:val="center"/>
          </w:tcPr>
          <w:p w:rsidR="00EF1D3F" w:rsidRPr="00C15F52" w:rsidRDefault="00EF1D3F" w:rsidP="007E1196">
            <w:pPr>
              <w:rPr>
                <w:rFonts w:cs="Times New Roman"/>
                <w:sz w:val="16"/>
                <w:szCs w:val="16"/>
              </w:rPr>
            </w:pPr>
            <w:r>
              <w:rPr>
                <w:rFonts w:cs="Times New Roman"/>
                <w:sz w:val="16"/>
                <w:szCs w:val="16"/>
              </w:rPr>
              <w:t>LNTA</w:t>
            </w:r>
          </w:p>
        </w:tc>
        <w:tc>
          <w:tcPr>
            <w:tcW w:w="807" w:type="dxa"/>
            <w:tcBorders>
              <w:top w:val="single" w:sz="2" w:space="0" w:color="auto"/>
              <w:bottom w:val="single" w:sz="18" w:space="0" w:color="auto"/>
            </w:tcBorders>
            <w:shd w:val="clear" w:color="000000" w:fill="FFFFFF"/>
            <w:vAlign w:val="center"/>
            <w:hideMark/>
          </w:tcPr>
          <w:p w:rsidR="00EF1D3F" w:rsidRPr="00C15F52" w:rsidRDefault="00EF1D3F" w:rsidP="007E1196">
            <w:pPr>
              <w:rPr>
                <w:rFonts w:eastAsia="Times New Roman" w:cs="Times New Roman"/>
                <w:color w:val="000000"/>
                <w:sz w:val="16"/>
                <w:szCs w:val="16"/>
                <w:lang w:eastAsia="en-GB"/>
              </w:rPr>
            </w:pPr>
            <w:r>
              <w:rPr>
                <w:rFonts w:cs="Times New Roman"/>
                <w:sz w:val="16"/>
                <w:szCs w:val="16"/>
              </w:rPr>
              <w:t>ROA</w:t>
            </w:r>
          </w:p>
        </w:tc>
        <w:tc>
          <w:tcPr>
            <w:tcW w:w="919" w:type="dxa"/>
            <w:tcBorders>
              <w:top w:val="single" w:sz="2" w:space="0" w:color="auto"/>
              <w:bottom w:val="single" w:sz="18" w:space="0" w:color="auto"/>
            </w:tcBorders>
            <w:shd w:val="clear" w:color="000000" w:fill="FFFFFF"/>
            <w:vAlign w:val="center"/>
          </w:tcPr>
          <w:p w:rsidR="00EF1D3F" w:rsidRPr="00C15F52" w:rsidRDefault="00EF1D3F" w:rsidP="007E1196">
            <w:pPr>
              <w:rPr>
                <w:rFonts w:cs="Times New Roman"/>
                <w:sz w:val="16"/>
                <w:szCs w:val="16"/>
              </w:rPr>
            </w:pPr>
            <w:r>
              <w:rPr>
                <w:rFonts w:cs="Times New Roman"/>
                <w:sz w:val="16"/>
                <w:szCs w:val="16"/>
              </w:rPr>
              <w:t>GROWTH</w:t>
            </w:r>
          </w:p>
        </w:tc>
        <w:tc>
          <w:tcPr>
            <w:tcW w:w="825" w:type="dxa"/>
            <w:tcBorders>
              <w:top w:val="single" w:sz="2" w:space="0" w:color="auto"/>
              <w:bottom w:val="single" w:sz="18" w:space="0" w:color="auto"/>
            </w:tcBorders>
            <w:shd w:val="clear" w:color="000000" w:fill="FFFFFF"/>
            <w:vAlign w:val="center"/>
            <w:hideMark/>
          </w:tcPr>
          <w:p w:rsidR="00EF1D3F" w:rsidRPr="00C15F52" w:rsidRDefault="00EF1D3F" w:rsidP="007E1196">
            <w:pPr>
              <w:rPr>
                <w:rFonts w:eastAsia="Times New Roman" w:cs="Times New Roman"/>
                <w:color w:val="000000"/>
                <w:sz w:val="16"/>
                <w:szCs w:val="16"/>
                <w:lang w:eastAsia="en-GB"/>
              </w:rPr>
            </w:pPr>
            <w:r>
              <w:rPr>
                <w:rFonts w:cs="Times New Roman"/>
                <w:sz w:val="16"/>
                <w:szCs w:val="16"/>
              </w:rPr>
              <w:t>LVRG</w:t>
            </w:r>
          </w:p>
        </w:tc>
      </w:tr>
      <w:tr w:rsidR="00EF1D3F" w:rsidRPr="00C15F52" w:rsidTr="00112DBD">
        <w:trPr>
          <w:cantSplit/>
          <w:trHeight w:val="142"/>
          <w:jc w:val="center"/>
        </w:trPr>
        <w:tc>
          <w:tcPr>
            <w:tcW w:w="968" w:type="dxa"/>
            <w:shd w:val="clear" w:color="000000" w:fill="FFFFFF"/>
            <w:vAlign w:val="center"/>
            <w:hideMark/>
          </w:tcPr>
          <w:p w:rsidR="00EF1D3F" w:rsidRPr="00C15F52" w:rsidRDefault="00EF1D3F" w:rsidP="007E1196">
            <w:pPr>
              <w:rPr>
                <w:rFonts w:cs="Times New Roman"/>
                <w:sz w:val="16"/>
                <w:szCs w:val="16"/>
              </w:rPr>
            </w:pPr>
            <w:r>
              <w:rPr>
                <w:rFonts w:cs="Times New Roman"/>
                <w:sz w:val="16"/>
                <w:szCs w:val="16"/>
              </w:rPr>
              <w:t>DA</w:t>
            </w:r>
          </w:p>
        </w:tc>
        <w:tc>
          <w:tcPr>
            <w:tcW w:w="727" w:type="dxa"/>
            <w:shd w:val="clear" w:color="000000" w:fill="FFFFFF"/>
            <w:hideMark/>
          </w:tcPr>
          <w:p w:rsidR="00EF1D3F" w:rsidRPr="00C15F52" w:rsidRDefault="00EF1D3F" w:rsidP="007E1196">
            <w:pPr>
              <w:rPr>
                <w:rFonts w:eastAsia="Times New Roman" w:cs="Times New Roman"/>
                <w:color w:val="000000"/>
                <w:sz w:val="16"/>
                <w:szCs w:val="16"/>
                <w:lang w:eastAsia="en-GB"/>
              </w:rPr>
            </w:pPr>
          </w:p>
        </w:tc>
        <w:tc>
          <w:tcPr>
            <w:tcW w:w="79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0.007</w:t>
            </w:r>
          </w:p>
        </w:tc>
        <w:tc>
          <w:tcPr>
            <w:tcW w:w="950" w:type="dxa"/>
            <w:shd w:val="clear" w:color="000000" w:fill="FFFFFF"/>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-0.061</w:t>
            </w:r>
            <w:r w:rsidRPr="00B64F1D">
              <w:rPr>
                <w:rFonts w:eastAsia="Times New Roman" w:cs="Times New Roman"/>
                <w:color w:val="000000"/>
                <w:sz w:val="16"/>
                <w:szCs w:val="16"/>
                <w:vertAlign w:val="superscript"/>
                <w:lang w:eastAsia="en-GB"/>
              </w:rPr>
              <w:t>**</w:t>
            </w:r>
          </w:p>
        </w:tc>
        <w:tc>
          <w:tcPr>
            <w:tcW w:w="950"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-0.016</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-0.018</w:t>
            </w:r>
          </w:p>
        </w:tc>
        <w:tc>
          <w:tcPr>
            <w:tcW w:w="952"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0.015</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-0.001</w:t>
            </w:r>
          </w:p>
        </w:tc>
        <w:tc>
          <w:tcPr>
            <w:tcW w:w="919"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0.004</w:t>
            </w:r>
          </w:p>
        </w:tc>
        <w:tc>
          <w:tcPr>
            <w:tcW w:w="94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-0.011</w:t>
            </w:r>
          </w:p>
        </w:tc>
        <w:tc>
          <w:tcPr>
            <w:tcW w:w="856"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-0.010</w:t>
            </w:r>
          </w:p>
        </w:tc>
        <w:tc>
          <w:tcPr>
            <w:tcW w:w="910"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-0.003</w:t>
            </w:r>
          </w:p>
        </w:tc>
        <w:tc>
          <w:tcPr>
            <w:tcW w:w="891"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0.014</w:t>
            </w:r>
          </w:p>
        </w:tc>
        <w:tc>
          <w:tcPr>
            <w:tcW w:w="80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0.278</w:t>
            </w:r>
            <w:r w:rsidRPr="009645AD">
              <w:rPr>
                <w:rFonts w:eastAsia="Times New Roman" w:cs="Times New Roman"/>
                <w:color w:val="000000"/>
                <w:sz w:val="16"/>
                <w:szCs w:val="16"/>
                <w:vertAlign w:val="superscript"/>
                <w:lang w:eastAsia="en-GB"/>
              </w:rPr>
              <w:t>***</w:t>
            </w:r>
          </w:p>
        </w:tc>
        <w:tc>
          <w:tcPr>
            <w:tcW w:w="919"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0.032</w:t>
            </w:r>
          </w:p>
        </w:tc>
        <w:tc>
          <w:tcPr>
            <w:tcW w:w="82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0.060</w:t>
            </w:r>
            <w:r w:rsidRPr="00247639">
              <w:rPr>
                <w:rFonts w:eastAsia="Times New Roman" w:cs="Times New Roman"/>
                <w:color w:val="000000"/>
                <w:sz w:val="16"/>
                <w:szCs w:val="16"/>
                <w:vertAlign w:val="superscript"/>
                <w:lang w:eastAsia="en-GB"/>
              </w:rPr>
              <w:t>**</w:t>
            </w:r>
          </w:p>
        </w:tc>
      </w:tr>
      <w:tr w:rsidR="00EF1D3F" w:rsidRPr="00C15F52" w:rsidTr="00112DBD">
        <w:trPr>
          <w:cantSplit/>
          <w:trHeight w:val="142"/>
          <w:jc w:val="center"/>
        </w:trPr>
        <w:tc>
          <w:tcPr>
            <w:tcW w:w="968" w:type="dxa"/>
            <w:shd w:val="clear" w:color="000000" w:fill="FFFFFF"/>
            <w:vAlign w:val="center"/>
            <w:hideMark/>
          </w:tcPr>
          <w:p w:rsidR="00EF1D3F" w:rsidRPr="00C15F52" w:rsidRDefault="00EF1D3F" w:rsidP="007E1196">
            <w:pPr>
              <w:rPr>
                <w:rFonts w:cs="Times New Roman"/>
                <w:sz w:val="16"/>
                <w:szCs w:val="16"/>
              </w:rPr>
            </w:pPr>
            <w:r>
              <w:rPr>
                <w:rFonts w:cs="Times New Roman"/>
                <w:sz w:val="16"/>
                <w:szCs w:val="16"/>
              </w:rPr>
              <w:t>OCGI</w:t>
            </w:r>
          </w:p>
        </w:tc>
        <w:tc>
          <w:tcPr>
            <w:tcW w:w="72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0.039</w:t>
            </w:r>
          </w:p>
        </w:tc>
        <w:tc>
          <w:tcPr>
            <w:tcW w:w="797" w:type="dxa"/>
            <w:shd w:val="clear" w:color="000000" w:fill="FFFFFF"/>
            <w:hideMark/>
          </w:tcPr>
          <w:p w:rsidR="00EF1D3F" w:rsidRPr="00C15F52" w:rsidRDefault="00EF1D3F" w:rsidP="007E1196">
            <w:pPr>
              <w:rPr>
                <w:rFonts w:eastAsia="Times New Roman" w:cs="Times New Roman"/>
                <w:color w:val="000000"/>
                <w:sz w:val="16"/>
                <w:szCs w:val="16"/>
                <w:lang w:eastAsia="en-GB"/>
              </w:rPr>
            </w:pPr>
          </w:p>
        </w:tc>
        <w:tc>
          <w:tcPr>
            <w:tcW w:w="950" w:type="dxa"/>
            <w:shd w:val="clear" w:color="000000" w:fill="FFFFFF"/>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0.073</w:t>
            </w:r>
            <w:r w:rsidRPr="00B64F1D">
              <w:rPr>
                <w:rFonts w:eastAsia="Times New Roman" w:cs="Times New Roman"/>
                <w:color w:val="000000"/>
                <w:sz w:val="16"/>
                <w:szCs w:val="16"/>
                <w:vertAlign w:val="superscript"/>
                <w:lang w:eastAsia="en-GB"/>
              </w:rPr>
              <w:t>**</w:t>
            </w:r>
          </w:p>
        </w:tc>
        <w:tc>
          <w:tcPr>
            <w:tcW w:w="950"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0.088</w:t>
            </w:r>
            <w:r w:rsidRPr="00526A22">
              <w:rPr>
                <w:rFonts w:eastAsia="Times New Roman" w:cs="Times New Roman"/>
                <w:color w:val="000000"/>
                <w:sz w:val="16"/>
                <w:szCs w:val="16"/>
                <w:vertAlign w:val="superscript"/>
                <w:lang w:eastAsia="en-GB"/>
              </w:rPr>
              <w:t>***</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0.100</w:t>
            </w:r>
            <w:r w:rsidRPr="00526A22">
              <w:rPr>
                <w:rFonts w:eastAsia="Times New Roman" w:cs="Times New Roman"/>
                <w:color w:val="000000"/>
                <w:sz w:val="16"/>
                <w:szCs w:val="16"/>
                <w:vertAlign w:val="superscript"/>
                <w:lang w:eastAsia="en-GB"/>
              </w:rPr>
              <w:t>***</w:t>
            </w:r>
          </w:p>
        </w:tc>
        <w:tc>
          <w:tcPr>
            <w:tcW w:w="952"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0.299</w:t>
            </w:r>
            <w:r w:rsidRPr="00526A22">
              <w:rPr>
                <w:rFonts w:eastAsia="Times New Roman" w:cs="Times New Roman"/>
                <w:color w:val="000000"/>
                <w:sz w:val="16"/>
                <w:szCs w:val="16"/>
                <w:vertAlign w:val="superscript"/>
                <w:lang w:eastAsia="en-GB"/>
              </w:rPr>
              <w:t>***</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0.086</w:t>
            </w:r>
            <w:r w:rsidRPr="00D940FB">
              <w:rPr>
                <w:rFonts w:eastAsia="Times New Roman" w:cs="Times New Roman"/>
                <w:color w:val="000000"/>
                <w:sz w:val="16"/>
                <w:szCs w:val="16"/>
                <w:vertAlign w:val="superscript"/>
                <w:lang w:eastAsia="en-GB"/>
              </w:rPr>
              <w:t>***</w:t>
            </w:r>
          </w:p>
        </w:tc>
        <w:tc>
          <w:tcPr>
            <w:tcW w:w="919"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-0.007</w:t>
            </w:r>
          </w:p>
        </w:tc>
        <w:tc>
          <w:tcPr>
            <w:tcW w:w="94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0.155</w:t>
            </w:r>
            <w:r w:rsidRPr="00D940FB">
              <w:rPr>
                <w:rFonts w:eastAsia="Times New Roman" w:cs="Times New Roman"/>
                <w:color w:val="000000"/>
                <w:sz w:val="16"/>
                <w:szCs w:val="16"/>
                <w:vertAlign w:val="superscript"/>
                <w:lang w:eastAsia="en-GB"/>
              </w:rPr>
              <w:t>***</w:t>
            </w:r>
          </w:p>
        </w:tc>
        <w:tc>
          <w:tcPr>
            <w:tcW w:w="856"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0.015</w:t>
            </w:r>
          </w:p>
        </w:tc>
        <w:tc>
          <w:tcPr>
            <w:tcW w:w="910"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0.076</w:t>
            </w:r>
            <w:r w:rsidRPr="009645AD">
              <w:rPr>
                <w:rFonts w:eastAsia="Times New Roman" w:cs="Times New Roman"/>
                <w:color w:val="000000"/>
                <w:sz w:val="16"/>
                <w:szCs w:val="16"/>
                <w:vertAlign w:val="superscript"/>
                <w:lang w:eastAsia="en-GB"/>
              </w:rPr>
              <w:t>***</w:t>
            </w:r>
          </w:p>
        </w:tc>
        <w:tc>
          <w:tcPr>
            <w:tcW w:w="891"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0.347</w:t>
            </w:r>
            <w:r w:rsidRPr="009645AD">
              <w:rPr>
                <w:rFonts w:eastAsia="Times New Roman" w:cs="Times New Roman"/>
                <w:color w:val="000000"/>
                <w:sz w:val="16"/>
                <w:szCs w:val="16"/>
                <w:vertAlign w:val="superscript"/>
                <w:lang w:eastAsia="en-GB"/>
              </w:rPr>
              <w:t>***</w:t>
            </w:r>
          </w:p>
        </w:tc>
        <w:tc>
          <w:tcPr>
            <w:tcW w:w="80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0.173</w:t>
            </w:r>
            <w:r w:rsidRPr="009645AD">
              <w:rPr>
                <w:rFonts w:eastAsia="Times New Roman" w:cs="Times New Roman"/>
                <w:color w:val="000000"/>
                <w:sz w:val="16"/>
                <w:szCs w:val="16"/>
                <w:vertAlign w:val="superscript"/>
                <w:lang w:eastAsia="en-GB"/>
              </w:rPr>
              <w:t>***</w:t>
            </w:r>
          </w:p>
        </w:tc>
        <w:tc>
          <w:tcPr>
            <w:tcW w:w="919"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0.006</w:t>
            </w:r>
          </w:p>
        </w:tc>
        <w:tc>
          <w:tcPr>
            <w:tcW w:w="82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-0.077</w:t>
            </w:r>
            <w:r w:rsidRPr="00247639">
              <w:rPr>
                <w:rFonts w:eastAsia="Times New Roman" w:cs="Times New Roman"/>
                <w:color w:val="000000"/>
                <w:sz w:val="16"/>
                <w:szCs w:val="16"/>
                <w:vertAlign w:val="superscript"/>
                <w:lang w:eastAsia="en-GB"/>
              </w:rPr>
              <w:t>***</w:t>
            </w:r>
          </w:p>
        </w:tc>
      </w:tr>
      <w:tr w:rsidR="00EF1D3F" w:rsidRPr="00C15F52" w:rsidTr="00112DBD">
        <w:trPr>
          <w:cantSplit/>
          <w:trHeight w:val="142"/>
          <w:jc w:val="center"/>
        </w:trPr>
        <w:tc>
          <w:tcPr>
            <w:tcW w:w="968" w:type="dxa"/>
            <w:shd w:val="clear" w:color="000000" w:fill="FFFFFF"/>
            <w:vAlign w:val="center"/>
            <w:hideMark/>
          </w:tcPr>
          <w:p w:rsidR="00EF1D3F" w:rsidRDefault="00BB565D" w:rsidP="007E1196">
            <w:pPr>
              <w:rPr>
                <w:rFonts w:cs="Times New Roman"/>
                <w:sz w:val="16"/>
                <w:szCs w:val="16"/>
              </w:rPr>
            </w:pPr>
            <w:r>
              <w:rPr>
                <w:rFonts w:cs="Times New Roman"/>
                <w:sz w:val="16"/>
                <w:szCs w:val="16"/>
              </w:rPr>
              <w:t>I</w:t>
            </w:r>
            <w:r w:rsidR="00EF1D3F">
              <w:rPr>
                <w:rFonts w:cs="Times New Roman"/>
                <w:sz w:val="16"/>
                <w:szCs w:val="16"/>
              </w:rPr>
              <w:t>GC</w:t>
            </w:r>
          </w:p>
        </w:tc>
        <w:tc>
          <w:tcPr>
            <w:tcW w:w="727" w:type="dxa"/>
            <w:shd w:val="clear" w:color="000000" w:fill="FFFFFF"/>
            <w:hideMark/>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-0.047</w:t>
            </w:r>
          </w:p>
        </w:tc>
        <w:tc>
          <w:tcPr>
            <w:tcW w:w="79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0.038</w:t>
            </w:r>
          </w:p>
        </w:tc>
        <w:tc>
          <w:tcPr>
            <w:tcW w:w="950" w:type="dxa"/>
            <w:shd w:val="clear" w:color="000000" w:fill="FFFFFF"/>
          </w:tcPr>
          <w:p w:rsidR="00EF1D3F" w:rsidRDefault="00EF1D3F" w:rsidP="007E1196">
            <w:pPr>
              <w:rPr>
                <w:rFonts w:eastAsia="Times New Roman" w:cs="Times New Roman"/>
                <w:color w:val="000000"/>
                <w:sz w:val="16"/>
                <w:szCs w:val="16"/>
                <w:lang w:eastAsia="en-GB"/>
              </w:rPr>
            </w:pPr>
          </w:p>
        </w:tc>
        <w:tc>
          <w:tcPr>
            <w:tcW w:w="950" w:type="dxa"/>
            <w:shd w:val="clear" w:color="000000" w:fill="FFFFFF"/>
            <w:hideMark/>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0.156</w:t>
            </w:r>
            <w:r w:rsidRPr="00526A22">
              <w:rPr>
                <w:rFonts w:eastAsia="Times New Roman" w:cs="Times New Roman"/>
                <w:color w:val="000000"/>
                <w:sz w:val="16"/>
                <w:szCs w:val="16"/>
                <w:vertAlign w:val="superscript"/>
                <w:lang w:eastAsia="en-GB"/>
              </w:rPr>
              <w:t>***</w:t>
            </w:r>
          </w:p>
        </w:tc>
        <w:tc>
          <w:tcPr>
            <w:tcW w:w="937" w:type="dxa"/>
            <w:shd w:val="clear" w:color="000000" w:fill="FFFFFF"/>
            <w:hideMark/>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0.071</w:t>
            </w:r>
            <w:r w:rsidRPr="00526A22">
              <w:rPr>
                <w:rFonts w:eastAsia="Times New Roman" w:cs="Times New Roman"/>
                <w:color w:val="000000"/>
                <w:sz w:val="16"/>
                <w:szCs w:val="16"/>
                <w:vertAlign w:val="superscript"/>
                <w:lang w:eastAsia="en-GB"/>
              </w:rPr>
              <w:t>**</w:t>
            </w:r>
          </w:p>
        </w:tc>
        <w:tc>
          <w:tcPr>
            <w:tcW w:w="952" w:type="dxa"/>
            <w:shd w:val="clear" w:color="000000" w:fill="FFFFFF"/>
            <w:hideMark/>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-0.048</w:t>
            </w:r>
          </w:p>
        </w:tc>
        <w:tc>
          <w:tcPr>
            <w:tcW w:w="937" w:type="dxa"/>
            <w:shd w:val="clear" w:color="000000" w:fill="FFFFFF"/>
            <w:hideMark/>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0.094</w:t>
            </w:r>
            <w:r w:rsidRPr="00D940FB">
              <w:rPr>
                <w:rFonts w:eastAsia="Times New Roman" w:cs="Times New Roman"/>
                <w:color w:val="000000"/>
                <w:sz w:val="16"/>
                <w:szCs w:val="16"/>
                <w:vertAlign w:val="superscript"/>
                <w:lang w:eastAsia="en-GB"/>
              </w:rPr>
              <w:t>***</w:t>
            </w:r>
          </w:p>
        </w:tc>
        <w:tc>
          <w:tcPr>
            <w:tcW w:w="919" w:type="dxa"/>
            <w:shd w:val="clear" w:color="000000" w:fill="FFFFFF"/>
            <w:hideMark/>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-0.039</w:t>
            </w:r>
          </w:p>
        </w:tc>
        <w:tc>
          <w:tcPr>
            <w:tcW w:w="945" w:type="dxa"/>
            <w:shd w:val="clear" w:color="000000" w:fill="FFFFFF"/>
            <w:hideMark/>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0.007</w:t>
            </w:r>
          </w:p>
        </w:tc>
        <w:tc>
          <w:tcPr>
            <w:tcW w:w="856" w:type="dxa"/>
            <w:shd w:val="clear" w:color="000000" w:fill="FFFFFF"/>
            <w:hideMark/>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-0.028</w:t>
            </w:r>
          </w:p>
        </w:tc>
        <w:tc>
          <w:tcPr>
            <w:tcW w:w="910" w:type="dxa"/>
            <w:shd w:val="clear" w:color="000000" w:fill="FFFFFF"/>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0.069</w:t>
            </w:r>
            <w:r w:rsidRPr="009645AD">
              <w:rPr>
                <w:rFonts w:eastAsia="Times New Roman" w:cs="Times New Roman"/>
                <w:color w:val="000000"/>
                <w:sz w:val="16"/>
                <w:szCs w:val="16"/>
                <w:vertAlign w:val="superscript"/>
                <w:lang w:eastAsia="en-GB"/>
              </w:rPr>
              <w:t>**</w:t>
            </w:r>
          </w:p>
        </w:tc>
        <w:tc>
          <w:tcPr>
            <w:tcW w:w="891" w:type="dxa"/>
            <w:shd w:val="clear" w:color="000000" w:fill="FFFFFF"/>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0.181</w:t>
            </w:r>
            <w:r w:rsidRPr="009645AD">
              <w:rPr>
                <w:rFonts w:eastAsia="Times New Roman" w:cs="Times New Roman"/>
                <w:color w:val="000000"/>
                <w:sz w:val="16"/>
                <w:szCs w:val="16"/>
                <w:vertAlign w:val="superscript"/>
                <w:lang w:eastAsia="en-GB"/>
              </w:rPr>
              <w:t>***</w:t>
            </w:r>
          </w:p>
        </w:tc>
        <w:tc>
          <w:tcPr>
            <w:tcW w:w="807" w:type="dxa"/>
            <w:shd w:val="clear" w:color="000000" w:fill="FFFFFF"/>
            <w:hideMark/>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-0.067</w:t>
            </w:r>
            <w:r w:rsidRPr="009645AD">
              <w:rPr>
                <w:rFonts w:eastAsia="Times New Roman" w:cs="Times New Roman"/>
                <w:color w:val="000000"/>
                <w:sz w:val="16"/>
                <w:szCs w:val="16"/>
                <w:vertAlign w:val="superscript"/>
                <w:lang w:eastAsia="en-GB"/>
              </w:rPr>
              <w:t>**</w:t>
            </w:r>
          </w:p>
        </w:tc>
        <w:tc>
          <w:tcPr>
            <w:tcW w:w="919" w:type="dxa"/>
            <w:shd w:val="clear" w:color="000000" w:fill="FFFFFF"/>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-0.046</w:t>
            </w:r>
          </w:p>
        </w:tc>
        <w:tc>
          <w:tcPr>
            <w:tcW w:w="825" w:type="dxa"/>
            <w:shd w:val="clear" w:color="000000" w:fill="FFFFFF"/>
            <w:hideMark/>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0.162</w:t>
            </w:r>
            <w:r w:rsidRPr="00247639">
              <w:rPr>
                <w:rFonts w:eastAsia="Times New Roman" w:cs="Times New Roman"/>
                <w:color w:val="000000"/>
                <w:sz w:val="16"/>
                <w:szCs w:val="16"/>
                <w:vertAlign w:val="superscript"/>
                <w:lang w:eastAsia="en-GB"/>
              </w:rPr>
              <w:t>***</w:t>
            </w:r>
          </w:p>
        </w:tc>
      </w:tr>
      <w:tr w:rsidR="00EF1D3F" w:rsidRPr="00C15F52" w:rsidTr="00112DBD">
        <w:trPr>
          <w:cantSplit/>
          <w:trHeight w:val="142"/>
          <w:jc w:val="center"/>
        </w:trPr>
        <w:tc>
          <w:tcPr>
            <w:tcW w:w="968" w:type="dxa"/>
            <w:shd w:val="clear" w:color="000000" w:fill="FFFFFF"/>
            <w:vAlign w:val="center"/>
            <w:hideMark/>
          </w:tcPr>
          <w:p w:rsidR="00EF1D3F" w:rsidRPr="00C15F52" w:rsidRDefault="00EF1D3F" w:rsidP="007E1196">
            <w:pPr>
              <w:rPr>
                <w:rFonts w:cs="Times New Roman"/>
                <w:sz w:val="16"/>
                <w:szCs w:val="16"/>
              </w:rPr>
            </w:pPr>
            <w:r>
              <w:rPr>
                <w:rFonts w:cs="Times New Roman"/>
                <w:sz w:val="16"/>
                <w:szCs w:val="16"/>
              </w:rPr>
              <w:t>BSIZE</w:t>
            </w:r>
          </w:p>
        </w:tc>
        <w:tc>
          <w:tcPr>
            <w:tcW w:w="72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-0.023</w:t>
            </w:r>
          </w:p>
        </w:tc>
        <w:tc>
          <w:tcPr>
            <w:tcW w:w="79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0.046</w:t>
            </w:r>
          </w:p>
        </w:tc>
        <w:tc>
          <w:tcPr>
            <w:tcW w:w="950"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0.175</w:t>
            </w:r>
            <w:r w:rsidRPr="00B64F1D">
              <w:rPr>
                <w:rFonts w:eastAsia="Times New Roman" w:cs="Times New Roman"/>
                <w:color w:val="000000"/>
                <w:sz w:val="16"/>
                <w:szCs w:val="16"/>
                <w:vertAlign w:val="superscript"/>
                <w:lang w:eastAsia="en-GB"/>
              </w:rPr>
              <w:t>***</w:t>
            </w:r>
          </w:p>
        </w:tc>
        <w:tc>
          <w:tcPr>
            <w:tcW w:w="950" w:type="dxa"/>
            <w:shd w:val="clear" w:color="000000" w:fill="FFFFFF"/>
            <w:hideMark/>
          </w:tcPr>
          <w:p w:rsidR="00EF1D3F" w:rsidRPr="00C15F52" w:rsidRDefault="00EF1D3F" w:rsidP="007E1196">
            <w:pPr>
              <w:rPr>
                <w:rFonts w:eastAsia="Times New Roman" w:cs="Times New Roman"/>
                <w:color w:val="000000"/>
                <w:sz w:val="16"/>
                <w:szCs w:val="16"/>
                <w:lang w:eastAsia="en-GB"/>
              </w:rPr>
            </w:pP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0.252</w:t>
            </w:r>
            <w:r w:rsidRPr="00526A22">
              <w:rPr>
                <w:rFonts w:eastAsia="Times New Roman" w:cs="Times New Roman"/>
                <w:color w:val="000000"/>
                <w:sz w:val="16"/>
                <w:szCs w:val="16"/>
                <w:vertAlign w:val="superscript"/>
                <w:lang w:eastAsia="en-GB"/>
              </w:rPr>
              <w:t>***</w:t>
            </w:r>
          </w:p>
        </w:tc>
        <w:tc>
          <w:tcPr>
            <w:tcW w:w="952"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-0.055</w:t>
            </w:r>
            <w:r w:rsidRPr="00526A22">
              <w:rPr>
                <w:rFonts w:eastAsia="Times New Roman" w:cs="Times New Roman"/>
                <w:color w:val="000000"/>
                <w:sz w:val="16"/>
                <w:szCs w:val="16"/>
                <w:vertAlign w:val="superscript"/>
                <w:lang w:eastAsia="en-GB"/>
              </w:rPr>
              <w:t>*</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0.013</w:t>
            </w:r>
          </w:p>
        </w:tc>
        <w:tc>
          <w:tcPr>
            <w:tcW w:w="919"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-0.266</w:t>
            </w:r>
            <w:r w:rsidRPr="00D940FB">
              <w:rPr>
                <w:rFonts w:eastAsia="Times New Roman" w:cs="Times New Roman"/>
                <w:color w:val="000000"/>
                <w:sz w:val="16"/>
                <w:szCs w:val="16"/>
                <w:vertAlign w:val="superscript"/>
                <w:lang w:eastAsia="en-GB"/>
              </w:rPr>
              <w:t>***</w:t>
            </w:r>
          </w:p>
        </w:tc>
        <w:tc>
          <w:tcPr>
            <w:tcW w:w="94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0.085</w:t>
            </w:r>
            <w:r w:rsidRPr="00D940FB">
              <w:rPr>
                <w:rFonts w:eastAsia="Times New Roman" w:cs="Times New Roman"/>
                <w:color w:val="000000"/>
                <w:sz w:val="16"/>
                <w:szCs w:val="16"/>
                <w:vertAlign w:val="superscript"/>
                <w:lang w:eastAsia="en-GB"/>
              </w:rPr>
              <w:t>***</w:t>
            </w:r>
          </w:p>
        </w:tc>
        <w:tc>
          <w:tcPr>
            <w:tcW w:w="856"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-0.001</w:t>
            </w:r>
          </w:p>
        </w:tc>
        <w:tc>
          <w:tcPr>
            <w:tcW w:w="910"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0.008</w:t>
            </w:r>
          </w:p>
        </w:tc>
        <w:tc>
          <w:tcPr>
            <w:tcW w:w="891"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0.391</w:t>
            </w:r>
            <w:r w:rsidRPr="009645AD">
              <w:rPr>
                <w:rFonts w:eastAsia="Times New Roman" w:cs="Times New Roman"/>
                <w:color w:val="000000"/>
                <w:sz w:val="16"/>
                <w:szCs w:val="16"/>
                <w:vertAlign w:val="superscript"/>
                <w:lang w:eastAsia="en-GB"/>
              </w:rPr>
              <w:t>***</w:t>
            </w:r>
          </w:p>
        </w:tc>
        <w:tc>
          <w:tcPr>
            <w:tcW w:w="80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0.054</w:t>
            </w:r>
            <w:r w:rsidRPr="009645AD">
              <w:rPr>
                <w:rFonts w:eastAsia="Times New Roman" w:cs="Times New Roman"/>
                <w:color w:val="000000"/>
                <w:sz w:val="16"/>
                <w:szCs w:val="16"/>
                <w:vertAlign w:val="superscript"/>
                <w:lang w:eastAsia="en-GB"/>
              </w:rPr>
              <w:t>*</w:t>
            </w:r>
          </w:p>
        </w:tc>
        <w:tc>
          <w:tcPr>
            <w:tcW w:w="919"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-0.111</w:t>
            </w:r>
            <w:r w:rsidRPr="00247639">
              <w:rPr>
                <w:rFonts w:eastAsia="Times New Roman" w:cs="Times New Roman"/>
                <w:color w:val="000000"/>
                <w:sz w:val="16"/>
                <w:szCs w:val="16"/>
                <w:vertAlign w:val="superscript"/>
                <w:lang w:eastAsia="en-GB"/>
              </w:rPr>
              <w:t>***</w:t>
            </w:r>
          </w:p>
        </w:tc>
        <w:tc>
          <w:tcPr>
            <w:tcW w:w="82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-0.032</w:t>
            </w:r>
          </w:p>
        </w:tc>
      </w:tr>
      <w:tr w:rsidR="00EF1D3F" w:rsidRPr="00C15F52" w:rsidTr="00112DBD">
        <w:trPr>
          <w:cantSplit/>
          <w:trHeight w:val="142"/>
          <w:jc w:val="center"/>
        </w:trPr>
        <w:tc>
          <w:tcPr>
            <w:tcW w:w="968" w:type="dxa"/>
            <w:shd w:val="clear" w:color="000000" w:fill="FFFFFF"/>
            <w:vAlign w:val="center"/>
            <w:hideMark/>
          </w:tcPr>
          <w:p w:rsidR="00EF1D3F" w:rsidRPr="00C15F52" w:rsidRDefault="00EF1D3F" w:rsidP="007E1196">
            <w:pPr>
              <w:rPr>
                <w:rFonts w:cs="Times New Roman"/>
                <w:sz w:val="16"/>
                <w:szCs w:val="16"/>
              </w:rPr>
            </w:pPr>
            <w:r>
              <w:rPr>
                <w:rFonts w:cs="Times New Roman"/>
                <w:sz w:val="16"/>
                <w:szCs w:val="16"/>
              </w:rPr>
              <w:t>BIG4</w:t>
            </w:r>
          </w:p>
        </w:tc>
        <w:tc>
          <w:tcPr>
            <w:tcW w:w="72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-0.018</w:t>
            </w:r>
          </w:p>
        </w:tc>
        <w:tc>
          <w:tcPr>
            <w:tcW w:w="79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0.030</w:t>
            </w:r>
          </w:p>
        </w:tc>
        <w:tc>
          <w:tcPr>
            <w:tcW w:w="950" w:type="dxa"/>
            <w:shd w:val="clear" w:color="000000" w:fill="FFFFFF"/>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0.071</w:t>
            </w:r>
            <w:r w:rsidRPr="00B64F1D">
              <w:rPr>
                <w:rFonts w:eastAsia="Times New Roman" w:cs="Times New Roman"/>
                <w:color w:val="000000"/>
                <w:sz w:val="16"/>
                <w:szCs w:val="16"/>
                <w:vertAlign w:val="superscript"/>
                <w:lang w:eastAsia="en-GB"/>
              </w:rPr>
              <w:t>**</w:t>
            </w:r>
          </w:p>
        </w:tc>
        <w:tc>
          <w:tcPr>
            <w:tcW w:w="950"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0.255</w:t>
            </w:r>
            <w:r w:rsidRPr="00526A22">
              <w:rPr>
                <w:rFonts w:eastAsia="Times New Roman" w:cs="Times New Roman"/>
                <w:color w:val="000000"/>
                <w:sz w:val="16"/>
                <w:szCs w:val="16"/>
                <w:vertAlign w:val="superscript"/>
                <w:lang w:eastAsia="en-GB"/>
              </w:rPr>
              <w:t>***</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p>
        </w:tc>
        <w:tc>
          <w:tcPr>
            <w:tcW w:w="952"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0.110</w:t>
            </w:r>
            <w:r w:rsidRPr="00526A22">
              <w:rPr>
                <w:rFonts w:eastAsia="Times New Roman" w:cs="Times New Roman"/>
                <w:color w:val="000000"/>
                <w:sz w:val="16"/>
                <w:szCs w:val="16"/>
                <w:vertAlign w:val="superscript"/>
                <w:lang w:eastAsia="en-GB"/>
              </w:rPr>
              <w:t>***</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0.056</w:t>
            </w:r>
            <w:r w:rsidRPr="00D940FB">
              <w:rPr>
                <w:rFonts w:eastAsia="Times New Roman" w:cs="Times New Roman"/>
                <w:color w:val="000000"/>
                <w:sz w:val="16"/>
                <w:szCs w:val="16"/>
                <w:vertAlign w:val="superscript"/>
                <w:lang w:eastAsia="en-GB"/>
              </w:rPr>
              <w:t>*</w:t>
            </w:r>
          </w:p>
        </w:tc>
        <w:tc>
          <w:tcPr>
            <w:tcW w:w="919"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-0.161</w:t>
            </w:r>
            <w:r w:rsidRPr="00D940FB">
              <w:rPr>
                <w:rFonts w:eastAsia="Times New Roman" w:cs="Times New Roman"/>
                <w:color w:val="000000"/>
                <w:sz w:val="16"/>
                <w:szCs w:val="16"/>
                <w:vertAlign w:val="superscript"/>
                <w:lang w:eastAsia="en-GB"/>
              </w:rPr>
              <w:t>***</w:t>
            </w:r>
          </w:p>
        </w:tc>
        <w:tc>
          <w:tcPr>
            <w:tcW w:w="94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0.062</w:t>
            </w:r>
            <w:r w:rsidRPr="00D940FB">
              <w:rPr>
                <w:rFonts w:eastAsia="Times New Roman" w:cs="Times New Roman"/>
                <w:color w:val="000000"/>
                <w:sz w:val="16"/>
                <w:szCs w:val="16"/>
                <w:vertAlign w:val="superscript"/>
                <w:lang w:eastAsia="en-GB"/>
              </w:rPr>
              <w:t>**</w:t>
            </w:r>
          </w:p>
        </w:tc>
        <w:tc>
          <w:tcPr>
            <w:tcW w:w="856"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0.001</w:t>
            </w:r>
          </w:p>
        </w:tc>
        <w:tc>
          <w:tcPr>
            <w:tcW w:w="910"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0.020</w:t>
            </w:r>
          </w:p>
        </w:tc>
        <w:tc>
          <w:tcPr>
            <w:tcW w:w="891"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0.377</w:t>
            </w:r>
            <w:r w:rsidRPr="009645AD">
              <w:rPr>
                <w:rFonts w:eastAsia="Times New Roman" w:cs="Times New Roman"/>
                <w:color w:val="000000"/>
                <w:sz w:val="16"/>
                <w:szCs w:val="16"/>
                <w:vertAlign w:val="superscript"/>
                <w:lang w:eastAsia="en-GB"/>
              </w:rPr>
              <w:t>***</w:t>
            </w:r>
          </w:p>
        </w:tc>
        <w:tc>
          <w:tcPr>
            <w:tcW w:w="80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0.098</w:t>
            </w:r>
            <w:r w:rsidRPr="009645AD">
              <w:rPr>
                <w:rFonts w:eastAsia="Times New Roman" w:cs="Times New Roman"/>
                <w:color w:val="000000"/>
                <w:sz w:val="16"/>
                <w:szCs w:val="16"/>
                <w:vertAlign w:val="superscript"/>
                <w:lang w:eastAsia="en-GB"/>
              </w:rPr>
              <w:t>***</w:t>
            </w:r>
          </w:p>
        </w:tc>
        <w:tc>
          <w:tcPr>
            <w:tcW w:w="919"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-0.072</w:t>
            </w:r>
            <w:r w:rsidRPr="00247639">
              <w:rPr>
                <w:rFonts w:eastAsia="Times New Roman" w:cs="Times New Roman"/>
                <w:color w:val="000000"/>
                <w:sz w:val="16"/>
                <w:szCs w:val="16"/>
                <w:vertAlign w:val="superscript"/>
                <w:lang w:eastAsia="en-GB"/>
              </w:rPr>
              <w:t>**</w:t>
            </w:r>
          </w:p>
        </w:tc>
        <w:tc>
          <w:tcPr>
            <w:tcW w:w="82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-0.039</w:t>
            </w:r>
          </w:p>
        </w:tc>
      </w:tr>
      <w:tr w:rsidR="00EF1D3F" w:rsidRPr="00C15F52" w:rsidTr="00112DBD">
        <w:trPr>
          <w:cantSplit/>
          <w:trHeight w:val="142"/>
          <w:jc w:val="center"/>
        </w:trPr>
        <w:tc>
          <w:tcPr>
            <w:tcW w:w="968" w:type="dxa"/>
            <w:shd w:val="clear" w:color="000000" w:fill="FFFFFF"/>
            <w:vAlign w:val="center"/>
            <w:hideMark/>
          </w:tcPr>
          <w:p w:rsidR="00EF1D3F" w:rsidRPr="00C15F52" w:rsidRDefault="00EF1D3F" w:rsidP="007E1196">
            <w:pPr>
              <w:rPr>
                <w:rFonts w:cs="Times New Roman"/>
                <w:sz w:val="16"/>
                <w:szCs w:val="16"/>
              </w:rPr>
            </w:pPr>
            <w:r>
              <w:rPr>
                <w:rFonts w:cs="Times New Roman"/>
                <w:sz w:val="16"/>
                <w:szCs w:val="16"/>
              </w:rPr>
              <w:t>CGCOM</w:t>
            </w:r>
          </w:p>
        </w:tc>
        <w:tc>
          <w:tcPr>
            <w:tcW w:w="72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-0.003</w:t>
            </w:r>
          </w:p>
        </w:tc>
        <w:tc>
          <w:tcPr>
            <w:tcW w:w="79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0.279</w:t>
            </w:r>
            <w:r w:rsidRPr="00B64F1D">
              <w:rPr>
                <w:rFonts w:eastAsia="Times New Roman" w:cs="Times New Roman"/>
                <w:color w:val="000000"/>
                <w:sz w:val="16"/>
                <w:szCs w:val="16"/>
                <w:vertAlign w:val="superscript"/>
                <w:lang w:eastAsia="en-GB"/>
              </w:rPr>
              <w:t>***</w:t>
            </w:r>
          </w:p>
        </w:tc>
        <w:tc>
          <w:tcPr>
            <w:tcW w:w="950" w:type="dxa"/>
            <w:shd w:val="clear" w:color="000000" w:fill="FFFFFF"/>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-0.048</w:t>
            </w:r>
          </w:p>
        </w:tc>
        <w:tc>
          <w:tcPr>
            <w:tcW w:w="950"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-0.052</w:t>
            </w:r>
            <w:r w:rsidRPr="00526A22">
              <w:rPr>
                <w:rFonts w:eastAsia="Times New Roman" w:cs="Times New Roman"/>
                <w:color w:val="000000"/>
                <w:sz w:val="16"/>
                <w:szCs w:val="16"/>
                <w:vertAlign w:val="superscript"/>
                <w:lang w:eastAsia="en-GB"/>
              </w:rPr>
              <w:t>*</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0.110</w:t>
            </w:r>
            <w:r w:rsidRPr="00526A22">
              <w:rPr>
                <w:rFonts w:eastAsia="Times New Roman" w:cs="Times New Roman"/>
                <w:color w:val="000000"/>
                <w:sz w:val="16"/>
                <w:szCs w:val="16"/>
                <w:vertAlign w:val="superscript"/>
                <w:lang w:eastAsia="en-GB"/>
              </w:rPr>
              <w:t>***</w:t>
            </w:r>
          </w:p>
        </w:tc>
        <w:tc>
          <w:tcPr>
            <w:tcW w:w="952" w:type="dxa"/>
            <w:shd w:val="clear" w:color="000000" w:fill="FFFFFF"/>
            <w:hideMark/>
          </w:tcPr>
          <w:p w:rsidR="00EF1D3F" w:rsidRPr="00C15F52" w:rsidRDefault="00EF1D3F" w:rsidP="007E1196">
            <w:pPr>
              <w:rPr>
                <w:rFonts w:eastAsia="Times New Roman" w:cs="Times New Roman"/>
                <w:color w:val="000000"/>
                <w:sz w:val="16"/>
                <w:szCs w:val="16"/>
                <w:lang w:eastAsia="en-GB"/>
              </w:rPr>
            </w:pP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0.022</w:t>
            </w:r>
          </w:p>
        </w:tc>
        <w:tc>
          <w:tcPr>
            <w:tcW w:w="919"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-0.013</w:t>
            </w:r>
          </w:p>
        </w:tc>
        <w:tc>
          <w:tcPr>
            <w:tcW w:w="94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0.048</w:t>
            </w:r>
          </w:p>
        </w:tc>
        <w:tc>
          <w:tcPr>
            <w:tcW w:w="856"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0.010</w:t>
            </w:r>
          </w:p>
        </w:tc>
        <w:tc>
          <w:tcPr>
            <w:tcW w:w="910"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0.001</w:t>
            </w:r>
          </w:p>
        </w:tc>
        <w:tc>
          <w:tcPr>
            <w:tcW w:w="891"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0.092</w:t>
            </w:r>
            <w:r w:rsidRPr="009645AD">
              <w:rPr>
                <w:rFonts w:eastAsia="Times New Roman" w:cs="Times New Roman"/>
                <w:color w:val="000000"/>
                <w:sz w:val="16"/>
                <w:szCs w:val="16"/>
                <w:vertAlign w:val="superscript"/>
                <w:lang w:eastAsia="en-GB"/>
              </w:rPr>
              <w:t>***</w:t>
            </w:r>
          </w:p>
        </w:tc>
        <w:tc>
          <w:tcPr>
            <w:tcW w:w="80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0.069</w:t>
            </w:r>
            <w:r w:rsidRPr="009645AD">
              <w:rPr>
                <w:rFonts w:eastAsia="Times New Roman" w:cs="Times New Roman"/>
                <w:color w:val="000000"/>
                <w:sz w:val="16"/>
                <w:szCs w:val="16"/>
                <w:vertAlign w:val="superscript"/>
                <w:lang w:eastAsia="en-GB"/>
              </w:rPr>
              <w:t>**</w:t>
            </w:r>
          </w:p>
        </w:tc>
        <w:tc>
          <w:tcPr>
            <w:tcW w:w="919"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0.012</w:t>
            </w:r>
          </w:p>
        </w:tc>
        <w:tc>
          <w:tcPr>
            <w:tcW w:w="82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-0.177</w:t>
            </w:r>
            <w:r w:rsidRPr="00247639">
              <w:rPr>
                <w:rFonts w:eastAsia="Times New Roman" w:cs="Times New Roman"/>
                <w:color w:val="000000"/>
                <w:sz w:val="16"/>
                <w:szCs w:val="16"/>
                <w:vertAlign w:val="superscript"/>
                <w:lang w:eastAsia="en-GB"/>
              </w:rPr>
              <w:t>***</w:t>
            </w:r>
          </w:p>
        </w:tc>
      </w:tr>
      <w:tr w:rsidR="00EF1D3F" w:rsidRPr="00C15F52" w:rsidTr="00112DBD">
        <w:trPr>
          <w:cantSplit/>
          <w:trHeight w:val="142"/>
          <w:jc w:val="center"/>
        </w:trPr>
        <w:tc>
          <w:tcPr>
            <w:tcW w:w="968" w:type="dxa"/>
            <w:shd w:val="clear" w:color="000000" w:fill="FFFFFF"/>
            <w:vAlign w:val="center"/>
            <w:hideMark/>
          </w:tcPr>
          <w:p w:rsidR="00EF1D3F" w:rsidRPr="00C15F52" w:rsidRDefault="00EF1D3F" w:rsidP="007E1196">
            <w:pPr>
              <w:rPr>
                <w:rFonts w:cs="Times New Roman"/>
                <w:sz w:val="16"/>
                <w:szCs w:val="16"/>
              </w:rPr>
            </w:pPr>
            <w:r>
              <w:rPr>
                <w:rFonts w:cs="Times New Roman"/>
                <w:sz w:val="16"/>
                <w:szCs w:val="16"/>
              </w:rPr>
              <w:t>GNDR</w:t>
            </w:r>
          </w:p>
        </w:tc>
        <w:tc>
          <w:tcPr>
            <w:tcW w:w="72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-0.007</w:t>
            </w:r>
          </w:p>
        </w:tc>
        <w:tc>
          <w:tcPr>
            <w:tcW w:w="79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0.079</w:t>
            </w:r>
            <w:r w:rsidRPr="00B64F1D">
              <w:rPr>
                <w:rFonts w:eastAsia="Times New Roman" w:cs="Times New Roman"/>
                <w:color w:val="000000"/>
                <w:sz w:val="16"/>
                <w:szCs w:val="16"/>
                <w:vertAlign w:val="superscript"/>
                <w:lang w:eastAsia="en-GB"/>
              </w:rPr>
              <w:t>***</w:t>
            </w:r>
          </w:p>
        </w:tc>
        <w:tc>
          <w:tcPr>
            <w:tcW w:w="950" w:type="dxa"/>
            <w:shd w:val="clear" w:color="000000" w:fill="FFFFFF"/>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0.094</w:t>
            </w:r>
            <w:r w:rsidRPr="00B64F1D">
              <w:rPr>
                <w:rFonts w:eastAsia="Times New Roman" w:cs="Times New Roman"/>
                <w:color w:val="000000"/>
                <w:sz w:val="16"/>
                <w:szCs w:val="16"/>
                <w:vertAlign w:val="superscript"/>
                <w:lang w:eastAsia="en-GB"/>
              </w:rPr>
              <w:t>***</w:t>
            </w:r>
          </w:p>
        </w:tc>
        <w:tc>
          <w:tcPr>
            <w:tcW w:w="950"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0.006</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0.056</w:t>
            </w:r>
            <w:r w:rsidRPr="00526A22">
              <w:rPr>
                <w:rFonts w:eastAsia="Times New Roman" w:cs="Times New Roman"/>
                <w:color w:val="000000"/>
                <w:sz w:val="16"/>
                <w:szCs w:val="16"/>
                <w:vertAlign w:val="superscript"/>
                <w:lang w:eastAsia="en-GB"/>
              </w:rPr>
              <w:t>*</w:t>
            </w:r>
          </w:p>
        </w:tc>
        <w:tc>
          <w:tcPr>
            <w:tcW w:w="952"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0.022</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p>
        </w:tc>
        <w:tc>
          <w:tcPr>
            <w:tcW w:w="919"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0.054</w:t>
            </w:r>
            <w:r w:rsidRPr="00D940FB">
              <w:rPr>
                <w:rFonts w:eastAsia="Times New Roman" w:cs="Times New Roman"/>
                <w:color w:val="000000"/>
                <w:sz w:val="16"/>
                <w:szCs w:val="16"/>
                <w:vertAlign w:val="superscript"/>
                <w:lang w:eastAsia="en-GB"/>
              </w:rPr>
              <w:t>*</w:t>
            </w:r>
          </w:p>
        </w:tc>
        <w:tc>
          <w:tcPr>
            <w:tcW w:w="94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0.059</w:t>
            </w:r>
            <w:r w:rsidRPr="00D940FB">
              <w:rPr>
                <w:rFonts w:eastAsia="Times New Roman" w:cs="Times New Roman"/>
                <w:color w:val="000000"/>
                <w:sz w:val="16"/>
                <w:szCs w:val="16"/>
                <w:vertAlign w:val="superscript"/>
                <w:lang w:eastAsia="en-GB"/>
              </w:rPr>
              <w:t>**</w:t>
            </w:r>
          </w:p>
        </w:tc>
        <w:tc>
          <w:tcPr>
            <w:tcW w:w="856"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-0.050</w:t>
            </w:r>
            <w:r w:rsidRPr="009645AD">
              <w:rPr>
                <w:rFonts w:eastAsia="Times New Roman" w:cs="Times New Roman"/>
                <w:color w:val="000000"/>
                <w:sz w:val="16"/>
                <w:szCs w:val="16"/>
                <w:vertAlign w:val="superscript"/>
                <w:lang w:eastAsia="en-GB"/>
              </w:rPr>
              <w:t>*</w:t>
            </w:r>
          </w:p>
        </w:tc>
        <w:tc>
          <w:tcPr>
            <w:tcW w:w="910"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0.067</w:t>
            </w:r>
            <w:r w:rsidRPr="009645AD">
              <w:rPr>
                <w:rFonts w:eastAsia="Times New Roman" w:cs="Times New Roman"/>
                <w:color w:val="000000"/>
                <w:sz w:val="16"/>
                <w:szCs w:val="16"/>
                <w:vertAlign w:val="superscript"/>
                <w:lang w:eastAsia="en-GB"/>
              </w:rPr>
              <w:t>**</w:t>
            </w:r>
          </w:p>
        </w:tc>
        <w:tc>
          <w:tcPr>
            <w:tcW w:w="891"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0.110</w:t>
            </w:r>
            <w:r w:rsidRPr="009645AD">
              <w:rPr>
                <w:rFonts w:eastAsia="Times New Roman" w:cs="Times New Roman"/>
                <w:color w:val="000000"/>
                <w:sz w:val="16"/>
                <w:szCs w:val="16"/>
                <w:vertAlign w:val="superscript"/>
                <w:lang w:eastAsia="en-GB"/>
              </w:rPr>
              <w:t>***</w:t>
            </w:r>
          </w:p>
        </w:tc>
        <w:tc>
          <w:tcPr>
            <w:tcW w:w="80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0.045</w:t>
            </w:r>
          </w:p>
        </w:tc>
        <w:tc>
          <w:tcPr>
            <w:tcW w:w="919"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0.017</w:t>
            </w:r>
          </w:p>
        </w:tc>
        <w:tc>
          <w:tcPr>
            <w:tcW w:w="82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0.057</w:t>
            </w:r>
            <w:r w:rsidRPr="00247639">
              <w:rPr>
                <w:rFonts w:eastAsia="Times New Roman" w:cs="Times New Roman"/>
                <w:color w:val="000000"/>
                <w:sz w:val="16"/>
                <w:szCs w:val="16"/>
                <w:vertAlign w:val="superscript"/>
                <w:lang w:eastAsia="en-GB"/>
              </w:rPr>
              <w:t>*</w:t>
            </w:r>
          </w:p>
        </w:tc>
      </w:tr>
      <w:tr w:rsidR="00EF1D3F" w:rsidRPr="00C15F52" w:rsidTr="00112DBD">
        <w:trPr>
          <w:cantSplit/>
          <w:trHeight w:val="142"/>
          <w:jc w:val="center"/>
        </w:trPr>
        <w:tc>
          <w:tcPr>
            <w:tcW w:w="968" w:type="dxa"/>
            <w:shd w:val="clear" w:color="000000" w:fill="FFFFFF"/>
            <w:vAlign w:val="center"/>
            <w:hideMark/>
          </w:tcPr>
          <w:p w:rsidR="00EF1D3F" w:rsidRPr="00C15F52" w:rsidRDefault="00EF1D3F" w:rsidP="007E1196">
            <w:pPr>
              <w:rPr>
                <w:rFonts w:cs="Times New Roman"/>
                <w:sz w:val="16"/>
                <w:szCs w:val="16"/>
              </w:rPr>
            </w:pPr>
            <w:r>
              <w:rPr>
                <w:rFonts w:cs="Times New Roman"/>
                <w:sz w:val="16"/>
                <w:szCs w:val="16"/>
              </w:rPr>
              <w:t>BLKOWN</w:t>
            </w:r>
          </w:p>
        </w:tc>
        <w:tc>
          <w:tcPr>
            <w:tcW w:w="727" w:type="dxa"/>
            <w:shd w:val="clear" w:color="000000" w:fill="FFFFFF"/>
            <w:hideMark/>
          </w:tcPr>
          <w:p w:rsidR="00EF1D3F" w:rsidRPr="00536B4C"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0.002</w:t>
            </w:r>
          </w:p>
        </w:tc>
        <w:tc>
          <w:tcPr>
            <w:tcW w:w="797" w:type="dxa"/>
            <w:shd w:val="clear" w:color="000000" w:fill="FFFFFF"/>
            <w:hideMark/>
          </w:tcPr>
          <w:p w:rsidR="00EF1D3F" w:rsidRPr="00536B4C"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0.068</w:t>
            </w:r>
            <w:r w:rsidRPr="00B64F1D">
              <w:rPr>
                <w:rFonts w:eastAsia="Times New Roman" w:cs="Times New Roman"/>
                <w:color w:val="000000"/>
                <w:sz w:val="16"/>
                <w:szCs w:val="16"/>
                <w:vertAlign w:val="superscript"/>
                <w:lang w:eastAsia="en-GB"/>
              </w:rPr>
              <w:t>**</w:t>
            </w:r>
          </w:p>
        </w:tc>
        <w:tc>
          <w:tcPr>
            <w:tcW w:w="950" w:type="dxa"/>
            <w:shd w:val="clear" w:color="000000" w:fill="FFFFFF"/>
          </w:tcPr>
          <w:p w:rsidR="00EF1D3F" w:rsidRPr="00536B4C"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-0.038</w:t>
            </w:r>
          </w:p>
        </w:tc>
        <w:tc>
          <w:tcPr>
            <w:tcW w:w="950" w:type="dxa"/>
            <w:shd w:val="clear" w:color="000000" w:fill="FFFFFF"/>
            <w:hideMark/>
          </w:tcPr>
          <w:p w:rsidR="00EF1D3F" w:rsidRPr="00536B4C"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-0.272</w:t>
            </w:r>
            <w:r w:rsidRPr="00526A22">
              <w:rPr>
                <w:rFonts w:eastAsia="Times New Roman" w:cs="Times New Roman"/>
                <w:color w:val="000000"/>
                <w:sz w:val="16"/>
                <w:szCs w:val="16"/>
                <w:vertAlign w:val="superscript"/>
                <w:lang w:eastAsia="en-GB"/>
              </w:rPr>
              <w:t>***</w:t>
            </w:r>
          </w:p>
        </w:tc>
        <w:tc>
          <w:tcPr>
            <w:tcW w:w="937" w:type="dxa"/>
            <w:shd w:val="clear" w:color="000000" w:fill="FFFFFF"/>
            <w:hideMark/>
          </w:tcPr>
          <w:p w:rsidR="00EF1D3F" w:rsidRPr="00536B4C"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-0.160</w:t>
            </w:r>
            <w:r w:rsidRPr="00526A22">
              <w:rPr>
                <w:rFonts w:eastAsia="Times New Roman" w:cs="Times New Roman"/>
                <w:color w:val="000000"/>
                <w:sz w:val="16"/>
                <w:szCs w:val="16"/>
                <w:vertAlign w:val="superscript"/>
                <w:lang w:eastAsia="en-GB"/>
              </w:rPr>
              <w:t>***</w:t>
            </w:r>
          </w:p>
        </w:tc>
        <w:tc>
          <w:tcPr>
            <w:tcW w:w="952" w:type="dxa"/>
            <w:shd w:val="clear" w:color="000000" w:fill="FFFFFF"/>
            <w:hideMark/>
          </w:tcPr>
          <w:p w:rsidR="00EF1D3F" w:rsidRPr="00536B4C"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-0.009</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0.051</w:t>
            </w:r>
          </w:p>
        </w:tc>
        <w:tc>
          <w:tcPr>
            <w:tcW w:w="919" w:type="dxa"/>
            <w:shd w:val="clear" w:color="000000" w:fill="FFFFFF"/>
            <w:hideMark/>
          </w:tcPr>
          <w:p w:rsidR="00EF1D3F" w:rsidRPr="00C15F52" w:rsidRDefault="00EF1D3F" w:rsidP="007E1196">
            <w:pPr>
              <w:rPr>
                <w:rFonts w:eastAsia="Times New Roman" w:cs="Times New Roman"/>
                <w:color w:val="000000"/>
                <w:sz w:val="16"/>
                <w:szCs w:val="16"/>
                <w:lang w:eastAsia="en-GB"/>
              </w:rPr>
            </w:pPr>
          </w:p>
        </w:tc>
        <w:tc>
          <w:tcPr>
            <w:tcW w:w="94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0.109</w:t>
            </w:r>
            <w:r w:rsidRPr="00D940FB">
              <w:rPr>
                <w:rFonts w:eastAsia="Times New Roman" w:cs="Times New Roman"/>
                <w:color w:val="000000"/>
                <w:sz w:val="16"/>
                <w:szCs w:val="16"/>
                <w:vertAlign w:val="superscript"/>
                <w:lang w:eastAsia="en-GB"/>
              </w:rPr>
              <w:t>***</w:t>
            </w:r>
          </w:p>
        </w:tc>
        <w:tc>
          <w:tcPr>
            <w:tcW w:w="856"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0.226</w:t>
            </w:r>
            <w:r w:rsidRPr="009645AD">
              <w:rPr>
                <w:rFonts w:eastAsia="Times New Roman" w:cs="Times New Roman"/>
                <w:color w:val="000000"/>
                <w:sz w:val="16"/>
                <w:szCs w:val="16"/>
                <w:vertAlign w:val="superscript"/>
                <w:lang w:eastAsia="en-GB"/>
              </w:rPr>
              <w:t>***</w:t>
            </w:r>
          </w:p>
        </w:tc>
        <w:tc>
          <w:tcPr>
            <w:tcW w:w="910"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0.339</w:t>
            </w:r>
            <w:r w:rsidRPr="009645AD">
              <w:rPr>
                <w:rFonts w:eastAsia="Times New Roman" w:cs="Times New Roman"/>
                <w:color w:val="000000"/>
                <w:sz w:val="16"/>
                <w:szCs w:val="16"/>
                <w:vertAlign w:val="superscript"/>
                <w:lang w:eastAsia="en-GB"/>
              </w:rPr>
              <w:t>***</w:t>
            </w:r>
          </w:p>
        </w:tc>
        <w:tc>
          <w:tcPr>
            <w:tcW w:w="891"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-0.223</w:t>
            </w:r>
            <w:r w:rsidRPr="009645AD">
              <w:rPr>
                <w:rFonts w:eastAsia="Times New Roman" w:cs="Times New Roman"/>
                <w:color w:val="000000"/>
                <w:sz w:val="16"/>
                <w:szCs w:val="16"/>
                <w:vertAlign w:val="superscript"/>
                <w:lang w:eastAsia="en-GB"/>
              </w:rPr>
              <w:t>***</w:t>
            </w:r>
          </w:p>
        </w:tc>
        <w:tc>
          <w:tcPr>
            <w:tcW w:w="80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-0.128</w:t>
            </w:r>
            <w:r w:rsidRPr="009645AD">
              <w:rPr>
                <w:rFonts w:eastAsia="Times New Roman" w:cs="Times New Roman"/>
                <w:color w:val="000000"/>
                <w:sz w:val="16"/>
                <w:szCs w:val="16"/>
                <w:vertAlign w:val="superscript"/>
                <w:lang w:eastAsia="en-GB"/>
              </w:rPr>
              <w:t>***</w:t>
            </w:r>
          </w:p>
        </w:tc>
        <w:tc>
          <w:tcPr>
            <w:tcW w:w="919"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0.053</w:t>
            </w:r>
            <w:r w:rsidRPr="00247639">
              <w:rPr>
                <w:rFonts w:eastAsia="Times New Roman" w:cs="Times New Roman"/>
                <w:color w:val="000000"/>
                <w:sz w:val="16"/>
                <w:szCs w:val="16"/>
                <w:vertAlign w:val="superscript"/>
                <w:lang w:eastAsia="en-GB"/>
              </w:rPr>
              <w:t>*</w:t>
            </w:r>
          </w:p>
        </w:tc>
        <w:tc>
          <w:tcPr>
            <w:tcW w:w="82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0.094</w:t>
            </w:r>
            <w:r w:rsidRPr="00247639">
              <w:rPr>
                <w:rFonts w:eastAsia="Times New Roman" w:cs="Times New Roman"/>
                <w:color w:val="000000"/>
                <w:sz w:val="16"/>
                <w:szCs w:val="16"/>
                <w:vertAlign w:val="superscript"/>
                <w:lang w:eastAsia="en-GB"/>
              </w:rPr>
              <w:t>***</w:t>
            </w:r>
          </w:p>
        </w:tc>
      </w:tr>
      <w:tr w:rsidR="00EF1D3F" w:rsidRPr="00C15F52" w:rsidTr="00112DBD">
        <w:trPr>
          <w:cantSplit/>
          <w:trHeight w:val="142"/>
          <w:jc w:val="center"/>
        </w:trPr>
        <w:tc>
          <w:tcPr>
            <w:tcW w:w="968" w:type="dxa"/>
            <w:shd w:val="clear" w:color="000000" w:fill="FFFFFF"/>
            <w:vAlign w:val="center"/>
            <w:hideMark/>
          </w:tcPr>
          <w:p w:rsidR="00EF1D3F" w:rsidRPr="00C15F52" w:rsidRDefault="00EF1D3F" w:rsidP="007E1196">
            <w:pPr>
              <w:rPr>
                <w:rFonts w:cs="Times New Roman"/>
                <w:sz w:val="16"/>
                <w:szCs w:val="16"/>
              </w:rPr>
            </w:pPr>
            <w:r>
              <w:rPr>
                <w:rFonts w:cs="Times New Roman"/>
                <w:sz w:val="16"/>
                <w:szCs w:val="16"/>
              </w:rPr>
              <w:t>GOVOWN</w:t>
            </w:r>
          </w:p>
        </w:tc>
        <w:tc>
          <w:tcPr>
            <w:tcW w:w="72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-0.027</w:t>
            </w:r>
          </w:p>
        </w:tc>
        <w:tc>
          <w:tcPr>
            <w:tcW w:w="79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0.154</w:t>
            </w:r>
            <w:r w:rsidRPr="00B64F1D">
              <w:rPr>
                <w:rFonts w:eastAsia="Times New Roman" w:cs="Times New Roman"/>
                <w:color w:val="000000"/>
                <w:sz w:val="16"/>
                <w:szCs w:val="16"/>
                <w:vertAlign w:val="superscript"/>
                <w:lang w:eastAsia="en-GB"/>
              </w:rPr>
              <w:t>***</w:t>
            </w:r>
          </w:p>
        </w:tc>
        <w:tc>
          <w:tcPr>
            <w:tcW w:w="950" w:type="dxa"/>
            <w:shd w:val="clear" w:color="000000" w:fill="FFFFFF"/>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0.007</w:t>
            </w:r>
          </w:p>
        </w:tc>
        <w:tc>
          <w:tcPr>
            <w:tcW w:w="950"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0.101</w:t>
            </w:r>
            <w:r w:rsidRPr="00526A22">
              <w:rPr>
                <w:rFonts w:eastAsia="Times New Roman" w:cs="Times New Roman"/>
                <w:color w:val="000000"/>
                <w:sz w:val="16"/>
                <w:szCs w:val="16"/>
                <w:vertAlign w:val="superscript"/>
                <w:lang w:eastAsia="en-GB"/>
              </w:rPr>
              <w:t>***</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0.062</w:t>
            </w:r>
            <w:r w:rsidRPr="00526A22">
              <w:rPr>
                <w:rFonts w:eastAsia="Times New Roman" w:cs="Times New Roman"/>
                <w:color w:val="000000"/>
                <w:sz w:val="16"/>
                <w:szCs w:val="16"/>
                <w:vertAlign w:val="superscript"/>
                <w:lang w:eastAsia="en-GB"/>
              </w:rPr>
              <w:t>**</w:t>
            </w:r>
          </w:p>
        </w:tc>
        <w:tc>
          <w:tcPr>
            <w:tcW w:w="952"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0.048</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0.059</w:t>
            </w:r>
            <w:r w:rsidRPr="00D940FB">
              <w:rPr>
                <w:rFonts w:eastAsia="Times New Roman" w:cs="Times New Roman"/>
                <w:color w:val="000000"/>
                <w:sz w:val="16"/>
                <w:szCs w:val="16"/>
                <w:vertAlign w:val="superscript"/>
                <w:lang w:eastAsia="en-GB"/>
              </w:rPr>
              <w:t>**</w:t>
            </w:r>
          </w:p>
        </w:tc>
        <w:tc>
          <w:tcPr>
            <w:tcW w:w="919"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0.118</w:t>
            </w:r>
            <w:r w:rsidRPr="00D940FB">
              <w:rPr>
                <w:rFonts w:eastAsia="Times New Roman" w:cs="Times New Roman"/>
                <w:color w:val="000000"/>
                <w:sz w:val="16"/>
                <w:szCs w:val="16"/>
                <w:vertAlign w:val="superscript"/>
                <w:lang w:eastAsia="en-GB"/>
              </w:rPr>
              <w:t>***</w:t>
            </w:r>
          </w:p>
        </w:tc>
        <w:tc>
          <w:tcPr>
            <w:tcW w:w="945" w:type="dxa"/>
            <w:shd w:val="clear" w:color="000000" w:fill="FFFFFF"/>
            <w:hideMark/>
          </w:tcPr>
          <w:p w:rsidR="00EF1D3F" w:rsidRPr="00C15F52" w:rsidRDefault="00EF1D3F" w:rsidP="007E1196">
            <w:pPr>
              <w:rPr>
                <w:rFonts w:eastAsia="Times New Roman" w:cs="Times New Roman"/>
                <w:color w:val="000000"/>
                <w:sz w:val="16"/>
                <w:szCs w:val="16"/>
                <w:lang w:eastAsia="en-GB"/>
              </w:rPr>
            </w:pPr>
          </w:p>
        </w:tc>
        <w:tc>
          <w:tcPr>
            <w:tcW w:w="856"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-0.031</w:t>
            </w:r>
          </w:p>
        </w:tc>
        <w:tc>
          <w:tcPr>
            <w:tcW w:w="910"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0.047</w:t>
            </w:r>
          </w:p>
        </w:tc>
        <w:tc>
          <w:tcPr>
            <w:tcW w:w="891"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0.154</w:t>
            </w:r>
            <w:r w:rsidRPr="009645AD">
              <w:rPr>
                <w:rFonts w:eastAsia="Times New Roman" w:cs="Times New Roman"/>
                <w:color w:val="000000"/>
                <w:sz w:val="16"/>
                <w:szCs w:val="16"/>
                <w:vertAlign w:val="superscript"/>
                <w:lang w:eastAsia="en-GB"/>
              </w:rPr>
              <w:t>***</w:t>
            </w:r>
          </w:p>
        </w:tc>
        <w:tc>
          <w:tcPr>
            <w:tcW w:w="80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0.206</w:t>
            </w:r>
            <w:r w:rsidRPr="009645AD">
              <w:rPr>
                <w:rFonts w:eastAsia="Times New Roman" w:cs="Times New Roman"/>
                <w:color w:val="000000"/>
                <w:sz w:val="16"/>
                <w:szCs w:val="16"/>
                <w:vertAlign w:val="superscript"/>
                <w:lang w:eastAsia="en-GB"/>
              </w:rPr>
              <w:t>***</w:t>
            </w:r>
          </w:p>
        </w:tc>
        <w:tc>
          <w:tcPr>
            <w:tcW w:w="919"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-0.114</w:t>
            </w:r>
            <w:r w:rsidRPr="00247639">
              <w:rPr>
                <w:rFonts w:eastAsia="Times New Roman" w:cs="Times New Roman"/>
                <w:color w:val="000000"/>
                <w:sz w:val="16"/>
                <w:szCs w:val="16"/>
                <w:vertAlign w:val="superscript"/>
                <w:lang w:eastAsia="en-GB"/>
              </w:rPr>
              <w:t>***</w:t>
            </w:r>
          </w:p>
        </w:tc>
        <w:tc>
          <w:tcPr>
            <w:tcW w:w="82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-0.118</w:t>
            </w:r>
            <w:r w:rsidRPr="00247639">
              <w:rPr>
                <w:rFonts w:eastAsia="Times New Roman" w:cs="Times New Roman"/>
                <w:color w:val="000000"/>
                <w:sz w:val="16"/>
                <w:szCs w:val="16"/>
                <w:vertAlign w:val="superscript"/>
                <w:lang w:eastAsia="en-GB"/>
              </w:rPr>
              <w:t>***</w:t>
            </w:r>
          </w:p>
        </w:tc>
      </w:tr>
      <w:tr w:rsidR="00EF1D3F" w:rsidRPr="00C15F52" w:rsidTr="00112DBD">
        <w:trPr>
          <w:cantSplit/>
          <w:trHeight w:val="142"/>
          <w:jc w:val="center"/>
        </w:trPr>
        <w:tc>
          <w:tcPr>
            <w:tcW w:w="968" w:type="dxa"/>
            <w:shd w:val="clear" w:color="000000" w:fill="FFFFFF"/>
            <w:vAlign w:val="center"/>
            <w:hideMark/>
          </w:tcPr>
          <w:p w:rsidR="00EF1D3F" w:rsidRPr="00C15F52" w:rsidRDefault="00EF1D3F" w:rsidP="007E1196">
            <w:pPr>
              <w:rPr>
                <w:rFonts w:cs="Times New Roman"/>
                <w:sz w:val="16"/>
                <w:szCs w:val="16"/>
              </w:rPr>
            </w:pPr>
            <w:r>
              <w:rPr>
                <w:rFonts w:cs="Times New Roman"/>
                <w:sz w:val="16"/>
                <w:szCs w:val="16"/>
              </w:rPr>
              <w:t>INSOWN</w:t>
            </w:r>
          </w:p>
        </w:tc>
        <w:tc>
          <w:tcPr>
            <w:tcW w:w="72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0.006</w:t>
            </w:r>
          </w:p>
        </w:tc>
        <w:tc>
          <w:tcPr>
            <w:tcW w:w="79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0.029</w:t>
            </w:r>
          </w:p>
        </w:tc>
        <w:tc>
          <w:tcPr>
            <w:tcW w:w="950" w:type="dxa"/>
            <w:shd w:val="clear" w:color="000000" w:fill="FFFFFF"/>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-0.043</w:t>
            </w:r>
          </w:p>
        </w:tc>
        <w:tc>
          <w:tcPr>
            <w:tcW w:w="950"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-0.045</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-0.011</w:t>
            </w:r>
          </w:p>
        </w:tc>
        <w:tc>
          <w:tcPr>
            <w:tcW w:w="952"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0.016</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-0.019</w:t>
            </w:r>
          </w:p>
        </w:tc>
        <w:tc>
          <w:tcPr>
            <w:tcW w:w="919"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0.314</w:t>
            </w:r>
            <w:r w:rsidRPr="00D940FB">
              <w:rPr>
                <w:rFonts w:eastAsia="Times New Roman" w:cs="Times New Roman"/>
                <w:color w:val="000000"/>
                <w:sz w:val="16"/>
                <w:szCs w:val="16"/>
                <w:vertAlign w:val="superscript"/>
                <w:lang w:eastAsia="en-GB"/>
              </w:rPr>
              <w:t>***</w:t>
            </w:r>
          </w:p>
        </w:tc>
        <w:tc>
          <w:tcPr>
            <w:tcW w:w="94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-0.062</w:t>
            </w:r>
            <w:r w:rsidRPr="00D940FB">
              <w:rPr>
                <w:rFonts w:eastAsia="Times New Roman" w:cs="Times New Roman"/>
                <w:color w:val="000000"/>
                <w:sz w:val="16"/>
                <w:szCs w:val="16"/>
                <w:vertAlign w:val="superscript"/>
                <w:lang w:eastAsia="en-GB"/>
              </w:rPr>
              <w:t>**</w:t>
            </w:r>
          </w:p>
        </w:tc>
        <w:tc>
          <w:tcPr>
            <w:tcW w:w="856" w:type="dxa"/>
            <w:shd w:val="clear" w:color="000000" w:fill="FFFFFF"/>
            <w:hideMark/>
          </w:tcPr>
          <w:p w:rsidR="00EF1D3F" w:rsidRPr="00C15F52" w:rsidRDefault="00EF1D3F" w:rsidP="007E1196">
            <w:pPr>
              <w:rPr>
                <w:rFonts w:eastAsia="Times New Roman" w:cs="Times New Roman"/>
                <w:color w:val="000000"/>
                <w:sz w:val="16"/>
                <w:szCs w:val="16"/>
                <w:lang w:eastAsia="en-GB"/>
              </w:rPr>
            </w:pPr>
          </w:p>
        </w:tc>
        <w:tc>
          <w:tcPr>
            <w:tcW w:w="910"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-0.029</w:t>
            </w:r>
          </w:p>
        </w:tc>
        <w:tc>
          <w:tcPr>
            <w:tcW w:w="891"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-0.163</w:t>
            </w:r>
            <w:r w:rsidRPr="009645AD">
              <w:rPr>
                <w:rFonts w:eastAsia="Times New Roman" w:cs="Times New Roman"/>
                <w:color w:val="000000"/>
                <w:sz w:val="16"/>
                <w:szCs w:val="16"/>
                <w:vertAlign w:val="superscript"/>
                <w:lang w:eastAsia="en-GB"/>
              </w:rPr>
              <w:t>***</w:t>
            </w:r>
          </w:p>
        </w:tc>
        <w:tc>
          <w:tcPr>
            <w:tcW w:w="80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0.035</w:t>
            </w:r>
          </w:p>
        </w:tc>
        <w:tc>
          <w:tcPr>
            <w:tcW w:w="919"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-0.036</w:t>
            </w:r>
          </w:p>
        </w:tc>
        <w:tc>
          <w:tcPr>
            <w:tcW w:w="82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0.044</w:t>
            </w:r>
          </w:p>
        </w:tc>
      </w:tr>
      <w:tr w:rsidR="00EF1D3F" w:rsidRPr="00C15F52" w:rsidTr="00112DBD">
        <w:trPr>
          <w:cantSplit/>
          <w:trHeight w:val="142"/>
          <w:jc w:val="center"/>
        </w:trPr>
        <w:tc>
          <w:tcPr>
            <w:tcW w:w="968" w:type="dxa"/>
            <w:shd w:val="clear" w:color="000000" w:fill="FFFFFF"/>
            <w:vAlign w:val="center"/>
            <w:hideMark/>
          </w:tcPr>
          <w:p w:rsidR="00EF1D3F" w:rsidRPr="00C15F52" w:rsidRDefault="00EF1D3F" w:rsidP="007E1196">
            <w:pPr>
              <w:rPr>
                <w:rFonts w:cs="Times New Roman"/>
                <w:sz w:val="16"/>
                <w:szCs w:val="16"/>
              </w:rPr>
            </w:pPr>
            <w:r>
              <w:rPr>
                <w:rFonts w:cs="Times New Roman"/>
                <w:sz w:val="16"/>
                <w:szCs w:val="16"/>
              </w:rPr>
              <w:t>FOROWN</w:t>
            </w:r>
          </w:p>
        </w:tc>
        <w:tc>
          <w:tcPr>
            <w:tcW w:w="72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0.005</w:t>
            </w:r>
          </w:p>
        </w:tc>
        <w:tc>
          <w:tcPr>
            <w:tcW w:w="79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0.072</w:t>
            </w:r>
            <w:r w:rsidRPr="00B64F1D">
              <w:rPr>
                <w:rFonts w:eastAsia="Times New Roman" w:cs="Times New Roman"/>
                <w:color w:val="000000"/>
                <w:sz w:val="16"/>
                <w:szCs w:val="16"/>
                <w:vertAlign w:val="superscript"/>
                <w:lang w:eastAsia="en-GB"/>
              </w:rPr>
              <w:t>**</w:t>
            </w:r>
          </w:p>
        </w:tc>
        <w:tc>
          <w:tcPr>
            <w:tcW w:w="950" w:type="dxa"/>
            <w:shd w:val="clear" w:color="000000" w:fill="FFFFFF"/>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0.053</w:t>
            </w:r>
            <w:r w:rsidRPr="00B64F1D">
              <w:rPr>
                <w:rFonts w:eastAsia="Times New Roman" w:cs="Times New Roman"/>
                <w:color w:val="000000"/>
                <w:sz w:val="16"/>
                <w:szCs w:val="16"/>
                <w:vertAlign w:val="superscript"/>
                <w:lang w:eastAsia="en-GB"/>
              </w:rPr>
              <w:t>*</w:t>
            </w:r>
          </w:p>
        </w:tc>
        <w:tc>
          <w:tcPr>
            <w:tcW w:w="950"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-0.044</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-0.007</w:t>
            </w:r>
          </w:p>
        </w:tc>
        <w:tc>
          <w:tcPr>
            <w:tcW w:w="952"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0.019</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0.057</w:t>
            </w:r>
            <w:r w:rsidRPr="00D940FB">
              <w:rPr>
                <w:rFonts w:eastAsia="Times New Roman" w:cs="Times New Roman"/>
                <w:color w:val="000000"/>
                <w:sz w:val="16"/>
                <w:szCs w:val="16"/>
                <w:vertAlign w:val="superscript"/>
                <w:lang w:eastAsia="en-GB"/>
              </w:rPr>
              <w:t>**</w:t>
            </w:r>
          </w:p>
        </w:tc>
        <w:tc>
          <w:tcPr>
            <w:tcW w:w="919"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0.355</w:t>
            </w:r>
            <w:r w:rsidRPr="00D940FB">
              <w:rPr>
                <w:rFonts w:eastAsia="Times New Roman" w:cs="Times New Roman"/>
                <w:color w:val="000000"/>
                <w:sz w:val="16"/>
                <w:szCs w:val="16"/>
                <w:vertAlign w:val="superscript"/>
                <w:lang w:eastAsia="en-GB"/>
              </w:rPr>
              <w:t>***</w:t>
            </w:r>
          </w:p>
        </w:tc>
        <w:tc>
          <w:tcPr>
            <w:tcW w:w="94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0.038</w:t>
            </w:r>
          </w:p>
        </w:tc>
        <w:tc>
          <w:tcPr>
            <w:tcW w:w="856"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-0.150</w:t>
            </w:r>
            <w:r w:rsidRPr="00D940FB">
              <w:rPr>
                <w:rFonts w:eastAsia="Times New Roman" w:cs="Times New Roman"/>
                <w:color w:val="000000"/>
                <w:sz w:val="16"/>
                <w:szCs w:val="16"/>
                <w:vertAlign w:val="superscript"/>
                <w:lang w:eastAsia="en-GB"/>
              </w:rPr>
              <w:t>***</w:t>
            </w:r>
          </w:p>
        </w:tc>
        <w:tc>
          <w:tcPr>
            <w:tcW w:w="910" w:type="dxa"/>
            <w:shd w:val="clear" w:color="000000" w:fill="FFFFFF"/>
          </w:tcPr>
          <w:p w:rsidR="00EF1D3F" w:rsidRPr="00C15F52" w:rsidRDefault="00EF1D3F" w:rsidP="007E1196">
            <w:pPr>
              <w:rPr>
                <w:rFonts w:eastAsia="Times New Roman" w:cs="Times New Roman"/>
                <w:color w:val="000000"/>
                <w:sz w:val="16"/>
                <w:szCs w:val="16"/>
                <w:lang w:eastAsia="en-GB"/>
              </w:rPr>
            </w:pPr>
          </w:p>
        </w:tc>
        <w:tc>
          <w:tcPr>
            <w:tcW w:w="891"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0.140</w:t>
            </w:r>
            <w:r w:rsidRPr="009645AD">
              <w:rPr>
                <w:rFonts w:eastAsia="Times New Roman" w:cs="Times New Roman"/>
                <w:color w:val="000000"/>
                <w:sz w:val="16"/>
                <w:szCs w:val="16"/>
                <w:vertAlign w:val="superscript"/>
                <w:lang w:eastAsia="en-GB"/>
              </w:rPr>
              <w:t>***</w:t>
            </w:r>
          </w:p>
        </w:tc>
        <w:tc>
          <w:tcPr>
            <w:tcW w:w="80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0.005</w:t>
            </w:r>
          </w:p>
        </w:tc>
        <w:tc>
          <w:tcPr>
            <w:tcW w:w="919"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-0.128</w:t>
            </w:r>
            <w:r w:rsidRPr="00247639">
              <w:rPr>
                <w:rFonts w:eastAsia="Times New Roman" w:cs="Times New Roman"/>
                <w:color w:val="000000"/>
                <w:sz w:val="16"/>
                <w:szCs w:val="16"/>
                <w:vertAlign w:val="superscript"/>
                <w:lang w:eastAsia="en-GB"/>
              </w:rPr>
              <w:t>***</w:t>
            </w:r>
          </w:p>
        </w:tc>
        <w:tc>
          <w:tcPr>
            <w:tcW w:w="82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0.021</w:t>
            </w:r>
          </w:p>
        </w:tc>
      </w:tr>
      <w:tr w:rsidR="00EF1D3F" w:rsidRPr="00C15F52" w:rsidTr="00112DBD">
        <w:trPr>
          <w:cantSplit/>
          <w:trHeight w:val="142"/>
          <w:jc w:val="center"/>
        </w:trPr>
        <w:tc>
          <w:tcPr>
            <w:tcW w:w="968" w:type="dxa"/>
            <w:shd w:val="clear" w:color="000000" w:fill="FFFFFF"/>
            <w:vAlign w:val="center"/>
            <w:hideMark/>
          </w:tcPr>
          <w:p w:rsidR="00EF1D3F" w:rsidRPr="00C15F52" w:rsidRDefault="00EF1D3F" w:rsidP="007E1196">
            <w:pPr>
              <w:rPr>
                <w:rFonts w:cs="Times New Roman"/>
                <w:sz w:val="16"/>
                <w:szCs w:val="16"/>
              </w:rPr>
            </w:pPr>
            <w:r>
              <w:rPr>
                <w:rFonts w:cs="Times New Roman"/>
                <w:sz w:val="16"/>
                <w:szCs w:val="16"/>
              </w:rPr>
              <w:t>LNTA</w:t>
            </w:r>
          </w:p>
        </w:tc>
        <w:tc>
          <w:tcPr>
            <w:tcW w:w="72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-0.009</w:t>
            </w:r>
          </w:p>
        </w:tc>
        <w:tc>
          <w:tcPr>
            <w:tcW w:w="79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0.275</w:t>
            </w:r>
            <w:r w:rsidRPr="00B64F1D">
              <w:rPr>
                <w:rFonts w:eastAsia="Times New Roman" w:cs="Times New Roman"/>
                <w:color w:val="000000"/>
                <w:sz w:val="16"/>
                <w:szCs w:val="16"/>
                <w:vertAlign w:val="superscript"/>
                <w:lang w:eastAsia="en-GB"/>
              </w:rPr>
              <w:t>***</w:t>
            </w:r>
          </w:p>
        </w:tc>
        <w:tc>
          <w:tcPr>
            <w:tcW w:w="950" w:type="dxa"/>
            <w:shd w:val="clear" w:color="000000" w:fill="FFFFFF"/>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0.244</w:t>
            </w:r>
            <w:r w:rsidRPr="00B64F1D">
              <w:rPr>
                <w:rFonts w:eastAsia="Times New Roman" w:cs="Times New Roman"/>
                <w:color w:val="000000"/>
                <w:sz w:val="16"/>
                <w:szCs w:val="16"/>
                <w:vertAlign w:val="superscript"/>
                <w:lang w:eastAsia="en-GB"/>
              </w:rPr>
              <w:t>***</w:t>
            </w:r>
          </w:p>
        </w:tc>
        <w:tc>
          <w:tcPr>
            <w:tcW w:w="950"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0.441</w:t>
            </w:r>
            <w:r w:rsidRPr="00526A22">
              <w:rPr>
                <w:rFonts w:eastAsia="Times New Roman" w:cs="Times New Roman"/>
                <w:color w:val="000000"/>
                <w:sz w:val="16"/>
                <w:szCs w:val="16"/>
                <w:vertAlign w:val="superscript"/>
                <w:lang w:eastAsia="en-GB"/>
              </w:rPr>
              <w:t>***</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0.369</w:t>
            </w:r>
            <w:r w:rsidRPr="00526A22">
              <w:rPr>
                <w:rFonts w:eastAsia="Times New Roman" w:cs="Times New Roman"/>
                <w:color w:val="000000"/>
                <w:sz w:val="16"/>
                <w:szCs w:val="16"/>
                <w:vertAlign w:val="superscript"/>
                <w:lang w:eastAsia="en-GB"/>
              </w:rPr>
              <w:t>***</w:t>
            </w:r>
          </w:p>
        </w:tc>
        <w:tc>
          <w:tcPr>
            <w:tcW w:w="952"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0.069</w:t>
            </w:r>
            <w:r w:rsidRPr="00D940FB">
              <w:rPr>
                <w:rFonts w:eastAsia="Times New Roman" w:cs="Times New Roman"/>
                <w:color w:val="000000"/>
                <w:sz w:val="16"/>
                <w:szCs w:val="16"/>
                <w:vertAlign w:val="superscript"/>
                <w:lang w:eastAsia="en-GB"/>
              </w:rPr>
              <w:t>**</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0.113</w:t>
            </w:r>
            <w:r w:rsidRPr="00D940FB">
              <w:rPr>
                <w:rFonts w:eastAsia="Times New Roman" w:cs="Times New Roman"/>
                <w:color w:val="000000"/>
                <w:sz w:val="16"/>
                <w:szCs w:val="16"/>
                <w:vertAlign w:val="superscript"/>
                <w:lang w:eastAsia="en-GB"/>
              </w:rPr>
              <w:t>***</w:t>
            </w:r>
          </w:p>
        </w:tc>
        <w:tc>
          <w:tcPr>
            <w:tcW w:w="919"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-0.206</w:t>
            </w:r>
            <w:r w:rsidRPr="00D940FB">
              <w:rPr>
                <w:rFonts w:eastAsia="Times New Roman" w:cs="Times New Roman"/>
                <w:color w:val="000000"/>
                <w:sz w:val="16"/>
                <w:szCs w:val="16"/>
                <w:vertAlign w:val="superscript"/>
                <w:lang w:eastAsia="en-GB"/>
              </w:rPr>
              <w:t>***</w:t>
            </w:r>
          </w:p>
        </w:tc>
        <w:tc>
          <w:tcPr>
            <w:tcW w:w="94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0.169</w:t>
            </w:r>
            <w:r w:rsidRPr="00D940FB">
              <w:rPr>
                <w:rFonts w:eastAsia="Times New Roman" w:cs="Times New Roman"/>
                <w:color w:val="000000"/>
                <w:sz w:val="16"/>
                <w:szCs w:val="16"/>
                <w:vertAlign w:val="superscript"/>
                <w:lang w:eastAsia="en-GB"/>
              </w:rPr>
              <w:t>***</w:t>
            </w:r>
          </w:p>
        </w:tc>
        <w:tc>
          <w:tcPr>
            <w:tcW w:w="856"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-0.187</w:t>
            </w:r>
            <w:r w:rsidRPr="009645AD">
              <w:rPr>
                <w:rFonts w:eastAsia="Times New Roman" w:cs="Times New Roman"/>
                <w:color w:val="000000"/>
                <w:sz w:val="16"/>
                <w:szCs w:val="16"/>
                <w:vertAlign w:val="superscript"/>
                <w:lang w:eastAsia="en-GB"/>
              </w:rPr>
              <w:t>***</w:t>
            </w:r>
          </w:p>
        </w:tc>
        <w:tc>
          <w:tcPr>
            <w:tcW w:w="910"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0.087</w:t>
            </w:r>
            <w:r w:rsidRPr="009645AD">
              <w:rPr>
                <w:rFonts w:eastAsia="Times New Roman" w:cs="Times New Roman"/>
                <w:color w:val="000000"/>
                <w:sz w:val="16"/>
                <w:szCs w:val="16"/>
                <w:vertAlign w:val="superscript"/>
                <w:lang w:eastAsia="en-GB"/>
              </w:rPr>
              <w:t>***</w:t>
            </w:r>
          </w:p>
        </w:tc>
        <w:tc>
          <w:tcPr>
            <w:tcW w:w="891" w:type="dxa"/>
            <w:shd w:val="clear" w:color="000000" w:fill="FFFFFF"/>
          </w:tcPr>
          <w:p w:rsidR="00EF1D3F" w:rsidRPr="00C15F52" w:rsidRDefault="00EF1D3F" w:rsidP="007E1196">
            <w:pPr>
              <w:rPr>
                <w:rFonts w:eastAsia="Times New Roman" w:cs="Times New Roman"/>
                <w:color w:val="000000"/>
                <w:sz w:val="16"/>
                <w:szCs w:val="16"/>
                <w:lang w:eastAsia="en-GB"/>
              </w:rPr>
            </w:pPr>
          </w:p>
        </w:tc>
        <w:tc>
          <w:tcPr>
            <w:tcW w:w="80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0.179</w:t>
            </w:r>
            <w:r w:rsidRPr="009645AD">
              <w:rPr>
                <w:rFonts w:eastAsia="Times New Roman" w:cs="Times New Roman"/>
                <w:color w:val="000000"/>
                <w:sz w:val="16"/>
                <w:szCs w:val="16"/>
                <w:vertAlign w:val="superscript"/>
                <w:lang w:eastAsia="en-GB"/>
              </w:rPr>
              <w:t>***</w:t>
            </w:r>
          </w:p>
        </w:tc>
        <w:tc>
          <w:tcPr>
            <w:tcW w:w="919"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-0.149</w:t>
            </w:r>
            <w:r w:rsidRPr="00247639">
              <w:rPr>
                <w:rFonts w:eastAsia="Times New Roman" w:cs="Times New Roman"/>
                <w:color w:val="000000"/>
                <w:sz w:val="16"/>
                <w:szCs w:val="16"/>
                <w:vertAlign w:val="superscript"/>
                <w:lang w:eastAsia="en-GB"/>
              </w:rPr>
              <w:t>***</w:t>
            </w:r>
          </w:p>
        </w:tc>
        <w:tc>
          <w:tcPr>
            <w:tcW w:w="82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0.044</w:t>
            </w:r>
          </w:p>
        </w:tc>
      </w:tr>
      <w:tr w:rsidR="00EF1D3F" w:rsidRPr="00C15F52" w:rsidTr="00112DBD">
        <w:trPr>
          <w:cantSplit/>
          <w:trHeight w:val="142"/>
          <w:jc w:val="center"/>
        </w:trPr>
        <w:tc>
          <w:tcPr>
            <w:tcW w:w="968" w:type="dxa"/>
            <w:shd w:val="clear" w:color="000000" w:fill="FFFFFF"/>
            <w:vAlign w:val="center"/>
            <w:hideMark/>
          </w:tcPr>
          <w:p w:rsidR="00EF1D3F" w:rsidRPr="00C15F52" w:rsidRDefault="00EF1D3F" w:rsidP="007E1196">
            <w:pPr>
              <w:rPr>
                <w:rFonts w:cs="Times New Roman"/>
                <w:sz w:val="16"/>
                <w:szCs w:val="16"/>
              </w:rPr>
            </w:pPr>
            <w:r>
              <w:rPr>
                <w:rFonts w:cs="Times New Roman"/>
                <w:sz w:val="16"/>
                <w:szCs w:val="16"/>
              </w:rPr>
              <w:t>ROA</w:t>
            </w:r>
          </w:p>
        </w:tc>
        <w:tc>
          <w:tcPr>
            <w:tcW w:w="72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0.285</w:t>
            </w:r>
            <w:r w:rsidRPr="00B64F1D">
              <w:rPr>
                <w:rFonts w:eastAsia="Times New Roman" w:cs="Times New Roman"/>
                <w:color w:val="000000"/>
                <w:sz w:val="16"/>
                <w:szCs w:val="16"/>
                <w:vertAlign w:val="superscript"/>
                <w:lang w:eastAsia="en-GB"/>
              </w:rPr>
              <w:t>***</w:t>
            </w:r>
          </w:p>
        </w:tc>
        <w:tc>
          <w:tcPr>
            <w:tcW w:w="79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0.180</w:t>
            </w:r>
            <w:r w:rsidRPr="00B64F1D">
              <w:rPr>
                <w:rFonts w:eastAsia="Times New Roman" w:cs="Times New Roman"/>
                <w:color w:val="000000"/>
                <w:sz w:val="16"/>
                <w:szCs w:val="16"/>
                <w:vertAlign w:val="superscript"/>
                <w:lang w:eastAsia="en-GB"/>
              </w:rPr>
              <w:t>***</w:t>
            </w:r>
          </w:p>
        </w:tc>
        <w:tc>
          <w:tcPr>
            <w:tcW w:w="950" w:type="dxa"/>
            <w:shd w:val="clear" w:color="000000" w:fill="FFFFFF"/>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-0.045</w:t>
            </w:r>
          </w:p>
        </w:tc>
        <w:tc>
          <w:tcPr>
            <w:tcW w:w="950"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0.080</w:t>
            </w:r>
            <w:r w:rsidRPr="00526A22">
              <w:rPr>
                <w:rFonts w:eastAsia="Times New Roman" w:cs="Times New Roman"/>
                <w:color w:val="000000"/>
                <w:sz w:val="16"/>
                <w:szCs w:val="16"/>
                <w:vertAlign w:val="superscript"/>
                <w:lang w:eastAsia="en-GB"/>
              </w:rPr>
              <w:t>***</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0.101</w:t>
            </w:r>
            <w:r w:rsidRPr="00526A22">
              <w:rPr>
                <w:rFonts w:eastAsia="Times New Roman" w:cs="Times New Roman"/>
                <w:color w:val="000000"/>
                <w:sz w:val="16"/>
                <w:szCs w:val="16"/>
                <w:vertAlign w:val="superscript"/>
                <w:lang w:eastAsia="en-GB"/>
              </w:rPr>
              <w:t>***</w:t>
            </w:r>
          </w:p>
        </w:tc>
        <w:tc>
          <w:tcPr>
            <w:tcW w:w="952"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0.064</w:t>
            </w:r>
            <w:r w:rsidRPr="00D940FB">
              <w:rPr>
                <w:rFonts w:eastAsia="Times New Roman" w:cs="Times New Roman"/>
                <w:color w:val="000000"/>
                <w:sz w:val="16"/>
                <w:szCs w:val="16"/>
                <w:vertAlign w:val="superscript"/>
                <w:lang w:eastAsia="en-GB"/>
              </w:rPr>
              <w:t>**</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0.057</w:t>
            </w:r>
            <w:r w:rsidRPr="00D940FB">
              <w:rPr>
                <w:rFonts w:eastAsia="Times New Roman" w:cs="Times New Roman"/>
                <w:color w:val="000000"/>
                <w:sz w:val="16"/>
                <w:szCs w:val="16"/>
                <w:vertAlign w:val="superscript"/>
                <w:lang w:eastAsia="en-GB"/>
              </w:rPr>
              <w:t>*</w:t>
            </w:r>
          </w:p>
        </w:tc>
        <w:tc>
          <w:tcPr>
            <w:tcW w:w="919"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-0.114</w:t>
            </w:r>
            <w:r w:rsidRPr="00D940FB">
              <w:rPr>
                <w:rFonts w:eastAsia="Times New Roman" w:cs="Times New Roman"/>
                <w:color w:val="000000"/>
                <w:sz w:val="16"/>
                <w:szCs w:val="16"/>
                <w:vertAlign w:val="superscript"/>
                <w:lang w:eastAsia="en-GB"/>
              </w:rPr>
              <w:t>***</w:t>
            </w:r>
          </w:p>
        </w:tc>
        <w:tc>
          <w:tcPr>
            <w:tcW w:w="94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0.207</w:t>
            </w:r>
            <w:r w:rsidRPr="00D940FB">
              <w:rPr>
                <w:rFonts w:eastAsia="Times New Roman" w:cs="Times New Roman"/>
                <w:color w:val="000000"/>
                <w:sz w:val="16"/>
                <w:szCs w:val="16"/>
                <w:vertAlign w:val="superscript"/>
                <w:lang w:eastAsia="en-GB"/>
              </w:rPr>
              <w:t>***</w:t>
            </w:r>
          </w:p>
        </w:tc>
        <w:tc>
          <w:tcPr>
            <w:tcW w:w="856"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0.024</w:t>
            </w:r>
          </w:p>
        </w:tc>
        <w:tc>
          <w:tcPr>
            <w:tcW w:w="910"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-0.041</w:t>
            </w:r>
          </w:p>
        </w:tc>
        <w:tc>
          <w:tcPr>
            <w:tcW w:w="891"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0.170</w:t>
            </w:r>
            <w:r w:rsidRPr="009645AD">
              <w:rPr>
                <w:rFonts w:eastAsia="Times New Roman" w:cs="Times New Roman"/>
                <w:color w:val="000000"/>
                <w:sz w:val="16"/>
                <w:szCs w:val="16"/>
                <w:vertAlign w:val="superscript"/>
                <w:lang w:eastAsia="en-GB"/>
              </w:rPr>
              <w:t>***</w:t>
            </w:r>
          </w:p>
        </w:tc>
        <w:tc>
          <w:tcPr>
            <w:tcW w:w="807" w:type="dxa"/>
            <w:shd w:val="clear" w:color="000000" w:fill="FFFFFF"/>
            <w:hideMark/>
          </w:tcPr>
          <w:p w:rsidR="00EF1D3F" w:rsidRPr="00C15F52" w:rsidRDefault="00EF1D3F" w:rsidP="007E1196">
            <w:pPr>
              <w:rPr>
                <w:rFonts w:eastAsia="Times New Roman" w:cs="Times New Roman"/>
                <w:color w:val="000000"/>
                <w:sz w:val="16"/>
                <w:szCs w:val="16"/>
                <w:lang w:eastAsia="en-GB"/>
              </w:rPr>
            </w:pPr>
          </w:p>
        </w:tc>
        <w:tc>
          <w:tcPr>
            <w:tcW w:w="919"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-0.197</w:t>
            </w:r>
            <w:r w:rsidRPr="00247639">
              <w:rPr>
                <w:rFonts w:eastAsia="Times New Roman" w:cs="Times New Roman"/>
                <w:color w:val="000000"/>
                <w:sz w:val="16"/>
                <w:szCs w:val="16"/>
                <w:vertAlign w:val="superscript"/>
                <w:lang w:eastAsia="en-GB"/>
              </w:rPr>
              <w:t>***</w:t>
            </w:r>
          </w:p>
        </w:tc>
        <w:tc>
          <w:tcPr>
            <w:tcW w:w="82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-0.346</w:t>
            </w:r>
            <w:r w:rsidRPr="00247639">
              <w:rPr>
                <w:rFonts w:eastAsia="Times New Roman" w:cs="Times New Roman"/>
                <w:color w:val="000000"/>
                <w:sz w:val="16"/>
                <w:szCs w:val="16"/>
                <w:vertAlign w:val="superscript"/>
                <w:lang w:eastAsia="en-GB"/>
              </w:rPr>
              <w:t>***</w:t>
            </w:r>
          </w:p>
        </w:tc>
      </w:tr>
      <w:tr w:rsidR="00EF1D3F" w:rsidRPr="00C15F52" w:rsidTr="00112DBD">
        <w:trPr>
          <w:cantSplit/>
          <w:trHeight w:val="142"/>
          <w:jc w:val="center"/>
        </w:trPr>
        <w:tc>
          <w:tcPr>
            <w:tcW w:w="968" w:type="dxa"/>
            <w:shd w:val="clear" w:color="000000" w:fill="FFFFFF"/>
            <w:vAlign w:val="center"/>
            <w:hideMark/>
          </w:tcPr>
          <w:p w:rsidR="00EF1D3F" w:rsidRPr="00C15F52" w:rsidRDefault="00EF1D3F" w:rsidP="007E1196">
            <w:pPr>
              <w:rPr>
                <w:rFonts w:cs="Times New Roman"/>
                <w:sz w:val="16"/>
                <w:szCs w:val="16"/>
              </w:rPr>
            </w:pPr>
            <w:r>
              <w:rPr>
                <w:rFonts w:cs="Times New Roman"/>
                <w:sz w:val="16"/>
                <w:szCs w:val="16"/>
              </w:rPr>
              <w:t>GROWTH</w:t>
            </w:r>
          </w:p>
        </w:tc>
        <w:tc>
          <w:tcPr>
            <w:tcW w:w="72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0.016</w:t>
            </w:r>
          </w:p>
        </w:tc>
        <w:tc>
          <w:tcPr>
            <w:tcW w:w="79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-0.006</w:t>
            </w:r>
          </w:p>
        </w:tc>
        <w:tc>
          <w:tcPr>
            <w:tcW w:w="950" w:type="dxa"/>
            <w:shd w:val="clear" w:color="000000" w:fill="FFFFFF"/>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-0.054</w:t>
            </w:r>
            <w:r w:rsidRPr="00B64F1D">
              <w:rPr>
                <w:rFonts w:eastAsia="Times New Roman" w:cs="Times New Roman"/>
                <w:color w:val="000000"/>
                <w:sz w:val="16"/>
                <w:szCs w:val="16"/>
                <w:vertAlign w:val="superscript"/>
                <w:lang w:eastAsia="en-GB"/>
              </w:rPr>
              <w:t>*</w:t>
            </w:r>
          </w:p>
        </w:tc>
        <w:tc>
          <w:tcPr>
            <w:tcW w:w="950"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-0.096</w:t>
            </w:r>
            <w:r w:rsidRPr="00526A22">
              <w:rPr>
                <w:rFonts w:eastAsia="Times New Roman" w:cs="Times New Roman"/>
                <w:color w:val="000000"/>
                <w:sz w:val="16"/>
                <w:szCs w:val="16"/>
                <w:vertAlign w:val="superscript"/>
                <w:lang w:eastAsia="en-GB"/>
              </w:rPr>
              <w:t>***</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-0.073</w:t>
            </w:r>
            <w:r w:rsidRPr="00526A22">
              <w:rPr>
                <w:rFonts w:eastAsia="Times New Roman" w:cs="Times New Roman"/>
                <w:color w:val="000000"/>
                <w:sz w:val="16"/>
                <w:szCs w:val="16"/>
                <w:vertAlign w:val="superscript"/>
                <w:lang w:eastAsia="en-GB"/>
              </w:rPr>
              <w:t>**</w:t>
            </w:r>
          </w:p>
        </w:tc>
        <w:tc>
          <w:tcPr>
            <w:tcW w:w="952"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-0.004</w:t>
            </w:r>
          </w:p>
        </w:tc>
        <w:tc>
          <w:tcPr>
            <w:tcW w:w="93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0.014</w:t>
            </w:r>
          </w:p>
        </w:tc>
        <w:tc>
          <w:tcPr>
            <w:tcW w:w="919"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0.044</w:t>
            </w:r>
          </w:p>
        </w:tc>
        <w:tc>
          <w:tcPr>
            <w:tcW w:w="94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-0.088</w:t>
            </w:r>
            <w:r w:rsidRPr="00D940FB">
              <w:rPr>
                <w:rFonts w:eastAsia="Times New Roman" w:cs="Times New Roman"/>
                <w:color w:val="000000"/>
                <w:sz w:val="16"/>
                <w:szCs w:val="16"/>
                <w:vertAlign w:val="superscript"/>
                <w:lang w:eastAsia="en-GB"/>
              </w:rPr>
              <w:t>***</w:t>
            </w:r>
          </w:p>
        </w:tc>
        <w:tc>
          <w:tcPr>
            <w:tcW w:w="856"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-0.043</w:t>
            </w:r>
          </w:p>
        </w:tc>
        <w:tc>
          <w:tcPr>
            <w:tcW w:w="910"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-0.096</w:t>
            </w:r>
            <w:r w:rsidRPr="009645AD">
              <w:rPr>
                <w:rFonts w:eastAsia="Times New Roman" w:cs="Times New Roman"/>
                <w:color w:val="000000"/>
                <w:sz w:val="16"/>
                <w:szCs w:val="16"/>
                <w:vertAlign w:val="superscript"/>
                <w:lang w:eastAsia="en-GB"/>
              </w:rPr>
              <w:t>***</w:t>
            </w:r>
          </w:p>
        </w:tc>
        <w:tc>
          <w:tcPr>
            <w:tcW w:w="891" w:type="dxa"/>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-0.176</w:t>
            </w:r>
            <w:r w:rsidRPr="009645AD">
              <w:rPr>
                <w:rFonts w:eastAsia="Times New Roman" w:cs="Times New Roman"/>
                <w:color w:val="000000"/>
                <w:sz w:val="16"/>
                <w:szCs w:val="16"/>
                <w:vertAlign w:val="superscript"/>
                <w:lang w:eastAsia="en-GB"/>
              </w:rPr>
              <w:t>***</w:t>
            </w:r>
          </w:p>
        </w:tc>
        <w:tc>
          <w:tcPr>
            <w:tcW w:w="807"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-0.193</w:t>
            </w:r>
            <w:r w:rsidRPr="009645AD">
              <w:rPr>
                <w:rFonts w:eastAsia="Times New Roman" w:cs="Times New Roman"/>
                <w:color w:val="000000"/>
                <w:sz w:val="16"/>
                <w:szCs w:val="16"/>
                <w:vertAlign w:val="superscript"/>
                <w:lang w:eastAsia="en-GB"/>
              </w:rPr>
              <w:t>***</w:t>
            </w:r>
          </w:p>
        </w:tc>
        <w:tc>
          <w:tcPr>
            <w:tcW w:w="919" w:type="dxa"/>
            <w:shd w:val="clear" w:color="000000" w:fill="FFFFFF"/>
          </w:tcPr>
          <w:p w:rsidR="00EF1D3F" w:rsidRPr="00C15F52" w:rsidRDefault="00EF1D3F" w:rsidP="007E1196">
            <w:pPr>
              <w:rPr>
                <w:rFonts w:eastAsia="Times New Roman" w:cs="Times New Roman"/>
                <w:color w:val="000000"/>
                <w:sz w:val="16"/>
                <w:szCs w:val="16"/>
                <w:lang w:eastAsia="en-GB"/>
              </w:rPr>
            </w:pPr>
          </w:p>
        </w:tc>
        <w:tc>
          <w:tcPr>
            <w:tcW w:w="825" w:type="dxa"/>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-0.043</w:t>
            </w:r>
          </w:p>
        </w:tc>
      </w:tr>
      <w:tr w:rsidR="00EF1D3F" w:rsidRPr="00C15F52" w:rsidTr="00112DBD">
        <w:trPr>
          <w:cantSplit/>
          <w:trHeight w:val="142"/>
          <w:jc w:val="center"/>
        </w:trPr>
        <w:tc>
          <w:tcPr>
            <w:tcW w:w="968" w:type="dxa"/>
            <w:tcBorders>
              <w:bottom w:val="single" w:sz="4" w:space="0" w:color="auto"/>
            </w:tcBorders>
            <w:shd w:val="clear" w:color="000000" w:fill="FFFFFF"/>
            <w:vAlign w:val="center"/>
            <w:hideMark/>
          </w:tcPr>
          <w:p w:rsidR="00EF1D3F" w:rsidRPr="00C15F52" w:rsidRDefault="00EF1D3F" w:rsidP="007E1196">
            <w:pPr>
              <w:rPr>
                <w:rFonts w:cs="Times New Roman"/>
                <w:sz w:val="16"/>
                <w:szCs w:val="16"/>
              </w:rPr>
            </w:pPr>
            <w:r>
              <w:rPr>
                <w:rFonts w:cs="Times New Roman"/>
                <w:sz w:val="16"/>
                <w:szCs w:val="16"/>
              </w:rPr>
              <w:t>LVRG</w:t>
            </w:r>
          </w:p>
        </w:tc>
        <w:tc>
          <w:tcPr>
            <w:tcW w:w="727" w:type="dxa"/>
            <w:tcBorders>
              <w:bottom w:val="single" w:sz="4" w:space="0" w:color="auto"/>
            </w:tcBorders>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0.090</w:t>
            </w:r>
            <w:r w:rsidRPr="00B64F1D">
              <w:rPr>
                <w:rFonts w:eastAsia="Times New Roman" w:cs="Times New Roman"/>
                <w:color w:val="000000"/>
                <w:sz w:val="16"/>
                <w:szCs w:val="16"/>
                <w:vertAlign w:val="superscript"/>
                <w:lang w:eastAsia="en-GB"/>
              </w:rPr>
              <w:t>***</w:t>
            </w:r>
          </w:p>
        </w:tc>
        <w:tc>
          <w:tcPr>
            <w:tcW w:w="797" w:type="dxa"/>
            <w:tcBorders>
              <w:bottom w:val="single" w:sz="4" w:space="0" w:color="auto"/>
            </w:tcBorders>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-0.092</w:t>
            </w:r>
            <w:r w:rsidRPr="00B64F1D">
              <w:rPr>
                <w:rFonts w:eastAsia="Times New Roman" w:cs="Times New Roman"/>
                <w:color w:val="000000"/>
                <w:sz w:val="16"/>
                <w:szCs w:val="16"/>
                <w:vertAlign w:val="superscript"/>
                <w:lang w:eastAsia="en-GB"/>
              </w:rPr>
              <w:t>***</w:t>
            </w:r>
          </w:p>
        </w:tc>
        <w:tc>
          <w:tcPr>
            <w:tcW w:w="950" w:type="dxa"/>
            <w:tcBorders>
              <w:bottom w:val="single" w:sz="4" w:space="0" w:color="auto"/>
            </w:tcBorders>
            <w:shd w:val="clear" w:color="000000" w:fill="FFFFFF"/>
          </w:tcPr>
          <w:p w:rsidR="00EF1D3F"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0.194</w:t>
            </w:r>
            <w:r w:rsidRPr="00B64F1D">
              <w:rPr>
                <w:rFonts w:eastAsia="Times New Roman" w:cs="Times New Roman"/>
                <w:color w:val="000000"/>
                <w:sz w:val="16"/>
                <w:szCs w:val="16"/>
                <w:vertAlign w:val="superscript"/>
                <w:lang w:eastAsia="en-GB"/>
              </w:rPr>
              <w:t>***</w:t>
            </w:r>
          </w:p>
        </w:tc>
        <w:tc>
          <w:tcPr>
            <w:tcW w:w="950" w:type="dxa"/>
            <w:tcBorders>
              <w:bottom w:val="single" w:sz="4" w:space="0" w:color="auto"/>
            </w:tcBorders>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-0.009</w:t>
            </w:r>
          </w:p>
        </w:tc>
        <w:tc>
          <w:tcPr>
            <w:tcW w:w="937" w:type="dxa"/>
            <w:tcBorders>
              <w:bottom w:val="single" w:sz="4" w:space="0" w:color="auto"/>
            </w:tcBorders>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0.034</w:t>
            </w:r>
          </w:p>
        </w:tc>
        <w:tc>
          <w:tcPr>
            <w:tcW w:w="952" w:type="dxa"/>
            <w:tcBorders>
              <w:bottom w:val="single" w:sz="4" w:space="0" w:color="auto"/>
            </w:tcBorders>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-0.193</w:t>
            </w:r>
            <w:r w:rsidRPr="00D940FB">
              <w:rPr>
                <w:rFonts w:eastAsia="Times New Roman" w:cs="Times New Roman"/>
                <w:color w:val="000000"/>
                <w:sz w:val="16"/>
                <w:szCs w:val="16"/>
                <w:vertAlign w:val="superscript"/>
                <w:lang w:eastAsia="en-GB"/>
              </w:rPr>
              <w:t>***</w:t>
            </w:r>
          </w:p>
        </w:tc>
        <w:tc>
          <w:tcPr>
            <w:tcW w:w="937" w:type="dxa"/>
            <w:tcBorders>
              <w:bottom w:val="single" w:sz="4" w:space="0" w:color="auto"/>
            </w:tcBorders>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0.046</w:t>
            </w:r>
          </w:p>
        </w:tc>
        <w:tc>
          <w:tcPr>
            <w:tcW w:w="919" w:type="dxa"/>
            <w:tcBorders>
              <w:bottom w:val="single" w:sz="4" w:space="0" w:color="auto"/>
            </w:tcBorders>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0.084</w:t>
            </w:r>
            <w:r w:rsidRPr="00D940FB">
              <w:rPr>
                <w:rFonts w:eastAsia="Times New Roman" w:cs="Times New Roman"/>
                <w:color w:val="000000"/>
                <w:sz w:val="16"/>
                <w:szCs w:val="16"/>
                <w:vertAlign w:val="superscript"/>
                <w:lang w:eastAsia="en-GB"/>
              </w:rPr>
              <w:t>***</w:t>
            </w:r>
          </w:p>
        </w:tc>
        <w:tc>
          <w:tcPr>
            <w:tcW w:w="945" w:type="dxa"/>
            <w:tcBorders>
              <w:bottom w:val="single" w:sz="4" w:space="0" w:color="auto"/>
            </w:tcBorders>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-0.081</w:t>
            </w:r>
            <w:r w:rsidRPr="00D940FB">
              <w:rPr>
                <w:rFonts w:eastAsia="Times New Roman" w:cs="Times New Roman"/>
                <w:color w:val="000000"/>
                <w:sz w:val="16"/>
                <w:szCs w:val="16"/>
                <w:vertAlign w:val="superscript"/>
                <w:lang w:eastAsia="en-GB"/>
              </w:rPr>
              <w:t>***</w:t>
            </w:r>
          </w:p>
        </w:tc>
        <w:tc>
          <w:tcPr>
            <w:tcW w:w="856" w:type="dxa"/>
            <w:tcBorders>
              <w:bottom w:val="single" w:sz="4" w:space="0" w:color="auto"/>
            </w:tcBorders>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0.059</w:t>
            </w:r>
            <w:r w:rsidRPr="009645AD">
              <w:rPr>
                <w:rFonts w:eastAsia="Times New Roman" w:cs="Times New Roman"/>
                <w:color w:val="000000"/>
                <w:sz w:val="16"/>
                <w:szCs w:val="16"/>
                <w:vertAlign w:val="superscript"/>
                <w:lang w:eastAsia="en-GB"/>
              </w:rPr>
              <w:t>**</w:t>
            </w:r>
          </w:p>
        </w:tc>
        <w:tc>
          <w:tcPr>
            <w:tcW w:w="910" w:type="dxa"/>
            <w:tcBorders>
              <w:bottom w:val="single" w:sz="4" w:space="0" w:color="auto"/>
            </w:tcBorders>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0.046</w:t>
            </w:r>
          </w:p>
        </w:tc>
        <w:tc>
          <w:tcPr>
            <w:tcW w:w="891" w:type="dxa"/>
            <w:tcBorders>
              <w:bottom w:val="single" w:sz="4" w:space="0" w:color="auto"/>
            </w:tcBorders>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0.086</w:t>
            </w:r>
            <w:r w:rsidRPr="009645AD">
              <w:rPr>
                <w:rFonts w:eastAsia="Times New Roman" w:cs="Times New Roman"/>
                <w:color w:val="000000"/>
                <w:sz w:val="16"/>
                <w:szCs w:val="16"/>
                <w:vertAlign w:val="superscript"/>
                <w:lang w:eastAsia="en-GB"/>
              </w:rPr>
              <w:t>***</w:t>
            </w:r>
          </w:p>
        </w:tc>
        <w:tc>
          <w:tcPr>
            <w:tcW w:w="807" w:type="dxa"/>
            <w:tcBorders>
              <w:bottom w:val="single" w:sz="4" w:space="0" w:color="auto"/>
            </w:tcBorders>
            <w:shd w:val="clear" w:color="000000" w:fill="FFFFFF"/>
            <w:hideMark/>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-0.355</w:t>
            </w:r>
            <w:r w:rsidRPr="009645AD">
              <w:rPr>
                <w:rFonts w:eastAsia="Times New Roman" w:cs="Times New Roman"/>
                <w:color w:val="000000"/>
                <w:sz w:val="16"/>
                <w:szCs w:val="16"/>
                <w:vertAlign w:val="superscript"/>
                <w:lang w:eastAsia="en-GB"/>
              </w:rPr>
              <w:t>***</w:t>
            </w:r>
          </w:p>
        </w:tc>
        <w:tc>
          <w:tcPr>
            <w:tcW w:w="919" w:type="dxa"/>
            <w:tcBorders>
              <w:bottom w:val="single" w:sz="4" w:space="0" w:color="auto"/>
            </w:tcBorders>
            <w:shd w:val="clear" w:color="000000" w:fill="FFFFFF"/>
          </w:tcPr>
          <w:p w:rsidR="00EF1D3F" w:rsidRPr="00C15F52" w:rsidRDefault="00EF1D3F" w:rsidP="007E1196">
            <w:pPr>
              <w:rPr>
                <w:rFonts w:eastAsia="Times New Roman" w:cs="Times New Roman"/>
                <w:color w:val="000000"/>
                <w:sz w:val="16"/>
                <w:szCs w:val="16"/>
                <w:lang w:eastAsia="en-GB"/>
              </w:rPr>
            </w:pPr>
            <w:r>
              <w:rPr>
                <w:rFonts w:eastAsia="Times New Roman" w:cs="Times New Roman"/>
                <w:color w:val="000000"/>
                <w:sz w:val="16"/>
                <w:szCs w:val="16"/>
                <w:lang w:eastAsia="en-GB"/>
              </w:rPr>
              <w:t>-0.055</w:t>
            </w:r>
            <w:r w:rsidRPr="00247639">
              <w:rPr>
                <w:rFonts w:eastAsia="Times New Roman" w:cs="Times New Roman"/>
                <w:color w:val="000000"/>
                <w:sz w:val="16"/>
                <w:szCs w:val="16"/>
                <w:vertAlign w:val="superscript"/>
                <w:lang w:eastAsia="en-GB"/>
              </w:rPr>
              <w:t>*</w:t>
            </w:r>
          </w:p>
        </w:tc>
        <w:tc>
          <w:tcPr>
            <w:tcW w:w="825" w:type="dxa"/>
            <w:tcBorders>
              <w:bottom w:val="single" w:sz="4" w:space="0" w:color="auto"/>
            </w:tcBorders>
            <w:shd w:val="clear" w:color="000000" w:fill="FFFFFF"/>
            <w:hideMark/>
          </w:tcPr>
          <w:p w:rsidR="00EF1D3F" w:rsidRPr="00C15F52" w:rsidRDefault="00EF1D3F" w:rsidP="007E1196">
            <w:pPr>
              <w:rPr>
                <w:rFonts w:eastAsia="Times New Roman" w:cs="Times New Roman"/>
                <w:color w:val="000000"/>
                <w:sz w:val="16"/>
                <w:szCs w:val="16"/>
                <w:lang w:eastAsia="en-GB"/>
              </w:rPr>
            </w:pPr>
          </w:p>
        </w:tc>
      </w:tr>
      <w:tr w:rsidR="00EF1D3F" w:rsidRPr="00C15F52" w:rsidTr="007E1196">
        <w:trPr>
          <w:cantSplit/>
          <w:trHeight w:val="343"/>
          <w:jc w:val="center"/>
        </w:trPr>
        <w:tc>
          <w:tcPr>
            <w:tcW w:w="14290" w:type="dxa"/>
            <w:gridSpan w:val="16"/>
            <w:tcBorders>
              <w:top w:val="single" w:sz="4" w:space="0" w:color="auto"/>
              <w:bottom w:val="nil"/>
            </w:tcBorders>
            <w:shd w:val="clear" w:color="000000" w:fill="FFFFFF"/>
          </w:tcPr>
          <w:p w:rsidR="00EF1D3F" w:rsidRPr="00536B4C" w:rsidRDefault="00EF1D3F" w:rsidP="00112DBD">
            <w:pPr>
              <w:jc w:val="both"/>
              <w:rPr>
                <w:rFonts w:eastAsia="Times New Roman" w:cs="Times New Roman"/>
                <w:color w:val="000000"/>
                <w:sz w:val="16"/>
                <w:szCs w:val="16"/>
                <w:lang w:eastAsia="en-GB"/>
              </w:rPr>
            </w:pPr>
            <w:r>
              <w:rPr>
                <w:rFonts w:eastAsia="Times New Roman" w:cs="Times New Roman"/>
                <w:i/>
                <w:iCs/>
                <w:color w:val="000000"/>
                <w:sz w:val="16"/>
                <w:szCs w:val="16"/>
                <w:lang w:eastAsia="en-GB"/>
              </w:rPr>
              <w:t xml:space="preserve">Notes: </w:t>
            </w:r>
            <w:r>
              <w:rPr>
                <w:rFonts w:eastAsia="Times New Roman" w:cs="Times New Roman"/>
                <w:color w:val="000000"/>
                <w:sz w:val="16"/>
                <w:szCs w:val="16"/>
                <w:lang w:eastAsia="en-GB"/>
              </w:rPr>
              <w:t xml:space="preserve">the bottom left half of the table presents Pearson’s parametric correlation coefficients, whilst the upper right half of the table presents Spearman’s non-parametric correlation coefficients. </w:t>
            </w:r>
            <w:r w:rsidRPr="00536B4C">
              <w:rPr>
                <w:rFonts w:eastAsiaTheme="minorEastAsia" w:cs="Times New Roman"/>
                <w:i/>
                <w:sz w:val="16"/>
                <w:szCs w:val="16"/>
              </w:rPr>
              <w:t>DA</w:t>
            </w:r>
            <w:r w:rsidRPr="00536B4C">
              <w:rPr>
                <w:rFonts w:eastAsiaTheme="minorEastAsia" w:cs="Times New Roman"/>
                <w:sz w:val="16"/>
                <w:szCs w:val="16"/>
              </w:rPr>
              <w:t xml:space="preserve"> denotes the firm-level EM practices, </w:t>
            </w:r>
            <w:r w:rsidRPr="00536B4C">
              <w:rPr>
                <w:rFonts w:eastAsiaTheme="minorEastAsia" w:cs="Times New Roman"/>
                <w:i/>
                <w:sz w:val="16"/>
                <w:szCs w:val="16"/>
              </w:rPr>
              <w:t xml:space="preserve">OCGI </w:t>
            </w:r>
            <w:r w:rsidRPr="00536B4C">
              <w:rPr>
                <w:rFonts w:eastAsiaTheme="minorEastAsia" w:cs="Times New Roman"/>
                <w:sz w:val="16"/>
                <w:szCs w:val="16"/>
              </w:rPr>
              <w:t>denotes the Oman</w:t>
            </w:r>
            <w:r w:rsidR="009E7006">
              <w:rPr>
                <w:rFonts w:eastAsiaTheme="minorEastAsia" w:cs="Times New Roman"/>
                <w:sz w:val="16"/>
                <w:szCs w:val="16"/>
              </w:rPr>
              <w:t>i</w:t>
            </w:r>
            <w:r w:rsidRPr="00536B4C">
              <w:rPr>
                <w:rFonts w:eastAsiaTheme="minorEastAsia" w:cs="Times New Roman"/>
                <w:sz w:val="16"/>
                <w:szCs w:val="16"/>
              </w:rPr>
              <w:t xml:space="preserve"> corporate governance index, </w:t>
            </w:r>
            <w:r w:rsidR="00BB565D">
              <w:rPr>
                <w:rFonts w:eastAsiaTheme="minorEastAsia" w:cs="Times New Roman"/>
                <w:i/>
                <w:iCs/>
                <w:sz w:val="16"/>
                <w:szCs w:val="16"/>
              </w:rPr>
              <w:t>I</w:t>
            </w:r>
            <w:r w:rsidRPr="004B26A1">
              <w:rPr>
                <w:rFonts w:eastAsiaTheme="minorEastAsia" w:cs="Times New Roman"/>
                <w:i/>
                <w:iCs/>
                <w:sz w:val="16"/>
                <w:szCs w:val="16"/>
              </w:rPr>
              <w:t>GC</w:t>
            </w:r>
            <w:r>
              <w:rPr>
                <w:rFonts w:eastAsiaTheme="minorEastAsia" w:cs="Times New Roman"/>
                <w:sz w:val="16"/>
                <w:szCs w:val="16"/>
              </w:rPr>
              <w:t xml:space="preserve">  </w:t>
            </w:r>
            <w:r w:rsidRPr="00536B4C">
              <w:rPr>
                <w:rFonts w:eastAsiaTheme="minorEastAsia" w:cs="Times New Roman"/>
                <w:sz w:val="16"/>
                <w:szCs w:val="16"/>
              </w:rPr>
              <w:t>denotes</w:t>
            </w:r>
            <w:r w:rsidRPr="005C2B3F">
              <w:rPr>
                <w:rFonts w:eastAsiaTheme="minorEastAsia" w:cs="Times New Roman"/>
                <w:i/>
                <w:iCs/>
                <w:sz w:val="16"/>
                <w:szCs w:val="16"/>
              </w:rPr>
              <w:t xml:space="preserve"> </w:t>
            </w:r>
            <w:r>
              <w:rPr>
                <w:rFonts w:eastAsiaTheme="minorEastAsia" w:cs="Times New Roman"/>
                <w:i/>
                <w:iCs/>
                <w:sz w:val="16"/>
                <w:szCs w:val="16"/>
              </w:rPr>
              <w:t xml:space="preserve"> </w:t>
            </w:r>
            <w:r w:rsidR="00BB565D">
              <w:rPr>
                <w:rFonts w:eastAsiaTheme="minorEastAsia" w:cs="Times New Roman"/>
                <w:i/>
                <w:iCs/>
                <w:sz w:val="16"/>
                <w:szCs w:val="16"/>
              </w:rPr>
              <w:t>Islamic</w:t>
            </w:r>
            <w:r>
              <w:rPr>
                <w:rFonts w:eastAsiaTheme="minorEastAsia" w:cs="Times New Roman"/>
                <w:i/>
                <w:iCs/>
                <w:sz w:val="16"/>
                <w:szCs w:val="16"/>
              </w:rPr>
              <w:t xml:space="preserve"> governance committee, </w:t>
            </w:r>
            <w:r w:rsidRPr="005C2B3F">
              <w:rPr>
                <w:rFonts w:eastAsiaTheme="minorEastAsia" w:cs="Times New Roman"/>
                <w:i/>
                <w:iCs/>
                <w:sz w:val="16"/>
                <w:szCs w:val="16"/>
              </w:rPr>
              <w:t>BSIZE</w:t>
            </w:r>
            <w:r w:rsidRPr="00536B4C">
              <w:rPr>
                <w:rFonts w:eastAsiaTheme="minorEastAsia" w:cs="Times New Roman"/>
                <w:sz w:val="16"/>
                <w:szCs w:val="16"/>
              </w:rPr>
              <w:t xml:space="preserve"> denotes the size of board, </w:t>
            </w:r>
            <w:r w:rsidRPr="00536B4C">
              <w:rPr>
                <w:rFonts w:eastAsiaTheme="minorEastAsia" w:cs="Times New Roman"/>
                <w:i/>
                <w:sz w:val="16"/>
                <w:szCs w:val="16"/>
              </w:rPr>
              <w:t>BIG4</w:t>
            </w:r>
            <w:r w:rsidRPr="00536B4C">
              <w:rPr>
                <w:rFonts w:eastAsiaTheme="minorEastAsia" w:cs="Times New Roman"/>
                <w:sz w:val="16"/>
                <w:szCs w:val="16"/>
              </w:rPr>
              <w:t xml:space="preserve"> denotes the audit firm size, </w:t>
            </w:r>
            <w:r w:rsidRPr="00536B4C">
              <w:rPr>
                <w:rFonts w:eastAsiaTheme="minorEastAsia" w:cs="Times New Roman"/>
                <w:i/>
                <w:sz w:val="16"/>
                <w:szCs w:val="16"/>
              </w:rPr>
              <w:t>CGCOM</w:t>
            </w:r>
            <w:r w:rsidRPr="00536B4C">
              <w:rPr>
                <w:rFonts w:eastAsiaTheme="minorEastAsia" w:cs="Times New Roman"/>
                <w:sz w:val="16"/>
                <w:szCs w:val="16"/>
              </w:rPr>
              <w:t xml:space="preserve"> denotes the</w:t>
            </w:r>
            <w:r w:rsidR="009E7006">
              <w:rPr>
                <w:rFonts w:eastAsiaTheme="minorEastAsia" w:cs="Times New Roman"/>
                <w:sz w:val="16"/>
                <w:szCs w:val="16"/>
              </w:rPr>
              <w:t xml:space="preserve"> presence of a</w:t>
            </w:r>
            <w:r w:rsidRPr="00536B4C">
              <w:rPr>
                <w:rFonts w:eastAsiaTheme="minorEastAsia" w:cs="Times New Roman"/>
                <w:sz w:val="16"/>
                <w:szCs w:val="16"/>
              </w:rPr>
              <w:t xml:space="preserve"> corporate governance committee, </w:t>
            </w:r>
            <w:r w:rsidRPr="00536B4C">
              <w:rPr>
                <w:rFonts w:eastAsiaTheme="minorEastAsia" w:cs="Times New Roman"/>
                <w:i/>
                <w:sz w:val="16"/>
                <w:szCs w:val="16"/>
              </w:rPr>
              <w:t>GNDR</w:t>
            </w:r>
            <w:r w:rsidRPr="00536B4C">
              <w:rPr>
                <w:rFonts w:eastAsiaTheme="minorEastAsia" w:cs="Times New Roman"/>
                <w:sz w:val="16"/>
                <w:szCs w:val="16"/>
              </w:rPr>
              <w:t xml:space="preserve"> denotes </w:t>
            </w:r>
            <w:r w:rsidRPr="00536B4C">
              <w:rPr>
                <w:rFonts w:cs="Times New Roman"/>
                <w:sz w:val="16"/>
                <w:szCs w:val="16"/>
              </w:rPr>
              <w:t>board diversity on the basis of gender</w:t>
            </w:r>
            <w:r w:rsidRPr="00536B4C">
              <w:rPr>
                <w:rFonts w:eastAsiaTheme="minorEastAsia" w:cs="Times New Roman"/>
                <w:sz w:val="16"/>
                <w:szCs w:val="16"/>
              </w:rPr>
              <w:t xml:space="preserve">, </w:t>
            </w:r>
            <w:r w:rsidRPr="00C90C4E">
              <w:rPr>
                <w:rFonts w:eastAsiaTheme="minorEastAsia" w:cs="Times New Roman"/>
                <w:i/>
                <w:sz w:val="16"/>
                <w:szCs w:val="16"/>
              </w:rPr>
              <w:t>BLKOWN</w:t>
            </w:r>
            <w:r w:rsidRPr="00536B4C">
              <w:rPr>
                <w:rFonts w:eastAsiaTheme="minorEastAsia" w:cs="Times New Roman"/>
                <w:sz w:val="16"/>
                <w:szCs w:val="16"/>
              </w:rPr>
              <w:t xml:space="preserve"> denotes block ownership,</w:t>
            </w:r>
            <w:r>
              <w:rPr>
                <w:rFonts w:eastAsiaTheme="minorEastAsia" w:cs="Times New Roman"/>
                <w:sz w:val="16"/>
                <w:szCs w:val="16"/>
              </w:rPr>
              <w:t xml:space="preserve"> </w:t>
            </w:r>
            <w:r w:rsidRPr="00536B4C">
              <w:rPr>
                <w:rFonts w:eastAsiaTheme="minorEastAsia" w:cs="Times New Roman"/>
                <w:i/>
                <w:sz w:val="16"/>
                <w:szCs w:val="16"/>
              </w:rPr>
              <w:t>GOVOWN</w:t>
            </w:r>
            <w:r w:rsidRPr="00536B4C">
              <w:rPr>
                <w:rFonts w:eastAsiaTheme="minorEastAsia" w:cs="Times New Roman"/>
                <w:sz w:val="16"/>
                <w:szCs w:val="16"/>
              </w:rPr>
              <w:t xml:space="preserve"> represents government ownership, </w:t>
            </w:r>
            <w:r w:rsidRPr="00536B4C">
              <w:rPr>
                <w:rFonts w:eastAsiaTheme="minorEastAsia" w:cs="Times New Roman"/>
                <w:i/>
                <w:sz w:val="16"/>
                <w:szCs w:val="16"/>
              </w:rPr>
              <w:t>INSOWN</w:t>
            </w:r>
            <w:r w:rsidRPr="00536B4C">
              <w:rPr>
                <w:rFonts w:eastAsiaTheme="minorEastAsia" w:cs="Times New Roman"/>
                <w:sz w:val="16"/>
                <w:szCs w:val="16"/>
              </w:rPr>
              <w:t xml:space="preserve"> denotes institutional ownership, </w:t>
            </w:r>
            <w:r w:rsidRPr="00536B4C">
              <w:rPr>
                <w:rFonts w:eastAsiaTheme="minorEastAsia" w:cs="Times New Roman"/>
                <w:i/>
                <w:sz w:val="16"/>
                <w:szCs w:val="16"/>
              </w:rPr>
              <w:t>FOROWN</w:t>
            </w:r>
            <w:r w:rsidRPr="00536B4C">
              <w:rPr>
                <w:rFonts w:eastAsiaTheme="minorEastAsia" w:cs="Times New Roman"/>
                <w:sz w:val="16"/>
                <w:szCs w:val="16"/>
              </w:rPr>
              <w:t xml:space="preserve"> represents foreign ownership</w:t>
            </w:r>
            <w:r w:rsidR="009E7006">
              <w:rPr>
                <w:rFonts w:eastAsiaTheme="minorEastAsia" w:cs="Times New Roman"/>
                <w:sz w:val="16"/>
                <w:szCs w:val="16"/>
              </w:rPr>
              <w:t>,</w:t>
            </w:r>
            <w:r w:rsidRPr="00536B4C">
              <w:rPr>
                <w:rFonts w:eastAsiaTheme="minorEastAsia" w:cs="Times New Roman"/>
                <w:i/>
                <w:sz w:val="16"/>
                <w:szCs w:val="16"/>
              </w:rPr>
              <w:t xml:space="preserve"> LNTA</w:t>
            </w:r>
            <w:r w:rsidRPr="00536B4C">
              <w:rPr>
                <w:rFonts w:eastAsiaTheme="minorEastAsia" w:cs="Times New Roman"/>
                <w:sz w:val="16"/>
                <w:szCs w:val="16"/>
              </w:rPr>
              <w:t xml:space="preserve"> denotes firm size</w:t>
            </w:r>
            <w:r>
              <w:rPr>
                <w:rFonts w:eastAsiaTheme="minorEastAsia" w:cs="Times New Roman"/>
                <w:sz w:val="16"/>
                <w:szCs w:val="16"/>
              </w:rPr>
              <w:t>,</w:t>
            </w:r>
            <w:r w:rsidRPr="00536B4C">
              <w:rPr>
                <w:rFonts w:eastAsiaTheme="minorEastAsia" w:cs="Times New Roman"/>
                <w:i/>
                <w:sz w:val="16"/>
                <w:szCs w:val="16"/>
              </w:rPr>
              <w:t xml:space="preserve"> ROA</w:t>
            </w:r>
            <w:r w:rsidRPr="00536B4C">
              <w:rPr>
                <w:rFonts w:eastAsiaTheme="minorEastAsia" w:cs="Times New Roman"/>
                <w:sz w:val="16"/>
                <w:szCs w:val="16"/>
              </w:rPr>
              <w:t xml:space="preserve"> denotes </w:t>
            </w:r>
            <w:r w:rsidR="00112DBD">
              <w:rPr>
                <w:rFonts w:eastAsiaTheme="minorEastAsia" w:cs="Times New Roman"/>
                <w:sz w:val="16"/>
                <w:szCs w:val="16"/>
              </w:rPr>
              <w:t>firm</w:t>
            </w:r>
            <w:r w:rsidRPr="00536B4C">
              <w:rPr>
                <w:rFonts w:eastAsiaTheme="minorEastAsia" w:cs="Times New Roman"/>
                <w:sz w:val="16"/>
                <w:szCs w:val="16"/>
              </w:rPr>
              <w:t xml:space="preserve"> profitability</w:t>
            </w:r>
            <w:r>
              <w:rPr>
                <w:rFonts w:eastAsiaTheme="minorEastAsia" w:cs="Times New Roman"/>
                <w:sz w:val="16"/>
                <w:szCs w:val="16"/>
              </w:rPr>
              <w:t>,</w:t>
            </w:r>
            <w:r w:rsidRPr="00536B4C">
              <w:rPr>
                <w:rFonts w:eastAsiaTheme="minorEastAsia" w:cs="Times New Roman"/>
                <w:i/>
                <w:sz w:val="16"/>
                <w:szCs w:val="16"/>
              </w:rPr>
              <w:t xml:space="preserve"> GROWT</w:t>
            </w:r>
            <w:r>
              <w:rPr>
                <w:rFonts w:eastAsiaTheme="minorEastAsia" w:cs="Times New Roman"/>
                <w:i/>
                <w:sz w:val="16"/>
                <w:szCs w:val="16"/>
              </w:rPr>
              <w:t>H</w:t>
            </w:r>
            <w:r w:rsidRPr="00536B4C">
              <w:rPr>
                <w:rFonts w:eastAsiaTheme="minorEastAsia" w:cs="Times New Roman"/>
                <w:sz w:val="16"/>
                <w:szCs w:val="16"/>
              </w:rPr>
              <w:t xml:space="preserve"> denotes firm growth</w:t>
            </w:r>
            <w:r>
              <w:rPr>
                <w:rFonts w:eastAsiaTheme="minorEastAsia" w:cs="Times New Roman"/>
                <w:sz w:val="16"/>
                <w:szCs w:val="16"/>
              </w:rPr>
              <w:t xml:space="preserve"> and </w:t>
            </w:r>
            <w:r w:rsidRPr="00536B4C">
              <w:rPr>
                <w:rFonts w:eastAsiaTheme="minorEastAsia" w:cs="Times New Roman"/>
                <w:i/>
                <w:sz w:val="16"/>
                <w:szCs w:val="16"/>
              </w:rPr>
              <w:t>LVRG</w:t>
            </w:r>
            <w:r w:rsidRPr="00536B4C">
              <w:rPr>
                <w:rFonts w:eastAsiaTheme="minorEastAsia" w:cs="Times New Roman"/>
                <w:sz w:val="16"/>
                <w:szCs w:val="16"/>
              </w:rPr>
              <w:t xml:space="preserve"> denotes </w:t>
            </w:r>
            <w:r w:rsidRPr="00536B4C">
              <w:rPr>
                <w:rFonts w:cs="Times New Roman"/>
                <w:sz w:val="16"/>
                <w:szCs w:val="16"/>
              </w:rPr>
              <w:t>leverage</w:t>
            </w:r>
            <w:r>
              <w:rPr>
                <w:rFonts w:eastAsiaTheme="minorEastAsia" w:cs="Times New Roman"/>
                <w:sz w:val="16"/>
                <w:szCs w:val="16"/>
              </w:rPr>
              <w:t xml:space="preserve"> </w:t>
            </w:r>
            <w:r w:rsidRPr="00536B4C">
              <w:rPr>
                <w:rFonts w:eastAsiaTheme="minorEastAsia" w:cs="Times New Roman"/>
                <w:sz w:val="16"/>
                <w:szCs w:val="16"/>
              </w:rPr>
              <w:t xml:space="preserve">. </w:t>
            </w:r>
            <w:r w:rsidRPr="00536B4C">
              <w:rPr>
                <w:rFonts w:eastAsia="Times New Roman" w:cs="Times New Roman"/>
                <w:color w:val="000000"/>
                <w:sz w:val="16"/>
                <w:szCs w:val="16"/>
                <w:lang w:eastAsia="en-GB"/>
              </w:rPr>
              <w:t>The correlation matrix depicts the strength and sign of the relationship amongst the variables. ***, ** and * denote correlation is significant at the 1%, 5% and 10% level, respectively</w:t>
            </w:r>
            <w:r w:rsidRPr="00536B4C">
              <w:rPr>
                <w:rFonts w:cs="Times New Roman"/>
                <w:sz w:val="16"/>
                <w:szCs w:val="16"/>
              </w:rPr>
              <w:t xml:space="preserve">. </w:t>
            </w:r>
          </w:p>
        </w:tc>
      </w:tr>
    </w:tbl>
    <w:p w:rsidR="00EF1D3F" w:rsidRDefault="00EF1D3F" w:rsidP="00610A52">
      <w:pPr>
        <w:pStyle w:val="BodyText"/>
        <w:rPr>
          <w:rFonts w:cs="Times New Roman"/>
        </w:rPr>
      </w:pPr>
    </w:p>
    <w:p w:rsidR="00EF1D3F" w:rsidRDefault="00EF1D3F" w:rsidP="00610A52">
      <w:pPr>
        <w:pStyle w:val="BodyText"/>
        <w:rPr>
          <w:rFonts w:cs="Times New Roman"/>
        </w:rPr>
      </w:pPr>
    </w:p>
    <w:p w:rsidR="00EF1D3F" w:rsidRPr="00C15F52" w:rsidRDefault="00EF1D3F" w:rsidP="00610A52">
      <w:pPr>
        <w:pStyle w:val="BodyText"/>
        <w:rPr>
          <w:rFonts w:cs="Times New Roman"/>
        </w:rPr>
        <w:sectPr w:rsidR="00EF1D3F" w:rsidRPr="00C15F52" w:rsidSect="00330DD3">
          <w:pgSz w:w="16838" w:h="11906" w:orient="landscape" w:code="9"/>
          <w:pgMar w:top="1021" w:right="1021" w:bottom="1021" w:left="1021" w:header="510" w:footer="510" w:gutter="0"/>
          <w:cols w:space="708"/>
          <w:docGrid w:linePitch="360"/>
        </w:sectPr>
      </w:pPr>
    </w:p>
    <w:p w:rsidR="00610A52" w:rsidRPr="005A79E1" w:rsidRDefault="00610A52" w:rsidP="00610A52">
      <w:pPr>
        <w:pStyle w:val="BodyText"/>
        <w:rPr>
          <w:rFonts w:cs="Times New Roman"/>
          <w:b/>
        </w:rPr>
      </w:pPr>
    </w:p>
    <w:tbl>
      <w:tblPr>
        <w:tblW w:w="16333" w:type="dxa"/>
        <w:jc w:val="center"/>
        <w:tblLook w:val="00A0" w:firstRow="1" w:lastRow="0" w:firstColumn="1" w:lastColumn="0" w:noHBand="0" w:noVBand="0"/>
      </w:tblPr>
      <w:tblGrid>
        <w:gridCol w:w="1704"/>
        <w:gridCol w:w="1014"/>
        <w:gridCol w:w="896"/>
        <w:gridCol w:w="790"/>
        <w:gridCol w:w="896"/>
        <w:gridCol w:w="790"/>
        <w:gridCol w:w="981"/>
        <w:gridCol w:w="850"/>
        <w:gridCol w:w="891"/>
        <w:gridCol w:w="790"/>
        <w:gridCol w:w="981"/>
        <w:gridCol w:w="850"/>
        <w:gridCol w:w="992"/>
        <w:gridCol w:w="993"/>
        <w:gridCol w:w="992"/>
        <w:gridCol w:w="973"/>
        <w:gridCol w:w="950"/>
      </w:tblGrid>
      <w:tr w:rsidR="00B24C5E" w:rsidRPr="005A79E1" w:rsidTr="004E5B8B">
        <w:trPr>
          <w:trHeight w:val="242"/>
          <w:jc w:val="center"/>
        </w:trPr>
        <w:tc>
          <w:tcPr>
            <w:tcW w:w="16333" w:type="dxa"/>
            <w:gridSpan w:val="17"/>
            <w:tcBorders>
              <w:top w:val="nil"/>
              <w:bottom w:val="single" w:sz="4" w:space="0" w:color="auto"/>
            </w:tcBorders>
            <w:noWrap/>
            <w:vAlign w:val="bottom"/>
          </w:tcPr>
          <w:p w:rsidR="008551FA" w:rsidRPr="00330DD3" w:rsidRDefault="00AF6496">
            <w:pPr>
              <w:rPr>
                <w:rFonts w:cs="Times New Roman"/>
                <w:b/>
                <w:i/>
                <w:sz w:val="20"/>
                <w:szCs w:val="20"/>
              </w:rPr>
            </w:pPr>
            <w:r w:rsidRPr="00330DD3">
              <w:rPr>
                <w:rFonts w:cs="Times New Roman"/>
                <w:b/>
                <w:bCs/>
                <w:i/>
                <w:sz w:val="20"/>
                <w:szCs w:val="20"/>
              </w:rPr>
              <w:t>Table 6</w:t>
            </w:r>
          </w:p>
          <w:p w:rsidR="0074006F" w:rsidRPr="00330DD3" w:rsidRDefault="00AF6496">
            <w:pPr>
              <w:rPr>
                <w:rFonts w:cs="Times New Roman"/>
                <w:b/>
                <w:bCs/>
                <w:i/>
                <w:sz w:val="20"/>
                <w:szCs w:val="20"/>
              </w:rPr>
            </w:pPr>
            <w:r w:rsidRPr="00330DD3">
              <w:rPr>
                <w:rFonts w:cs="Times New Roman"/>
                <w:b/>
                <w:i/>
                <w:sz w:val="20"/>
                <w:szCs w:val="20"/>
              </w:rPr>
              <w:t>The effect</w:t>
            </w:r>
            <w:r w:rsidR="009E7006" w:rsidRPr="00330DD3">
              <w:rPr>
                <w:rFonts w:cs="Times New Roman"/>
                <w:b/>
                <w:i/>
                <w:sz w:val="20"/>
                <w:szCs w:val="20"/>
              </w:rPr>
              <w:t>s</w:t>
            </w:r>
            <w:r w:rsidRPr="00330DD3">
              <w:rPr>
                <w:rFonts w:cs="Times New Roman"/>
                <w:b/>
                <w:i/>
                <w:sz w:val="20"/>
                <w:szCs w:val="20"/>
              </w:rPr>
              <w:t xml:space="preserve"> of corporate </w:t>
            </w:r>
            <w:r w:rsidR="009E7006" w:rsidRPr="00330DD3">
              <w:rPr>
                <w:rFonts w:cs="Times New Roman"/>
                <w:b/>
                <w:i/>
                <w:sz w:val="20"/>
                <w:szCs w:val="20"/>
              </w:rPr>
              <w:t xml:space="preserve">and Islamic </w:t>
            </w:r>
            <w:r w:rsidRPr="00330DD3">
              <w:rPr>
                <w:rFonts w:cs="Times New Roman"/>
                <w:b/>
                <w:i/>
                <w:sz w:val="20"/>
                <w:szCs w:val="20"/>
              </w:rPr>
              <w:t xml:space="preserve">governance </w:t>
            </w:r>
            <w:r w:rsidR="009E7006" w:rsidRPr="00330DD3">
              <w:rPr>
                <w:rFonts w:cs="Times New Roman"/>
                <w:b/>
                <w:i/>
                <w:sz w:val="20"/>
                <w:szCs w:val="20"/>
              </w:rPr>
              <w:t xml:space="preserve">mechanisms </w:t>
            </w:r>
            <w:r w:rsidRPr="00330DD3">
              <w:rPr>
                <w:rFonts w:cs="Times New Roman"/>
                <w:b/>
                <w:i/>
                <w:sz w:val="20"/>
                <w:szCs w:val="20"/>
              </w:rPr>
              <w:t xml:space="preserve">on </w:t>
            </w:r>
            <w:r w:rsidR="00536B4C" w:rsidRPr="00330DD3">
              <w:rPr>
                <w:rFonts w:cs="Times New Roman"/>
                <w:b/>
                <w:i/>
                <w:sz w:val="20"/>
                <w:szCs w:val="20"/>
              </w:rPr>
              <w:t xml:space="preserve">corporate </w:t>
            </w:r>
            <w:r w:rsidR="00CD1487" w:rsidRPr="00330DD3">
              <w:rPr>
                <w:rFonts w:cs="Times New Roman"/>
                <w:b/>
                <w:i/>
                <w:sz w:val="20"/>
                <w:szCs w:val="20"/>
              </w:rPr>
              <w:t>earnings managements</w:t>
            </w:r>
          </w:p>
        </w:tc>
      </w:tr>
      <w:tr w:rsidR="00B24C5E" w:rsidRPr="00C15F52" w:rsidTr="00F1660B">
        <w:trPr>
          <w:trHeight w:val="302"/>
          <w:jc w:val="center"/>
        </w:trPr>
        <w:tc>
          <w:tcPr>
            <w:tcW w:w="1704" w:type="dxa"/>
            <w:tcBorders>
              <w:top w:val="single" w:sz="4" w:space="0" w:color="auto"/>
              <w:bottom w:val="single" w:sz="4" w:space="0" w:color="auto"/>
            </w:tcBorders>
            <w:noWrap/>
            <w:vAlign w:val="bottom"/>
          </w:tcPr>
          <w:p w:rsidR="00B24C5E" w:rsidRPr="00330DD3" w:rsidRDefault="00AF6496" w:rsidP="00E04DA5">
            <w:pPr>
              <w:rPr>
                <w:rFonts w:cs="Times New Roman"/>
                <w:i/>
                <w:color w:val="000000"/>
                <w:sz w:val="16"/>
                <w:szCs w:val="16"/>
                <w:lang w:eastAsia="en-GB"/>
              </w:rPr>
            </w:pPr>
            <w:r w:rsidRPr="00330DD3">
              <w:rPr>
                <w:rFonts w:cs="Times New Roman"/>
                <w:i/>
                <w:color w:val="000000"/>
                <w:sz w:val="16"/>
                <w:szCs w:val="16"/>
                <w:lang w:eastAsia="en-GB"/>
              </w:rPr>
              <w:t> Model</w:t>
            </w:r>
          </w:p>
        </w:tc>
        <w:tc>
          <w:tcPr>
            <w:tcW w:w="1910" w:type="dxa"/>
            <w:gridSpan w:val="2"/>
            <w:tcBorders>
              <w:top w:val="single" w:sz="4" w:space="0" w:color="auto"/>
            </w:tcBorders>
            <w:noWrap/>
            <w:vAlign w:val="bottom"/>
          </w:tcPr>
          <w:p w:rsidR="00B24C5E" w:rsidRPr="00330DD3" w:rsidRDefault="00AF6496" w:rsidP="00E04DA5">
            <w:pPr>
              <w:jc w:val="center"/>
              <w:rPr>
                <w:rFonts w:cs="Times New Roman"/>
                <w:i/>
                <w:color w:val="000000"/>
                <w:sz w:val="16"/>
                <w:szCs w:val="16"/>
                <w:lang w:eastAsia="en-GB"/>
              </w:rPr>
            </w:pPr>
            <w:r w:rsidRPr="00330DD3">
              <w:rPr>
                <w:rFonts w:cs="Times New Roman"/>
                <w:i/>
                <w:color w:val="000000"/>
                <w:sz w:val="16"/>
                <w:szCs w:val="16"/>
                <w:lang w:eastAsia="en-GB"/>
              </w:rPr>
              <w:t>Model 1</w:t>
            </w:r>
          </w:p>
        </w:tc>
        <w:tc>
          <w:tcPr>
            <w:tcW w:w="1686" w:type="dxa"/>
            <w:gridSpan w:val="2"/>
            <w:tcBorders>
              <w:top w:val="single" w:sz="4" w:space="0" w:color="auto"/>
            </w:tcBorders>
            <w:vAlign w:val="bottom"/>
          </w:tcPr>
          <w:p w:rsidR="00B24C5E" w:rsidRPr="00330DD3" w:rsidRDefault="00AF6496" w:rsidP="00E04DA5">
            <w:pPr>
              <w:jc w:val="center"/>
              <w:rPr>
                <w:rFonts w:cs="Times New Roman"/>
                <w:i/>
                <w:color w:val="000000"/>
                <w:sz w:val="16"/>
                <w:szCs w:val="16"/>
                <w:lang w:eastAsia="en-GB"/>
              </w:rPr>
            </w:pPr>
            <w:r w:rsidRPr="00330DD3">
              <w:rPr>
                <w:rFonts w:cs="Times New Roman"/>
                <w:i/>
                <w:color w:val="000000"/>
                <w:sz w:val="16"/>
                <w:szCs w:val="16"/>
                <w:lang w:eastAsia="en-GB"/>
              </w:rPr>
              <w:t>Model 2</w:t>
            </w:r>
          </w:p>
        </w:tc>
        <w:tc>
          <w:tcPr>
            <w:tcW w:w="1771" w:type="dxa"/>
            <w:gridSpan w:val="2"/>
            <w:tcBorders>
              <w:top w:val="single" w:sz="4" w:space="0" w:color="auto"/>
            </w:tcBorders>
            <w:vAlign w:val="bottom"/>
          </w:tcPr>
          <w:p w:rsidR="00B24C5E" w:rsidRPr="00330DD3" w:rsidRDefault="00AF6496" w:rsidP="00E04DA5">
            <w:pPr>
              <w:jc w:val="center"/>
              <w:rPr>
                <w:rFonts w:cs="Times New Roman"/>
                <w:i/>
                <w:color w:val="000000"/>
                <w:sz w:val="16"/>
                <w:szCs w:val="16"/>
                <w:lang w:eastAsia="en-GB"/>
              </w:rPr>
            </w:pPr>
            <w:r w:rsidRPr="00330DD3">
              <w:rPr>
                <w:rFonts w:cs="Times New Roman"/>
                <w:i/>
                <w:color w:val="000000"/>
                <w:sz w:val="16"/>
                <w:szCs w:val="16"/>
                <w:lang w:eastAsia="en-GB"/>
              </w:rPr>
              <w:t>Model 3</w:t>
            </w:r>
          </w:p>
        </w:tc>
        <w:tc>
          <w:tcPr>
            <w:tcW w:w="1741" w:type="dxa"/>
            <w:gridSpan w:val="2"/>
            <w:tcBorders>
              <w:top w:val="single" w:sz="4" w:space="0" w:color="auto"/>
            </w:tcBorders>
            <w:vAlign w:val="bottom"/>
          </w:tcPr>
          <w:p w:rsidR="00B24C5E" w:rsidRPr="00330DD3" w:rsidRDefault="00AF6496" w:rsidP="00E04DA5">
            <w:pPr>
              <w:jc w:val="center"/>
              <w:rPr>
                <w:rFonts w:cs="Times New Roman"/>
                <w:i/>
                <w:color w:val="000000"/>
                <w:sz w:val="16"/>
                <w:szCs w:val="16"/>
                <w:lang w:eastAsia="en-GB"/>
              </w:rPr>
            </w:pPr>
            <w:r w:rsidRPr="00330DD3">
              <w:rPr>
                <w:rFonts w:cs="Times New Roman"/>
                <w:i/>
                <w:color w:val="000000"/>
                <w:sz w:val="16"/>
                <w:szCs w:val="16"/>
                <w:lang w:eastAsia="en-GB"/>
              </w:rPr>
              <w:t>Model 4</w:t>
            </w:r>
          </w:p>
        </w:tc>
        <w:tc>
          <w:tcPr>
            <w:tcW w:w="1771" w:type="dxa"/>
            <w:gridSpan w:val="2"/>
            <w:tcBorders>
              <w:top w:val="single" w:sz="4" w:space="0" w:color="auto"/>
            </w:tcBorders>
            <w:vAlign w:val="bottom"/>
          </w:tcPr>
          <w:p w:rsidR="00B24C5E" w:rsidRPr="00330DD3" w:rsidRDefault="00AF6496" w:rsidP="00E04DA5">
            <w:pPr>
              <w:jc w:val="center"/>
              <w:rPr>
                <w:rFonts w:cs="Times New Roman"/>
                <w:i/>
                <w:color w:val="000000"/>
                <w:sz w:val="16"/>
                <w:szCs w:val="16"/>
                <w:lang w:eastAsia="en-GB"/>
              </w:rPr>
            </w:pPr>
            <w:r w:rsidRPr="00330DD3">
              <w:rPr>
                <w:rFonts w:cs="Times New Roman"/>
                <w:i/>
                <w:color w:val="000000"/>
                <w:sz w:val="16"/>
                <w:szCs w:val="16"/>
                <w:lang w:eastAsia="en-GB"/>
              </w:rPr>
              <w:t>Model 5</w:t>
            </w:r>
          </w:p>
        </w:tc>
        <w:tc>
          <w:tcPr>
            <w:tcW w:w="1842" w:type="dxa"/>
            <w:gridSpan w:val="2"/>
            <w:tcBorders>
              <w:top w:val="single" w:sz="4" w:space="0" w:color="auto"/>
            </w:tcBorders>
            <w:vAlign w:val="bottom"/>
          </w:tcPr>
          <w:p w:rsidR="00B24C5E" w:rsidRPr="00330DD3" w:rsidRDefault="00AF6496" w:rsidP="00E04DA5">
            <w:pPr>
              <w:jc w:val="center"/>
              <w:rPr>
                <w:rFonts w:cs="Times New Roman"/>
                <w:i/>
                <w:color w:val="000000"/>
                <w:sz w:val="16"/>
                <w:szCs w:val="16"/>
                <w:lang w:eastAsia="en-GB"/>
              </w:rPr>
            </w:pPr>
            <w:r w:rsidRPr="00330DD3">
              <w:rPr>
                <w:rFonts w:cs="Times New Roman"/>
                <w:i/>
                <w:color w:val="000000"/>
                <w:sz w:val="16"/>
                <w:szCs w:val="16"/>
                <w:lang w:eastAsia="en-GB"/>
              </w:rPr>
              <w:t>Model 6</w:t>
            </w:r>
          </w:p>
        </w:tc>
        <w:tc>
          <w:tcPr>
            <w:tcW w:w="1985" w:type="dxa"/>
            <w:gridSpan w:val="2"/>
            <w:tcBorders>
              <w:top w:val="single" w:sz="4" w:space="0" w:color="auto"/>
            </w:tcBorders>
            <w:vAlign w:val="bottom"/>
          </w:tcPr>
          <w:p w:rsidR="00B24C5E" w:rsidRPr="00330DD3" w:rsidRDefault="00AF6496" w:rsidP="00E04DA5">
            <w:pPr>
              <w:jc w:val="center"/>
              <w:rPr>
                <w:rFonts w:cs="Times New Roman"/>
                <w:i/>
                <w:color w:val="000000"/>
                <w:sz w:val="16"/>
                <w:szCs w:val="16"/>
                <w:lang w:eastAsia="en-GB"/>
              </w:rPr>
            </w:pPr>
            <w:r w:rsidRPr="00330DD3">
              <w:rPr>
                <w:rFonts w:cs="Times New Roman"/>
                <w:i/>
                <w:color w:val="000000"/>
                <w:sz w:val="16"/>
                <w:szCs w:val="16"/>
                <w:lang w:eastAsia="en-GB"/>
              </w:rPr>
              <w:t>Model 7</w:t>
            </w:r>
          </w:p>
        </w:tc>
        <w:tc>
          <w:tcPr>
            <w:tcW w:w="1923" w:type="dxa"/>
            <w:gridSpan w:val="2"/>
            <w:tcBorders>
              <w:top w:val="single" w:sz="4" w:space="0" w:color="auto"/>
            </w:tcBorders>
            <w:vAlign w:val="bottom"/>
          </w:tcPr>
          <w:p w:rsidR="00B24C5E" w:rsidRPr="00330DD3" w:rsidRDefault="00AF6496" w:rsidP="00E04DA5">
            <w:pPr>
              <w:jc w:val="center"/>
              <w:rPr>
                <w:rFonts w:cs="Times New Roman"/>
                <w:i/>
                <w:color w:val="000000"/>
                <w:sz w:val="16"/>
                <w:szCs w:val="16"/>
                <w:lang w:eastAsia="en-GB"/>
              </w:rPr>
            </w:pPr>
            <w:r w:rsidRPr="00330DD3">
              <w:rPr>
                <w:rFonts w:cs="Times New Roman"/>
                <w:i/>
                <w:color w:val="000000"/>
                <w:sz w:val="16"/>
                <w:szCs w:val="16"/>
                <w:lang w:eastAsia="en-GB"/>
              </w:rPr>
              <w:t>Model 8</w:t>
            </w:r>
          </w:p>
        </w:tc>
      </w:tr>
      <w:tr w:rsidR="00B24C5E" w:rsidRPr="00C15F52" w:rsidTr="00F1660B">
        <w:trPr>
          <w:trHeight w:val="133"/>
          <w:jc w:val="center"/>
        </w:trPr>
        <w:tc>
          <w:tcPr>
            <w:tcW w:w="1704" w:type="dxa"/>
            <w:tcBorders>
              <w:top w:val="single" w:sz="4" w:space="0" w:color="auto"/>
              <w:bottom w:val="single" w:sz="12" w:space="0" w:color="auto"/>
            </w:tcBorders>
            <w:noWrap/>
            <w:vAlign w:val="bottom"/>
          </w:tcPr>
          <w:p w:rsidR="00B24C5E" w:rsidRPr="00330DD3" w:rsidRDefault="00AF6496" w:rsidP="00E04DA5">
            <w:pPr>
              <w:rPr>
                <w:rFonts w:cs="Times New Roman"/>
                <w:i/>
                <w:color w:val="000000"/>
                <w:sz w:val="16"/>
                <w:szCs w:val="16"/>
                <w:lang w:eastAsia="en-GB"/>
              </w:rPr>
            </w:pPr>
            <w:r w:rsidRPr="00330DD3">
              <w:rPr>
                <w:rFonts w:cs="Times New Roman"/>
                <w:i/>
                <w:sz w:val="16"/>
                <w:szCs w:val="16"/>
                <w:lang w:eastAsia="en-GB"/>
              </w:rPr>
              <w:t>Independent Variable</w:t>
            </w:r>
          </w:p>
        </w:tc>
        <w:tc>
          <w:tcPr>
            <w:tcW w:w="1014" w:type="dxa"/>
            <w:tcBorders>
              <w:bottom w:val="single" w:sz="12" w:space="0" w:color="auto"/>
            </w:tcBorders>
            <w:noWrap/>
            <w:vAlign w:val="center"/>
          </w:tcPr>
          <w:p w:rsidR="00B24C5E" w:rsidRPr="00330DD3" w:rsidRDefault="00AF6496" w:rsidP="00282A19">
            <w:pPr>
              <w:rPr>
                <w:rFonts w:cs="Times New Roman"/>
                <w:b/>
                <w:bCs/>
                <w:i/>
                <w:color w:val="000000"/>
                <w:sz w:val="16"/>
                <w:szCs w:val="16"/>
                <w:lang w:eastAsia="en-GB"/>
              </w:rPr>
            </w:pPr>
            <w:r w:rsidRPr="00330DD3">
              <w:rPr>
                <w:rFonts w:cs="Times New Roman"/>
                <w:i/>
                <w:color w:val="000000"/>
                <w:sz w:val="16"/>
                <w:szCs w:val="16"/>
                <w:lang w:eastAsia="en-GB"/>
              </w:rPr>
              <w:t>Coeff</w:t>
            </w:r>
            <w:r w:rsidRPr="00330DD3">
              <w:rPr>
                <w:rFonts w:cs="Times New Roman"/>
                <w:b/>
                <w:bCs/>
                <w:i/>
                <w:color w:val="000000"/>
                <w:sz w:val="16"/>
                <w:szCs w:val="16"/>
                <w:lang w:eastAsia="en-GB"/>
              </w:rPr>
              <w:t>.</w:t>
            </w:r>
          </w:p>
        </w:tc>
        <w:tc>
          <w:tcPr>
            <w:tcW w:w="896" w:type="dxa"/>
            <w:tcBorders>
              <w:bottom w:val="single" w:sz="12" w:space="0" w:color="auto"/>
            </w:tcBorders>
            <w:noWrap/>
            <w:vAlign w:val="center"/>
          </w:tcPr>
          <w:p w:rsidR="00B24C5E" w:rsidRPr="00330DD3" w:rsidRDefault="00AF6496" w:rsidP="00E04DA5">
            <w:pPr>
              <w:rPr>
                <w:rFonts w:cs="Times New Roman"/>
                <w:i/>
                <w:color w:val="000000"/>
                <w:sz w:val="16"/>
                <w:szCs w:val="16"/>
                <w:lang w:eastAsia="en-GB"/>
              </w:rPr>
            </w:pPr>
            <w:r w:rsidRPr="00330DD3">
              <w:rPr>
                <w:rFonts w:cs="Times New Roman"/>
                <w:i/>
                <w:iCs/>
                <w:color w:val="000000"/>
                <w:sz w:val="16"/>
                <w:szCs w:val="16"/>
                <w:lang w:eastAsia="en-GB"/>
              </w:rPr>
              <w:t>P</w:t>
            </w:r>
            <w:r w:rsidRPr="00330DD3">
              <w:rPr>
                <w:rFonts w:cs="Times New Roman"/>
                <w:i/>
                <w:color w:val="000000"/>
                <w:sz w:val="16"/>
                <w:szCs w:val="16"/>
                <w:lang w:eastAsia="en-GB"/>
              </w:rPr>
              <w:t>-values</w:t>
            </w:r>
          </w:p>
        </w:tc>
        <w:tc>
          <w:tcPr>
            <w:tcW w:w="790" w:type="dxa"/>
            <w:tcBorders>
              <w:bottom w:val="single" w:sz="12" w:space="0" w:color="auto"/>
            </w:tcBorders>
            <w:noWrap/>
            <w:vAlign w:val="center"/>
          </w:tcPr>
          <w:p w:rsidR="00B24C5E" w:rsidRPr="00330DD3" w:rsidRDefault="00AF6496" w:rsidP="00282A19">
            <w:pPr>
              <w:rPr>
                <w:rFonts w:cs="Times New Roman"/>
                <w:b/>
                <w:bCs/>
                <w:i/>
                <w:color w:val="000000"/>
                <w:sz w:val="16"/>
                <w:szCs w:val="16"/>
                <w:lang w:eastAsia="en-GB"/>
              </w:rPr>
            </w:pPr>
            <w:r w:rsidRPr="00330DD3">
              <w:rPr>
                <w:rFonts w:cs="Times New Roman"/>
                <w:i/>
                <w:color w:val="000000"/>
                <w:sz w:val="16"/>
                <w:szCs w:val="16"/>
                <w:lang w:eastAsia="en-GB"/>
              </w:rPr>
              <w:t>Coeff</w:t>
            </w:r>
            <w:r w:rsidRPr="00330DD3">
              <w:rPr>
                <w:rFonts w:cs="Times New Roman"/>
                <w:b/>
                <w:bCs/>
                <w:i/>
                <w:color w:val="000000"/>
                <w:sz w:val="16"/>
                <w:szCs w:val="16"/>
                <w:lang w:eastAsia="en-GB"/>
              </w:rPr>
              <w:t>.</w:t>
            </w:r>
          </w:p>
        </w:tc>
        <w:tc>
          <w:tcPr>
            <w:tcW w:w="896" w:type="dxa"/>
            <w:tcBorders>
              <w:bottom w:val="single" w:sz="12" w:space="0" w:color="auto"/>
            </w:tcBorders>
            <w:noWrap/>
            <w:vAlign w:val="center"/>
          </w:tcPr>
          <w:p w:rsidR="00B24C5E" w:rsidRPr="00330DD3" w:rsidRDefault="00AF6496" w:rsidP="00282A19">
            <w:pPr>
              <w:rPr>
                <w:rFonts w:cs="Times New Roman"/>
                <w:i/>
                <w:color w:val="000000"/>
                <w:sz w:val="16"/>
                <w:szCs w:val="16"/>
                <w:lang w:eastAsia="en-GB"/>
              </w:rPr>
            </w:pPr>
            <w:r w:rsidRPr="00330DD3">
              <w:rPr>
                <w:rFonts w:cs="Times New Roman"/>
                <w:i/>
                <w:iCs/>
                <w:color w:val="000000"/>
                <w:sz w:val="16"/>
                <w:szCs w:val="16"/>
                <w:lang w:eastAsia="en-GB"/>
              </w:rPr>
              <w:t>P</w:t>
            </w:r>
            <w:r w:rsidRPr="00330DD3">
              <w:rPr>
                <w:rFonts w:cs="Times New Roman"/>
                <w:i/>
                <w:color w:val="000000"/>
                <w:sz w:val="16"/>
                <w:szCs w:val="16"/>
                <w:lang w:eastAsia="en-GB"/>
              </w:rPr>
              <w:t>-values</w:t>
            </w:r>
          </w:p>
        </w:tc>
        <w:tc>
          <w:tcPr>
            <w:tcW w:w="790" w:type="dxa"/>
            <w:tcBorders>
              <w:bottom w:val="single" w:sz="12" w:space="0" w:color="auto"/>
            </w:tcBorders>
            <w:noWrap/>
            <w:vAlign w:val="center"/>
          </w:tcPr>
          <w:p w:rsidR="00B24C5E" w:rsidRPr="00330DD3" w:rsidRDefault="00AF6496" w:rsidP="00282A19">
            <w:pPr>
              <w:rPr>
                <w:rFonts w:cs="Times New Roman"/>
                <w:b/>
                <w:bCs/>
                <w:i/>
                <w:color w:val="000000"/>
                <w:sz w:val="16"/>
                <w:szCs w:val="16"/>
                <w:lang w:eastAsia="en-GB"/>
              </w:rPr>
            </w:pPr>
            <w:r w:rsidRPr="00330DD3">
              <w:rPr>
                <w:rFonts w:cs="Times New Roman"/>
                <w:i/>
                <w:color w:val="000000"/>
                <w:sz w:val="16"/>
                <w:szCs w:val="16"/>
                <w:lang w:eastAsia="en-GB"/>
              </w:rPr>
              <w:t>Coeff</w:t>
            </w:r>
            <w:r w:rsidRPr="00330DD3">
              <w:rPr>
                <w:rFonts w:cs="Times New Roman"/>
                <w:b/>
                <w:bCs/>
                <w:i/>
                <w:color w:val="000000"/>
                <w:sz w:val="16"/>
                <w:szCs w:val="16"/>
                <w:lang w:eastAsia="en-GB"/>
              </w:rPr>
              <w:t>.</w:t>
            </w:r>
          </w:p>
        </w:tc>
        <w:tc>
          <w:tcPr>
            <w:tcW w:w="981" w:type="dxa"/>
            <w:tcBorders>
              <w:bottom w:val="single" w:sz="12" w:space="0" w:color="auto"/>
            </w:tcBorders>
            <w:vAlign w:val="center"/>
          </w:tcPr>
          <w:p w:rsidR="00B24C5E" w:rsidRPr="00330DD3" w:rsidRDefault="00AF6496" w:rsidP="00282A19">
            <w:pPr>
              <w:rPr>
                <w:rFonts w:cs="Times New Roman"/>
                <w:i/>
                <w:color w:val="000000"/>
                <w:sz w:val="16"/>
                <w:szCs w:val="16"/>
                <w:lang w:eastAsia="en-GB"/>
              </w:rPr>
            </w:pPr>
            <w:r w:rsidRPr="00330DD3">
              <w:rPr>
                <w:rFonts w:cs="Times New Roman"/>
                <w:i/>
                <w:iCs/>
                <w:color w:val="000000"/>
                <w:sz w:val="16"/>
                <w:szCs w:val="16"/>
                <w:lang w:eastAsia="en-GB"/>
              </w:rPr>
              <w:t>P</w:t>
            </w:r>
            <w:r w:rsidRPr="00330DD3">
              <w:rPr>
                <w:rFonts w:cs="Times New Roman"/>
                <w:i/>
                <w:color w:val="000000"/>
                <w:sz w:val="16"/>
                <w:szCs w:val="16"/>
                <w:lang w:eastAsia="en-GB"/>
              </w:rPr>
              <w:t>-values</w:t>
            </w:r>
          </w:p>
        </w:tc>
        <w:tc>
          <w:tcPr>
            <w:tcW w:w="850" w:type="dxa"/>
            <w:tcBorders>
              <w:left w:val="nil"/>
              <w:bottom w:val="single" w:sz="12" w:space="0" w:color="auto"/>
            </w:tcBorders>
            <w:vAlign w:val="center"/>
          </w:tcPr>
          <w:p w:rsidR="00B24C5E" w:rsidRPr="00330DD3" w:rsidRDefault="00AF6496" w:rsidP="00282A19">
            <w:pPr>
              <w:rPr>
                <w:rFonts w:cs="Times New Roman"/>
                <w:b/>
                <w:bCs/>
                <w:i/>
                <w:color w:val="000000"/>
                <w:sz w:val="16"/>
                <w:szCs w:val="16"/>
                <w:lang w:eastAsia="en-GB"/>
              </w:rPr>
            </w:pPr>
            <w:r w:rsidRPr="00330DD3">
              <w:rPr>
                <w:rFonts w:cs="Times New Roman"/>
                <w:i/>
                <w:color w:val="000000"/>
                <w:sz w:val="16"/>
                <w:szCs w:val="16"/>
                <w:lang w:eastAsia="en-GB"/>
              </w:rPr>
              <w:t>Coeff</w:t>
            </w:r>
            <w:r w:rsidRPr="00330DD3">
              <w:rPr>
                <w:rFonts w:cs="Times New Roman"/>
                <w:b/>
                <w:bCs/>
                <w:i/>
                <w:color w:val="000000"/>
                <w:sz w:val="16"/>
                <w:szCs w:val="16"/>
                <w:lang w:eastAsia="en-GB"/>
              </w:rPr>
              <w:t>.</w:t>
            </w:r>
          </w:p>
        </w:tc>
        <w:tc>
          <w:tcPr>
            <w:tcW w:w="891" w:type="dxa"/>
            <w:tcBorders>
              <w:bottom w:val="single" w:sz="12" w:space="0" w:color="auto"/>
            </w:tcBorders>
            <w:noWrap/>
            <w:vAlign w:val="center"/>
          </w:tcPr>
          <w:p w:rsidR="00B24C5E" w:rsidRPr="00330DD3" w:rsidRDefault="00AF6496" w:rsidP="00282A19">
            <w:pPr>
              <w:rPr>
                <w:rFonts w:cs="Times New Roman"/>
                <w:i/>
                <w:color w:val="000000"/>
                <w:sz w:val="16"/>
                <w:szCs w:val="16"/>
                <w:lang w:eastAsia="en-GB"/>
              </w:rPr>
            </w:pPr>
            <w:r w:rsidRPr="00330DD3">
              <w:rPr>
                <w:rFonts w:cs="Times New Roman"/>
                <w:i/>
                <w:iCs/>
                <w:color w:val="000000"/>
                <w:sz w:val="16"/>
                <w:szCs w:val="16"/>
                <w:lang w:eastAsia="en-GB"/>
              </w:rPr>
              <w:t>P</w:t>
            </w:r>
            <w:r w:rsidRPr="00330DD3">
              <w:rPr>
                <w:rFonts w:cs="Times New Roman"/>
                <w:i/>
                <w:color w:val="000000"/>
                <w:sz w:val="16"/>
                <w:szCs w:val="16"/>
                <w:lang w:eastAsia="en-GB"/>
              </w:rPr>
              <w:t>-values</w:t>
            </w:r>
          </w:p>
        </w:tc>
        <w:tc>
          <w:tcPr>
            <w:tcW w:w="790" w:type="dxa"/>
            <w:tcBorders>
              <w:bottom w:val="single" w:sz="12" w:space="0" w:color="auto"/>
            </w:tcBorders>
            <w:vAlign w:val="center"/>
          </w:tcPr>
          <w:p w:rsidR="00B24C5E" w:rsidRPr="00330DD3" w:rsidRDefault="00AF6496" w:rsidP="00282A19">
            <w:pPr>
              <w:rPr>
                <w:rFonts w:cs="Times New Roman"/>
                <w:i/>
                <w:color w:val="000000"/>
                <w:sz w:val="16"/>
                <w:szCs w:val="16"/>
                <w:lang w:eastAsia="en-GB"/>
              </w:rPr>
            </w:pPr>
            <w:r w:rsidRPr="00330DD3">
              <w:rPr>
                <w:rFonts w:cs="Times New Roman"/>
                <w:i/>
                <w:color w:val="000000"/>
                <w:sz w:val="16"/>
                <w:szCs w:val="16"/>
                <w:lang w:eastAsia="en-GB"/>
              </w:rPr>
              <w:t>Coeff</w:t>
            </w:r>
            <w:r w:rsidRPr="00330DD3">
              <w:rPr>
                <w:rFonts w:cs="Times New Roman"/>
                <w:b/>
                <w:bCs/>
                <w:i/>
                <w:color w:val="000000"/>
                <w:sz w:val="16"/>
                <w:szCs w:val="16"/>
                <w:lang w:eastAsia="en-GB"/>
              </w:rPr>
              <w:t>.</w:t>
            </w:r>
          </w:p>
        </w:tc>
        <w:tc>
          <w:tcPr>
            <w:tcW w:w="981" w:type="dxa"/>
            <w:tcBorders>
              <w:bottom w:val="single" w:sz="12" w:space="0" w:color="auto"/>
            </w:tcBorders>
            <w:vAlign w:val="center"/>
          </w:tcPr>
          <w:p w:rsidR="00B24C5E" w:rsidRPr="00330DD3" w:rsidRDefault="00AF6496" w:rsidP="00282A19">
            <w:pPr>
              <w:rPr>
                <w:rFonts w:cs="Times New Roman"/>
                <w:i/>
                <w:color w:val="000000"/>
                <w:sz w:val="16"/>
                <w:szCs w:val="16"/>
                <w:lang w:eastAsia="en-GB"/>
              </w:rPr>
            </w:pPr>
            <w:r w:rsidRPr="00330DD3">
              <w:rPr>
                <w:rFonts w:cs="Times New Roman"/>
                <w:i/>
                <w:iCs/>
                <w:color w:val="000000"/>
                <w:sz w:val="16"/>
                <w:szCs w:val="16"/>
                <w:lang w:eastAsia="en-GB"/>
              </w:rPr>
              <w:t>P</w:t>
            </w:r>
            <w:r w:rsidRPr="00330DD3">
              <w:rPr>
                <w:rFonts w:cs="Times New Roman"/>
                <w:i/>
                <w:color w:val="000000"/>
                <w:sz w:val="16"/>
                <w:szCs w:val="16"/>
                <w:lang w:eastAsia="en-GB"/>
              </w:rPr>
              <w:t>-values</w:t>
            </w:r>
          </w:p>
        </w:tc>
        <w:tc>
          <w:tcPr>
            <w:tcW w:w="850" w:type="dxa"/>
            <w:tcBorders>
              <w:bottom w:val="single" w:sz="12" w:space="0" w:color="auto"/>
            </w:tcBorders>
            <w:vAlign w:val="center"/>
          </w:tcPr>
          <w:p w:rsidR="00B24C5E" w:rsidRPr="00330DD3" w:rsidRDefault="00AF6496" w:rsidP="00282A19">
            <w:pPr>
              <w:rPr>
                <w:rFonts w:cs="Times New Roman"/>
                <w:i/>
                <w:color w:val="000000"/>
                <w:sz w:val="16"/>
                <w:szCs w:val="16"/>
                <w:lang w:eastAsia="en-GB"/>
              </w:rPr>
            </w:pPr>
            <w:r w:rsidRPr="00330DD3">
              <w:rPr>
                <w:rFonts w:cs="Times New Roman"/>
                <w:i/>
                <w:color w:val="000000"/>
                <w:sz w:val="16"/>
                <w:szCs w:val="16"/>
                <w:lang w:eastAsia="en-GB"/>
              </w:rPr>
              <w:t>Coeff</w:t>
            </w:r>
            <w:r w:rsidRPr="00330DD3">
              <w:rPr>
                <w:rFonts w:cs="Times New Roman"/>
                <w:b/>
                <w:bCs/>
                <w:i/>
                <w:color w:val="000000"/>
                <w:sz w:val="16"/>
                <w:szCs w:val="16"/>
                <w:lang w:eastAsia="en-GB"/>
              </w:rPr>
              <w:t>.</w:t>
            </w:r>
          </w:p>
        </w:tc>
        <w:tc>
          <w:tcPr>
            <w:tcW w:w="992" w:type="dxa"/>
            <w:tcBorders>
              <w:bottom w:val="single" w:sz="12" w:space="0" w:color="auto"/>
            </w:tcBorders>
            <w:vAlign w:val="center"/>
          </w:tcPr>
          <w:p w:rsidR="00B24C5E" w:rsidRPr="00330DD3" w:rsidRDefault="00AF6496" w:rsidP="00282A19">
            <w:pPr>
              <w:rPr>
                <w:rFonts w:cs="Times New Roman"/>
                <w:i/>
                <w:color w:val="000000"/>
                <w:sz w:val="16"/>
                <w:szCs w:val="16"/>
                <w:lang w:eastAsia="en-GB"/>
              </w:rPr>
            </w:pPr>
            <w:r w:rsidRPr="00330DD3">
              <w:rPr>
                <w:rFonts w:cs="Times New Roman"/>
                <w:i/>
                <w:iCs/>
                <w:color w:val="000000"/>
                <w:sz w:val="16"/>
                <w:szCs w:val="16"/>
                <w:lang w:eastAsia="en-GB"/>
              </w:rPr>
              <w:t>P</w:t>
            </w:r>
            <w:r w:rsidRPr="00330DD3">
              <w:rPr>
                <w:rFonts w:cs="Times New Roman"/>
                <w:i/>
                <w:color w:val="000000"/>
                <w:sz w:val="16"/>
                <w:szCs w:val="16"/>
                <w:lang w:eastAsia="en-GB"/>
              </w:rPr>
              <w:t>-values</w:t>
            </w:r>
          </w:p>
        </w:tc>
        <w:tc>
          <w:tcPr>
            <w:tcW w:w="993" w:type="dxa"/>
            <w:tcBorders>
              <w:bottom w:val="single" w:sz="12" w:space="0" w:color="auto"/>
            </w:tcBorders>
            <w:vAlign w:val="center"/>
          </w:tcPr>
          <w:p w:rsidR="00B24C5E" w:rsidRPr="00330DD3" w:rsidRDefault="00AF6496" w:rsidP="00282A19">
            <w:pPr>
              <w:rPr>
                <w:rFonts w:cs="Times New Roman"/>
                <w:i/>
                <w:color w:val="000000"/>
                <w:sz w:val="16"/>
                <w:szCs w:val="16"/>
                <w:lang w:eastAsia="en-GB"/>
              </w:rPr>
            </w:pPr>
            <w:r w:rsidRPr="00330DD3">
              <w:rPr>
                <w:rFonts w:cs="Times New Roman"/>
                <w:i/>
                <w:color w:val="000000"/>
                <w:sz w:val="16"/>
                <w:szCs w:val="16"/>
                <w:lang w:eastAsia="en-GB"/>
              </w:rPr>
              <w:t>Coeff</w:t>
            </w:r>
            <w:r w:rsidRPr="00330DD3">
              <w:rPr>
                <w:rFonts w:cs="Times New Roman"/>
                <w:b/>
                <w:bCs/>
                <w:i/>
                <w:color w:val="000000"/>
                <w:sz w:val="16"/>
                <w:szCs w:val="16"/>
                <w:lang w:eastAsia="en-GB"/>
              </w:rPr>
              <w:t>.</w:t>
            </w:r>
          </w:p>
        </w:tc>
        <w:tc>
          <w:tcPr>
            <w:tcW w:w="992" w:type="dxa"/>
            <w:tcBorders>
              <w:bottom w:val="single" w:sz="12" w:space="0" w:color="auto"/>
            </w:tcBorders>
            <w:vAlign w:val="center"/>
          </w:tcPr>
          <w:p w:rsidR="00B24C5E" w:rsidRPr="00330DD3" w:rsidRDefault="00AF6496" w:rsidP="00282A19">
            <w:pPr>
              <w:rPr>
                <w:rFonts w:cs="Times New Roman"/>
                <w:i/>
                <w:color w:val="000000"/>
                <w:sz w:val="16"/>
                <w:szCs w:val="16"/>
                <w:lang w:eastAsia="en-GB"/>
              </w:rPr>
            </w:pPr>
            <w:r w:rsidRPr="00330DD3">
              <w:rPr>
                <w:rFonts w:cs="Times New Roman"/>
                <w:i/>
                <w:iCs/>
                <w:color w:val="000000"/>
                <w:sz w:val="16"/>
                <w:szCs w:val="16"/>
                <w:lang w:eastAsia="en-GB"/>
              </w:rPr>
              <w:t>P</w:t>
            </w:r>
            <w:r w:rsidRPr="00330DD3">
              <w:rPr>
                <w:rFonts w:cs="Times New Roman"/>
                <w:i/>
                <w:color w:val="000000"/>
                <w:sz w:val="16"/>
                <w:szCs w:val="16"/>
                <w:lang w:eastAsia="en-GB"/>
              </w:rPr>
              <w:t>-values</w:t>
            </w:r>
          </w:p>
        </w:tc>
        <w:tc>
          <w:tcPr>
            <w:tcW w:w="973" w:type="dxa"/>
            <w:tcBorders>
              <w:bottom w:val="single" w:sz="12" w:space="0" w:color="auto"/>
            </w:tcBorders>
            <w:vAlign w:val="center"/>
          </w:tcPr>
          <w:p w:rsidR="00B24C5E" w:rsidRPr="00330DD3" w:rsidRDefault="00AF6496" w:rsidP="00282A19">
            <w:pPr>
              <w:rPr>
                <w:rFonts w:cs="Times New Roman"/>
                <w:i/>
                <w:color w:val="000000"/>
                <w:sz w:val="16"/>
                <w:szCs w:val="16"/>
                <w:lang w:eastAsia="en-GB"/>
              </w:rPr>
            </w:pPr>
            <w:r w:rsidRPr="00330DD3">
              <w:rPr>
                <w:rFonts w:cs="Times New Roman"/>
                <w:i/>
                <w:color w:val="000000"/>
                <w:sz w:val="16"/>
                <w:szCs w:val="16"/>
                <w:lang w:eastAsia="en-GB"/>
              </w:rPr>
              <w:t>Coeff</w:t>
            </w:r>
            <w:r w:rsidRPr="00330DD3">
              <w:rPr>
                <w:rFonts w:cs="Times New Roman"/>
                <w:b/>
                <w:bCs/>
                <w:i/>
                <w:color w:val="000000"/>
                <w:sz w:val="16"/>
                <w:szCs w:val="16"/>
                <w:lang w:eastAsia="en-GB"/>
              </w:rPr>
              <w:t>.</w:t>
            </w:r>
          </w:p>
        </w:tc>
        <w:tc>
          <w:tcPr>
            <w:tcW w:w="950" w:type="dxa"/>
            <w:tcBorders>
              <w:bottom w:val="single" w:sz="12" w:space="0" w:color="auto"/>
            </w:tcBorders>
          </w:tcPr>
          <w:p w:rsidR="00B24C5E" w:rsidRPr="00330DD3" w:rsidRDefault="00AF6496" w:rsidP="00E04DA5">
            <w:pPr>
              <w:rPr>
                <w:rFonts w:cs="Times New Roman"/>
                <w:i/>
                <w:color w:val="000000"/>
                <w:sz w:val="16"/>
                <w:szCs w:val="16"/>
                <w:lang w:eastAsia="en-GB"/>
              </w:rPr>
            </w:pPr>
            <w:r w:rsidRPr="00330DD3">
              <w:rPr>
                <w:rFonts w:cs="Times New Roman"/>
                <w:i/>
                <w:iCs/>
                <w:color w:val="000000"/>
                <w:sz w:val="16"/>
                <w:szCs w:val="16"/>
                <w:lang w:eastAsia="en-GB"/>
              </w:rPr>
              <w:t>P</w:t>
            </w:r>
            <w:r w:rsidRPr="00330DD3">
              <w:rPr>
                <w:rFonts w:cs="Times New Roman"/>
                <w:i/>
                <w:color w:val="000000"/>
                <w:sz w:val="16"/>
                <w:szCs w:val="16"/>
                <w:lang w:eastAsia="en-GB"/>
              </w:rPr>
              <w:t>-values</w:t>
            </w:r>
          </w:p>
        </w:tc>
      </w:tr>
      <w:tr w:rsidR="005A138F" w:rsidRPr="00C15F52" w:rsidTr="005F1FAA">
        <w:trPr>
          <w:trHeight w:val="230"/>
          <w:jc w:val="center"/>
        </w:trPr>
        <w:tc>
          <w:tcPr>
            <w:tcW w:w="1704" w:type="dxa"/>
            <w:noWrap/>
            <w:vAlign w:val="bottom"/>
          </w:tcPr>
          <w:p w:rsidR="005A138F" w:rsidRPr="00330DD3" w:rsidRDefault="005A138F" w:rsidP="00DD5F1A">
            <w:pPr>
              <w:rPr>
                <w:rFonts w:cs="Times New Roman"/>
                <w:i/>
                <w:sz w:val="16"/>
                <w:szCs w:val="16"/>
              </w:rPr>
            </w:pPr>
            <w:r w:rsidRPr="00330DD3">
              <w:rPr>
                <w:rFonts w:cs="Times New Roman"/>
                <w:i/>
                <w:sz w:val="16"/>
                <w:szCs w:val="16"/>
              </w:rPr>
              <w:t xml:space="preserve">  OCGI</w:t>
            </w:r>
          </w:p>
        </w:tc>
        <w:tc>
          <w:tcPr>
            <w:tcW w:w="1014" w:type="dxa"/>
            <w:noWrap/>
            <w:vAlign w:val="center"/>
          </w:tcPr>
          <w:p w:rsidR="005A138F" w:rsidRPr="00330DD3" w:rsidRDefault="005A138F" w:rsidP="005F1FAA">
            <w:pPr>
              <w:jc w:val="right"/>
              <w:rPr>
                <w:rFonts w:ascii="Calibri" w:hAnsi="Calibri" w:cs="Calibri"/>
                <w:i/>
                <w:color w:val="000000"/>
                <w:sz w:val="16"/>
                <w:szCs w:val="16"/>
              </w:rPr>
            </w:pPr>
            <w:r w:rsidRPr="00330DD3">
              <w:rPr>
                <w:rFonts w:ascii="Calibri" w:hAnsi="Calibri" w:cs="Calibri"/>
                <w:i/>
                <w:color w:val="000000"/>
                <w:sz w:val="16"/>
                <w:szCs w:val="16"/>
              </w:rPr>
              <w:t>-0.0005</w:t>
            </w:r>
          </w:p>
        </w:tc>
        <w:tc>
          <w:tcPr>
            <w:tcW w:w="896" w:type="dxa"/>
            <w:noWrap/>
            <w:vAlign w:val="center"/>
          </w:tcPr>
          <w:p w:rsidR="005A138F" w:rsidRPr="00330DD3" w:rsidRDefault="005A138F" w:rsidP="005F1FAA">
            <w:pPr>
              <w:rPr>
                <w:i/>
                <w:color w:val="000000"/>
                <w:sz w:val="16"/>
                <w:szCs w:val="16"/>
              </w:rPr>
            </w:pPr>
            <w:r w:rsidRPr="00330DD3">
              <w:rPr>
                <w:i/>
                <w:color w:val="000000"/>
                <w:sz w:val="16"/>
                <w:szCs w:val="16"/>
              </w:rPr>
              <w:t>0.0749</w:t>
            </w:r>
            <w:r w:rsidRPr="00330DD3">
              <w:rPr>
                <w:i/>
                <w:color w:val="000000"/>
                <w:sz w:val="16"/>
                <w:szCs w:val="16"/>
                <w:vertAlign w:val="superscript"/>
              </w:rPr>
              <w:t>*</w:t>
            </w:r>
          </w:p>
        </w:tc>
        <w:tc>
          <w:tcPr>
            <w:tcW w:w="790" w:type="dxa"/>
            <w:noWrap/>
            <w:vAlign w:val="center"/>
          </w:tcPr>
          <w:p w:rsidR="005A138F" w:rsidRPr="00330DD3" w:rsidRDefault="005A138F" w:rsidP="005F1FAA">
            <w:pPr>
              <w:jc w:val="right"/>
              <w:rPr>
                <w:i/>
                <w:color w:val="000000"/>
                <w:sz w:val="16"/>
                <w:szCs w:val="16"/>
              </w:rPr>
            </w:pPr>
            <w:r w:rsidRPr="00330DD3">
              <w:rPr>
                <w:i/>
                <w:color w:val="000000"/>
                <w:sz w:val="16"/>
                <w:szCs w:val="16"/>
              </w:rPr>
              <w:t>-0.0004</w:t>
            </w:r>
          </w:p>
        </w:tc>
        <w:tc>
          <w:tcPr>
            <w:tcW w:w="896" w:type="dxa"/>
            <w:noWrap/>
            <w:vAlign w:val="center"/>
          </w:tcPr>
          <w:p w:rsidR="005A138F" w:rsidRPr="00330DD3" w:rsidRDefault="005A138F" w:rsidP="005F1FAA">
            <w:pPr>
              <w:rPr>
                <w:i/>
                <w:color w:val="000000"/>
                <w:sz w:val="16"/>
                <w:szCs w:val="16"/>
              </w:rPr>
            </w:pPr>
            <w:r w:rsidRPr="00330DD3">
              <w:rPr>
                <w:i/>
                <w:color w:val="000000"/>
                <w:sz w:val="16"/>
                <w:szCs w:val="16"/>
              </w:rPr>
              <w:t>0.0800</w:t>
            </w:r>
            <w:r w:rsidRPr="00330DD3">
              <w:rPr>
                <w:i/>
                <w:color w:val="000000"/>
                <w:sz w:val="16"/>
                <w:szCs w:val="16"/>
                <w:vertAlign w:val="superscript"/>
              </w:rPr>
              <w:t>*</w:t>
            </w:r>
          </w:p>
        </w:tc>
        <w:tc>
          <w:tcPr>
            <w:tcW w:w="790" w:type="dxa"/>
            <w:noWrap/>
            <w:vAlign w:val="center"/>
          </w:tcPr>
          <w:p w:rsidR="005A138F" w:rsidRPr="00330DD3" w:rsidRDefault="005A138F" w:rsidP="005F1FAA">
            <w:pPr>
              <w:jc w:val="center"/>
              <w:rPr>
                <w:rFonts w:cs="Times New Roman"/>
                <w:i/>
                <w:color w:val="000000"/>
                <w:sz w:val="16"/>
                <w:szCs w:val="16"/>
              </w:rPr>
            </w:pPr>
            <w:r w:rsidRPr="00330DD3">
              <w:rPr>
                <w:rFonts w:cs="Times New Roman"/>
                <w:i/>
                <w:color w:val="000000"/>
                <w:sz w:val="16"/>
                <w:szCs w:val="16"/>
              </w:rPr>
              <w:t>-</w:t>
            </w:r>
          </w:p>
        </w:tc>
        <w:tc>
          <w:tcPr>
            <w:tcW w:w="981" w:type="dxa"/>
            <w:vAlign w:val="center"/>
          </w:tcPr>
          <w:p w:rsidR="005A138F" w:rsidRPr="00330DD3" w:rsidRDefault="00AC4992" w:rsidP="00AC4992">
            <w:pPr>
              <w:rPr>
                <w:rFonts w:cs="Times New Roman"/>
                <w:i/>
                <w:color w:val="000000"/>
                <w:sz w:val="16"/>
                <w:szCs w:val="16"/>
              </w:rPr>
            </w:pPr>
            <w:r w:rsidRPr="00330DD3">
              <w:rPr>
                <w:rFonts w:cs="Times New Roman"/>
                <w:i/>
                <w:color w:val="000000"/>
                <w:sz w:val="16"/>
                <w:szCs w:val="16"/>
              </w:rPr>
              <w:t xml:space="preserve">      </w:t>
            </w:r>
            <w:r w:rsidR="005A138F" w:rsidRPr="00330DD3">
              <w:rPr>
                <w:rFonts w:cs="Times New Roman"/>
                <w:i/>
                <w:color w:val="000000"/>
                <w:sz w:val="16"/>
                <w:szCs w:val="16"/>
              </w:rPr>
              <w:t>-</w:t>
            </w:r>
          </w:p>
        </w:tc>
        <w:tc>
          <w:tcPr>
            <w:tcW w:w="850" w:type="dxa"/>
            <w:tcBorders>
              <w:left w:val="nil"/>
            </w:tcBorders>
            <w:vAlign w:val="center"/>
          </w:tcPr>
          <w:p w:rsidR="005A138F" w:rsidRPr="00330DD3" w:rsidRDefault="005A138F" w:rsidP="005F1FAA">
            <w:pPr>
              <w:jc w:val="center"/>
              <w:rPr>
                <w:rFonts w:cs="Times New Roman"/>
                <w:i/>
                <w:color w:val="000000"/>
                <w:sz w:val="16"/>
                <w:szCs w:val="16"/>
              </w:rPr>
            </w:pPr>
            <w:r w:rsidRPr="00330DD3">
              <w:rPr>
                <w:rFonts w:cs="Times New Roman"/>
                <w:i/>
                <w:color w:val="000000"/>
                <w:sz w:val="16"/>
                <w:szCs w:val="16"/>
              </w:rPr>
              <w:t>-</w:t>
            </w:r>
          </w:p>
        </w:tc>
        <w:tc>
          <w:tcPr>
            <w:tcW w:w="891" w:type="dxa"/>
            <w:noWrap/>
            <w:vAlign w:val="center"/>
          </w:tcPr>
          <w:p w:rsidR="005A138F" w:rsidRPr="00330DD3" w:rsidRDefault="005F1FAA" w:rsidP="005F1FAA">
            <w:pPr>
              <w:rPr>
                <w:rFonts w:cs="Times New Roman"/>
                <w:i/>
                <w:color w:val="000000"/>
                <w:sz w:val="16"/>
                <w:szCs w:val="16"/>
              </w:rPr>
            </w:pPr>
            <w:r w:rsidRPr="00330DD3">
              <w:rPr>
                <w:rFonts w:cs="Times New Roman"/>
                <w:i/>
                <w:color w:val="000000"/>
                <w:sz w:val="16"/>
                <w:szCs w:val="16"/>
              </w:rPr>
              <w:t xml:space="preserve">     </w:t>
            </w:r>
            <w:r w:rsidR="005A138F" w:rsidRPr="00330DD3">
              <w:rPr>
                <w:rFonts w:cs="Times New Roman"/>
                <w:i/>
                <w:color w:val="000000"/>
                <w:sz w:val="16"/>
                <w:szCs w:val="16"/>
              </w:rPr>
              <w:t>-</w:t>
            </w:r>
          </w:p>
        </w:tc>
        <w:tc>
          <w:tcPr>
            <w:tcW w:w="790" w:type="dxa"/>
            <w:vAlign w:val="center"/>
          </w:tcPr>
          <w:p w:rsidR="005A138F" w:rsidRPr="00330DD3" w:rsidRDefault="005A138F" w:rsidP="005F1FAA">
            <w:pPr>
              <w:jc w:val="right"/>
              <w:rPr>
                <w:i/>
                <w:color w:val="000000"/>
                <w:sz w:val="16"/>
                <w:szCs w:val="16"/>
              </w:rPr>
            </w:pPr>
            <w:r w:rsidRPr="00330DD3">
              <w:rPr>
                <w:i/>
                <w:color w:val="000000"/>
                <w:sz w:val="16"/>
                <w:szCs w:val="16"/>
              </w:rPr>
              <w:t>-0.0004</w:t>
            </w:r>
          </w:p>
        </w:tc>
        <w:tc>
          <w:tcPr>
            <w:tcW w:w="981" w:type="dxa"/>
            <w:vAlign w:val="center"/>
          </w:tcPr>
          <w:p w:rsidR="005A138F" w:rsidRPr="00330DD3" w:rsidRDefault="005A138F" w:rsidP="005F1FAA">
            <w:pPr>
              <w:rPr>
                <w:i/>
                <w:color w:val="000000"/>
                <w:sz w:val="16"/>
                <w:szCs w:val="16"/>
              </w:rPr>
            </w:pPr>
            <w:r w:rsidRPr="00330DD3">
              <w:rPr>
                <w:i/>
                <w:color w:val="000000"/>
                <w:sz w:val="16"/>
                <w:szCs w:val="16"/>
              </w:rPr>
              <w:t>0.0919</w:t>
            </w:r>
            <w:r w:rsidRPr="00330DD3">
              <w:rPr>
                <w:i/>
                <w:color w:val="000000"/>
                <w:sz w:val="16"/>
                <w:szCs w:val="16"/>
                <w:vertAlign w:val="superscript"/>
              </w:rPr>
              <w:t>*</w:t>
            </w:r>
          </w:p>
        </w:tc>
        <w:tc>
          <w:tcPr>
            <w:tcW w:w="850" w:type="dxa"/>
            <w:vAlign w:val="center"/>
          </w:tcPr>
          <w:p w:rsidR="005A138F" w:rsidRPr="00330DD3" w:rsidRDefault="005A138F" w:rsidP="005F1FAA">
            <w:pPr>
              <w:jc w:val="right"/>
              <w:rPr>
                <w:i/>
                <w:color w:val="000000"/>
                <w:sz w:val="16"/>
                <w:szCs w:val="16"/>
              </w:rPr>
            </w:pPr>
            <w:r w:rsidRPr="00330DD3">
              <w:rPr>
                <w:i/>
                <w:color w:val="000000"/>
                <w:sz w:val="16"/>
                <w:szCs w:val="16"/>
              </w:rPr>
              <w:t>-0.0003</w:t>
            </w:r>
          </w:p>
        </w:tc>
        <w:tc>
          <w:tcPr>
            <w:tcW w:w="992" w:type="dxa"/>
            <w:vAlign w:val="center"/>
          </w:tcPr>
          <w:p w:rsidR="005A138F" w:rsidRPr="00330DD3" w:rsidRDefault="005A138F" w:rsidP="005F1FAA">
            <w:pPr>
              <w:rPr>
                <w:rFonts w:ascii="Calibri" w:hAnsi="Calibri" w:cs="Calibri"/>
                <w:i/>
                <w:color w:val="000000"/>
                <w:sz w:val="16"/>
                <w:szCs w:val="16"/>
              </w:rPr>
            </w:pPr>
            <w:r w:rsidRPr="00330DD3">
              <w:rPr>
                <w:rFonts w:ascii="Calibri" w:hAnsi="Calibri" w:cs="Calibri"/>
                <w:i/>
                <w:color w:val="000000"/>
                <w:sz w:val="16"/>
                <w:szCs w:val="16"/>
              </w:rPr>
              <w:t>0.0237</w:t>
            </w:r>
            <w:r w:rsidRPr="00330DD3">
              <w:rPr>
                <w:rFonts w:ascii="Calibri" w:hAnsi="Calibri" w:cs="Calibri"/>
                <w:i/>
                <w:color w:val="000000"/>
                <w:sz w:val="16"/>
                <w:szCs w:val="16"/>
                <w:vertAlign w:val="superscript"/>
              </w:rPr>
              <w:t>**</w:t>
            </w:r>
          </w:p>
        </w:tc>
        <w:tc>
          <w:tcPr>
            <w:tcW w:w="993" w:type="dxa"/>
            <w:vAlign w:val="center"/>
          </w:tcPr>
          <w:p w:rsidR="005A138F" w:rsidRPr="00330DD3" w:rsidRDefault="005A138F" w:rsidP="005F1FAA">
            <w:pPr>
              <w:jc w:val="right"/>
              <w:rPr>
                <w:i/>
                <w:color w:val="000000"/>
                <w:sz w:val="16"/>
                <w:szCs w:val="16"/>
              </w:rPr>
            </w:pPr>
            <w:r w:rsidRPr="00330DD3">
              <w:rPr>
                <w:i/>
                <w:color w:val="000000"/>
                <w:sz w:val="16"/>
                <w:szCs w:val="16"/>
              </w:rPr>
              <w:t>-0.0002</w:t>
            </w:r>
          </w:p>
        </w:tc>
        <w:tc>
          <w:tcPr>
            <w:tcW w:w="992" w:type="dxa"/>
            <w:vAlign w:val="center"/>
          </w:tcPr>
          <w:p w:rsidR="005A138F" w:rsidRPr="00330DD3" w:rsidRDefault="005A138F" w:rsidP="005F1FAA">
            <w:pPr>
              <w:rPr>
                <w:i/>
                <w:color w:val="000000"/>
                <w:sz w:val="16"/>
                <w:szCs w:val="16"/>
              </w:rPr>
            </w:pPr>
            <w:r w:rsidRPr="00330DD3">
              <w:rPr>
                <w:i/>
                <w:color w:val="000000"/>
                <w:sz w:val="16"/>
                <w:szCs w:val="16"/>
              </w:rPr>
              <w:t>0.6570</w:t>
            </w:r>
          </w:p>
        </w:tc>
        <w:tc>
          <w:tcPr>
            <w:tcW w:w="973" w:type="dxa"/>
            <w:vAlign w:val="center"/>
          </w:tcPr>
          <w:p w:rsidR="005A138F" w:rsidRPr="00330DD3" w:rsidRDefault="005A138F" w:rsidP="005F1FAA">
            <w:pPr>
              <w:jc w:val="right"/>
              <w:rPr>
                <w:i/>
                <w:color w:val="000000"/>
                <w:sz w:val="16"/>
                <w:szCs w:val="16"/>
              </w:rPr>
            </w:pPr>
            <w:r w:rsidRPr="00330DD3">
              <w:rPr>
                <w:i/>
                <w:color w:val="000000"/>
                <w:sz w:val="16"/>
                <w:szCs w:val="16"/>
              </w:rPr>
              <w:t>-0.0003</w:t>
            </w:r>
          </w:p>
        </w:tc>
        <w:tc>
          <w:tcPr>
            <w:tcW w:w="950" w:type="dxa"/>
            <w:vAlign w:val="center"/>
          </w:tcPr>
          <w:p w:rsidR="005A138F" w:rsidRPr="00330DD3" w:rsidRDefault="005A138F" w:rsidP="005F1FAA">
            <w:pPr>
              <w:rPr>
                <w:i/>
                <w:color w:val="000000"/>
                <w:sz w:val="16"/>
                <w:szCs w:val="16"/>
              </w:rPr>
            </w:pPr>
            <w:r w:rsidRPr="00330DD3">
              <w:rPr>
                <w:i/>
                <w:color w:val="000000"/>
                <w:sz w:val="16"/>
                <w:szCs w:val="16"/>
              </w:rPr>
              <w:t>0.1603</w:t>
            </w:r>
          </w:p>
        </w:tc>
      </w:tr>
      <w:tr w:rsidR="005A138F" w:rsidRPr="00C15F52" w:rsidTr="00615970">
        <w:trPr>
          <w:trHeight w:val="230"/>
          <w:jc w:val="center"/>
        </w:trPr>
        <w:tc>
          <w:tcPr>
            <w:tcW w:w="1704" w:type="dxa"/>
            <w:noWrap/>
            <w:vAlign w:val="bottom"/>
          </w:tcPr>
          <w:p w:rsidR="005A138F" w:rsidRPr="00330DD3" w:rsidRDefault="004B26A1" w:rsidP="00DD5F1A">
            <w:pPr>
              <w:rPr>
                <w:rFonts w:cs="Times New Roman"/>
                <w:i/>
                <w:sz w:val="16"/>
                <w:szCs w:val="16"/>
              </w:rPr>
            </w:pPr>
            <w:r w:rsidRPr="00330DD3">
              <w:rPr>
                <w:rFonts w:cs="Times New Roman"/>
                <w:i/>
                <w:sz w:val="16"/>
                <w:szCs w:val="16"/>
              </w:rPr>
              <w:t xml:space="preserve">  </w:t>
            </w:r>
            <w:r w:rsidR="00BB565D" w:rsidRPr="00330DD3">
              <w:rPr>
                <w:rFonts w:cs="Times New Roman"/>
                <w:i/>
                <w:sz w:val="16"/>
                <w:szCs w:val="16"/>
              </w:rPr>
              <w:t>I</w:t>
            </w:r>
            <w:r w:rsidRPr="00330DD3">
              <w:rPr>
                <w:rFonts w:cs="Times New Roman"/>
                <w:i/>
                <w:sz w:val="16"/>
                <w:szCs w:val="16"/>
              </w:rPr>
              <w:t>GC</w:t>
            </w:r>
          </w:p>
        </w:tc>
        <w:tc>
          <w:tcPr>
            <w:tcW w:w="1014" w:type="dxa"/>
            <w:noWrap/>
            <w:vAlign w:val="bottom"/>
          </w:tcPr>
          <w:p w:rsidR="005A138F" w:rsidRPr="00330DD3" w:rsidRDefault="005A138F">
            <w:pPr>
              <w:jc w:val="right"/>
              <w:rPr>
                <w:rFonts w:ascii="Calibri" w:hAnsi="Calibri" w:cs="Calibri"/>
                <w:i/>
                <w:color w:val="000000"/>
                <w:sz w:val="16"/>
                <w:szCs w:val="16"/>
              </w:rPr>
            </w:pPr>
            <w:r w:rsidRPr="00330DD3">
              <w:rPr>
                <w:rFonts w:ascii="Calibri" w:hAnsi="Calibri" w:cs="Calibri"/>
                <w:i/>
                <w:color w:val="000000"/>
                <w:sz w:val="16"/>
                <w:szCs w:val="16"/>
              </w:rPr>
              <w:t>-0.0601</w:t>
            </w:r>
          </w:p>
        </w:tc>
        <w:tc>
          <w:tcPr>
            <w:tcW w:w="896" w:type="dxa"/>
            <w:noWrap/>
            <w:vAlign w:val="bottom"/>
          </w:tcPr>
          <w:p w:rsidR="005A138F" w:rsidRPr="00330DD3" w:rsidRDefault="005A138F" w:rsidP="00D365F1">
            <w:pPr>
              <w:rPr>
                <w:i/>
                <w:color w:val="000000"/>
                <w:sz w:val="16"/>
                <w:szCs w:val="16"/>
              </w:rPr>
            </w:pPr>
            <w:r w:rsidRPr="00330DD3">
              <w:rPr>
                <w:i/>
                <w:color w:val="000000"/>
                <w:sz w:val="16"/>
                <w:szCs w:val="16"/>
              </w:rPr>
              <w:t>0.0012</w:t>
            </w:r>
            <w:r w:rsidRPr="00330DD3">
              <w:rPr>
                <w:i/>
                <w:color w:val="000000"/>
                <w:sz w:val="16"/>
                <w:szCs w:val="16"/>
                <w:vertAlign w:val="superscript"/>
              </w:rPr>
              <w:t>***</w:t>
            </w:r>
          </w:p>
        </w:tc>
        <w:tc>
          <w:tcPr>
            <w:tcW w:w="790" w:type="dxa"/>
            <w:noWrap/>
            <w:vAlign w:val="bottom"/>
          </w:tcPr>
          <w:p w:rsidR="005A138F" w:rsidRPr="00330DD3" w:rsidRDefault="005A138F" w:rsidP="00615970">
            <w:pPr>
              <w:jc w:val="center"/>
              <w:rPr>
                <w:rFonts w:cs="Times New Roman"/>
                <w:i/>
                <w:color w:val="000000"/>
                <w:sz w:val="16"/>
                <w:szCs w:val="16"/>
              </w:rPr>
            </w:pPr>
            <w:r w:rsidRPr="00330DD3">
              <w:rPr>
                <w:rFonts w:cs="Times New Roman"/>
                <w:i/>
                <w:color w:val="000000"/>
                <w:sz w:val="16"/>
                <w:szCs w:val="16"/>
              </w:rPr>
              <w:t>-</w:t>
            </w:r>
          </w:p>
        </w:tc>
        <w:tc>
          <w:tcPr>
            <w:tcW w:w="896" w:type="dxa"/>
            <w:noWrap/>
            <w:vAlign w:val="bottom"/>
          </w:tcPr>
          <w:p w:rsidR="005A138F" w:rsidRPr="00330DD3" w:rsidRDefault="00615970" w:rsidP="00615970">
            <w:pPr>
              <w:rPr>
                <w:rFonts w:cs="Times New Roman"/>
                <w:i/>
                <w:color w:val="000000"/>
                <w:sz w:val="16"/>
                <w:szCs w:val="16"/>
              </w:rPr>
            </w:pPr>
            <w:r w:rsidRPr="00330DD3">
              <w:rPr>
                <w:rFonts w:cs="Times New Roman"/>
                <w:i/>
                <w:color w:val="000000"/>
                <w:sz w:val="16"/>
                <w:szCs w:val="16"/>
              </w:rPr>
              <w:t xml:space="preserve">    </w:t>
            </w:r>
            <w:r w:rsidR="005A138F" w:rsidRPr="00330DD3">
              <w:rPr>
                <w:rFonts w:cs="Times New Roman"/>
                <w:i/>
                <w:color w:val="000000"/>
                <w:sz w:val="16"/>
                <w:szCs w:val="16"/>
              </w:rPr>
              <w:t>-</w:t>
            </w:r>
          </w:p>
        </w:tc>
        <w:tc>
          <w:tcPr>
            <w:tcW w:w="790" w:type="dxa"/>
            <w:noWrap/>
            <w:vAlign w:val="bottom"/>
          </w:tcPr>
          <w:p w:rsidR="005A138F" w:rsidRPr="00330DD3" w:rsidRDefault="005A138F" w:rsidP="00DD5F1A">
            <w:pPr>
              <w:jc w:val="center"/>
              <w:rPr>
                <w:i/>
                <w:color w:val="000000"/>
                <w:sz w:val="16"/>
                <w:szCs w:val="16"/>
              </w:rPr>
            </w:pPr>
            <w:r w:rsidRPr="00330DD3">
              <w:rPr>
                <w:i/>
                <w:color w:val="000000"/>
                <w:sz w:val="16"/>
                <w:szCs w:val="16"/>
              </w:rPr>
              <w:t>-0.0613</w:t>
            </w:r>
          </w:p>
        </w:tc>
        <w:tc>
          <w:tcPr>
            <w:tcW w:w="981" w:type="dxa"/>
            <w:vAlign w:val="bottom"/>
          </w:tcPr>
          <w:p w:rsidR="005A138F" w:rsidRPr="00330DD3" w:rsidRDefault="005A138F" w:rsidP="00DD5F1A">
            <w:pPr>
              <w:jc w:val="center"/>
              <w:rPr>
                <w:i/>
                <w:color w:val="000000"/>
                <w:sz w:val="16"/>
                <w:szCs w:val="16"/>
              </w:rPr>
            </w:pPr>
            <w:r w:rsidRPr="00330DD3">
              <w:rPr>
                <w:i/>
                <w:color w:val="000000"/>
                <w:sz w:val="16"/>
                <w:szCs w:val="16"/>
              </w:rPr>
              <w:t>0.0011</w:t>
            </w:r>
            <w:r w:rsidRPr="00330DD3">
              <w:rPr>
                <w:i/>
                <w:color w:val="000000"/>
                <w:sz w:val="16"/>
                <w:szCs w:val="16"/>
                <w:vertAlign w:val="superscript"/>
              </w:rPr>
              <w:t>***</w:t>
            </w:r>
          </w:p>
        </w:tc>
        <w:tc>
          <w:tcPr>
            <w:tcW w:w="850" w:type="dxa"/>
            <w:tcBorders>
              <w:left w:val="nil"/>
            </w:tcBorders>
            <w:vAlign w:val="center"/>
          </w:tcPr>
          <w:p w:rsidR="005A138F" w:rsidRPr="00330DD3" w:rsidRDefault="005A138F" w:rsidP="00E04DA5">
            <w:pPr>
              <w:jc w:val="center"/>
              <w:rPr>
                <w:rFonts w:cs="Times New Roman"/>
                <w:i/>
                <w:color w:val="000000"/>
                <w:sz w:val="16"/>
                <w:szCs w:val="16"/>
              </w:rPr>
            </w:pPr>
            <w:r w:rsidRPr="00330DD3">
              <w:rPr>
                <w:rFonts w:cs="Times New Roman"/>
                <w:i/>
                <w:color w:val="000000"/>
                <w:sz w:val="16"/>
                <w:szCs w:val="16"/>
              </w:rPr>
              <w:t>-</w:t>
            </w:r>
          </w:p>
        </w:tc>
        <w:tc>
          <w:tcPr>
            <w:tcW w:w="891" w:type="dxa"/>
            <w:noWrap/>
            <w:vAlign w:val="bottom"/>
          </w:tcPr>
          <w:p w:rsidR="005A138F" w:rsidRPr="00330DD3" w:rsidRDefault="00AC4992" w:rsidP="00615970">
            <w:pPr>
              <w:rPr>
                <w:rFonts w:cs="Times New Roman"/>
                <w:i/>
                <w:color w:val="000000"/>
                <w:sz w:val="16"/>
                <w:szCs w:val="16"/>
              </w:rPr>
            </w:pPr>
            <w:r w:rsidRPr="00330DD3">
              <w:rPr>
                <w:rFonts w:cs="Times New Roman"/>
                <w:i/>
                <w:color w:val="000000"/>
                <w:sz w:val="16"/>
                <w:szCs w:val="16"/>
              </w:rPr>
              <w:t xml:space="preserve">     </w:t>
            </w:r>
            <w:r w:rsidR="005A138F" w:rsidRPr="00330DD3">
              <w:rPr>
                <w:rFonts w:cs="Times New Roman"/>
                <w:i/>
                <w:color w:val="000000"/>
                <w:sz w:val="16"/>
                <w:szCs w:val="16"/>
              </w:rPr>
              <w:t>-</w:t>
            </w:r>
          </w:p>
        </w:tc>
        <w:tc>
          <w:tcPr>
            <w:tcW w:w="790" w:type="dxa"/>
            <w:vAlign w:val="bottom"/>
          </w:tcPr>
          <w:p w:rsidR="005A138F" w:rsidRPr="00330DD3" w:rsidRDefault="005A138F">
            <w:pPr>
              <w:jc w:val="right"/>
              <w:rPr>
                <w:i/>
                <w:color w:val="000000"/>
                <w:sz w:val="16"/>
                <w:szCs w:val="16"/>
              </w:rPr>
            </w:pPr>
            <w:r w:rsidRPr="00330DD3">
              <w:rPr>
                <w:i/>
                <w:color w:val="000000"/>
                <w:sz w:val="16"/>
                <w:szCs w:val="16"/>
              </w:rPr>
              <w:t>-0.0603</w:t>
            </w:r>
          </w:p>
        </w:tc>
        <w:tc>
          <w:tcPr>
            <w:tcW w:w="981" w:type="dxa"/>
            <w:vAlign w:val="bottom"/>
          </w:tcPr>
          <w:p w:rsidR="005A138F" w:rsidRPr="00330DD3" w:rsidRDefault="005A138F" w:rsidP="0033504B">
            <w:pPr>
              <w:rPr>
                <w:i/>
                <w:color w:val="000000"/>
                <w:sz w:val="16"/>
                <w:szCs w:val="16"/>
              </w:rPr>
            </w:pPr>
            <w:r w:rsidRPr="00330DD3">
              <w:rPr>
                <w:i/>
                <w:color w:val="000000"/>
                <w:sz w:val="16"/>
                <w:szCs w:val="16"/>
              </w:rPr>
              <w:t>0.0313</w:t>
            </w:r>
            <w:r w:rsidRPr="00330DD3">
              <w:rPr>
                <w:i/>
                <w:color w:val="000000"/>
                <w:sz w:val="16"/>
                <w:szCs w:val="16"/>
                <w:vertAlign w:val="superscript"/>
              </w:rPr>
              <w:t>**</w:t>
            </w:r>
          </w:p>
        </w:tc>
        <w:tc>
          <w:tcPr>
            <w:tcW w:w="850" w:type="dxa"/>
            <w:vAlign w:val="bottom"/>
          </w:tcPr>
          <w:p w:rsidR="005A138F" w:rsidRPr="00330DD3" w:rsidRDefault="005A138F">
            <w:pPr>
              <w:jc w:val="right"/>
              <w:rPr>
                <w:i/>
                <w:color w:val="000000"/>
                <w:sz w:val="16"/>
                <w:szCs w:val="16"/>
              </w:rPr>
            </w:pPr>
            <w:r w:rsidRPr="00330DD3">
              <w:rPr>
                <w:i/>
                <w:color w:val="000000"/>
                <w:sz w:val="16"/>
                <w:szCs w:val="16"/>
              </w:rPr>
              <w:t>-0.0627</w:t>
            </w:r>
          </w:p>
        </w:tc>
        <w:tc>
          <w:tcPr>
            <w:tcW w:w="992" w:type="dxa"/>
            <w:vAlign w:val="bottom"/>
          </w:tcPr>
          <w:p w:rsidR="005A138F" w:rsidRPr="00330DD3" w:rsidRDefault="005A138F" w:rsidP="00774819">
            <w:pPr>
              <w:rPr>
                <w:rFonts w:ascii="Calibri" w:hAnsi="Calibri" w:cs="Calibri"/>
                <w:i/>
                <w:color w:val="000000"/>
                <w:sz w:val="16"/>
                <w:szCs w:val="16"/>
              </w:rPr>
            </w:pPr>
            <w:r w:rsidRPr="00330DD3">
              <w:rPr>
                <w:rFonts w:ascii="Calibri" w:hAnsi="Calibri" w:cs="Calibri"/>
                <w:i/>
                <w:color w:val="000000"/>
                <w:sz w:val="16"/>
                <w:szCs w:val="16"/>
              </w:rPr>
              <w:t>0.0250</w:t>
            </w:r>
            <w:r w:rsidRPr="00330DD3">
              <w:rPr>
                <w:rFonts w:ascii="Calibri" w:hAnsi="Calibri" w:cs="Calibri"/>
                <w:i/>
                <w:color w:val="000000"/>
                <w:sz w:val="16"/>
                <w:szCs w:val="16"/>
                <w:vertAlign w:val="superscript"/>
              </w:rPr>
              <w:t>**</w:t>
            </w:r>
          </w:p>
        </w:tc>
        <w:tc>
          <w:tcPr>
            <w:tcW w:w="993" w:type="dxa"/>
            <w:vAlign w:val="bottom"/>
          </w:tcPr>
          <w:p w:rsidR="005A138F" w:rsidRPr="00330DD3" w:rsidRDefault="005A138F">
            <w:pPr>
              <w:jc w:val="right"/>
              <w:rPr>
                <w:i/>
                <w:color w:val="000000"/>
                <w:sz w:val="16"/>
                <w:szCs w:val="16"/>
              </w:rPr>
            </w:pPr>
            <w:r w:rsidRPr="00330DD3">
              <w:rPr>
                <w:i/>
                <w:color w:val="000000"/>
                <w:sz w:val="16"/>
                <w:szCs w:val="16"/>
              </w:rPr>
              <w:t>-0.0622</w:t>
            </w:r>
          </w:p>
        </w:tc>
        <w:tc>
          <w:tcPr>
            <w:tcW w:w="992" w:type="dxa"/>
            <w:vAlign w:val="bottom"/>
          </w:tcPr>
          <w:p w:rsidR="005A138F" w:rsidRPr="00330DD3" w:rsidRDefault="005A138F" w:rsidP="00774819">
            <w:pPr>
              <w:rPr>
                <w:i/>
                <w:color w:val="000000"/>
                <w:sz w:val="16"/>
                <w:szCs w:val="16"/>
              </w:rPr>
            </w:pPr>
            <w:r w:rsidRPr="00330DD3">
              <w:rPr>
                <w:i/>
                <w:color w:val="000000"/>
                <w:sz w:val="16"/>
                <w:szCs w:val="16"/>
              </w:rPr>
              <w:t>0.0272</w:t>
            </w:r>
            <w:r w:rsidRPr="00330DD3">
              <w:rPr>
                <w:i/>
                <w:color w:val="000000"/>
                <w:sz w:val="16"/>
                <w:szCs w:val="16"/>
                <w:vertAlign w:val="superscript"/>
              </w:rPr>
              <w:t>**</w:t>
            </w:r>
          </w:p>
        </w:tc>
        <w:tc>
          <w:tcPr>
            <w:tcW w:w="973" w:type="dxa"/>
            <w:vAlign w:val="bottom"/>
          </w:tcPr>
          <w:p w:rsidR="005A138F" w:rsidRPr="00330DD3" w:rsidRDefault="005A138F">
            <w:pPr>
              <w:jc w:val="right"/>
              <w:rPr>
                <w:i/>
                <w:color w:val="000000"/>
                <w:sz w:val="16"/>
                <w:szCs w:val="16"/>
              </w:rPr>
            </w:pPr>
            <w:r w:rsidRPr="00330DD3">
              <w:rPr>
                <w:i/>
                <w:color w:val="000000"/>
                <w:sz w:val="16"/>
                <w:szCs w:val="16"/>
              </w:rPr>
              <w:t>-0.0601</w:t>
            </w:r>
          </w:p>
        </w:tc>
        <w:tc>
          <w:tcPr>
            <w:tcW w:w="950" w:type="dxa"/>
            <w:vAlign w:val="bottom"/>
          </w:tcPr>
          <w:p w:rsidR="005A138F" w:rsidRPr="00330DD3" w:rsidRDefault="005A138F" w:rsidP="005A138F">
            <w:pPr>
              <w:rPr>
                <w:i/>
                <w:color w:val="000000"/>
                <w:sz w:val="16"/>
                <w:szCs w:val="16"/>
              </w:rPr>
            </w:pPr>
            <w:r w:rsidRPr="00330DD3">
              <w:rPr>
                <w:i/>
                <w:color w:val="000000"/>
                <w:sz w:val="16"/>
                <w:szCs w:val="16"/>
              </w:rPr>
              <w:t>0.0323</w:t>
            </w:r>
            <w:r w:rsidRPr="00330DD3">
              <w:rPr>
                <w:i/>
                <w:color w:val="000000"/>
                <w:sz w:val="16"/>
                <w:szCs w:val="16"/>
                <w:vertAlign w:val="superscript"/>
              </w:rPr>
              <w:t>**</w:t>
            </w:r>
          </w:p>
        </w:tc>
      </w:tr>
      <w:tr w:rsidR="005A138F" w:rsidRPr="00C15F52" w:rsidTr="00615970">
        <w:trPr>
          <w:trHeight w:val="253"/>
          <w:jc w:val="center"/>
        </w:trPr>
        <w:tc>
          <w:tcPr>
            <w:tcW w:w="1704" w:type="dxa"/>
            <w:noWrap/>
            <w:vAlign w:val="bottom"/>
          </w:tcPr>
          <w:p w:rsidR="005A138F" w:rsidRPr="00330DD3" w:rsidRDefault="005A138F" w:rsidP="00DD5F1A">
            <w:pPr>
              <w:rPr>
                <w:rFonts w:eastAsiaTheme="minorEastAsia" w:cs="Times New Roman"/>
                <w:i/>
                <w:sz w:val="16"/>
                <w:szCs w:val="16"/>
              </w:rPr>
            </w:pPr>
            <w:r w:rsidRPr="00330DD3">
              <w:rPr>
                <w:rFonts w:cs="Times New Roman"/>
                <w:i/>
                <w:sz w:val="16"/>
                <w:szCs w:val="16"/>
              </w:rPr>
              <w:t xml:space="preserve">  BSIZE</w:t>
            </w:r>
          </w:p>
        </w:tc>
        <w:tc>
          <w:tcPr>
            <w:tcW w:w="1014" w:type="dxa"/>
            <w:noWrap/>
            <w:vAlign w:val="bottom"/>
          </w:tcPr>
          <w:p w:rsidR="005A138F" w:rsidRPr="00330DD3" w:rsidRDefault="005A138F">
            <w:pPr>
              <w:jc w:val="right"/>
              <w:rPr>
                <w:rFonts w:ascii="Calibri" w:hAnsi="Calibri" w:cs="Calibri"/>
                <w:i/>
                <w:color w:val="000000"/>
                <w:sz w:val="16"/>
                <w:szCs w:val="16"/>
              </w:rPr>
            </w:pPr>
            <w:r w:rsidRPr="00330DD3">
              <w:rPr>
                <w:rFonts w:ascii="Calibri" w:hAnsi="Calibri" w:cs="Calibri"/>
                <w:i/>
                <w:color w:val="000000"/>
                <w:sz w:val="16"/>
                <w:szCs w:val="16"/>
              </w:rPr>
              <w:t>0.0175</w:t>
            </w:r>
          </w:p>
        </w:tc>
        <w:tc>
          <w:tcPr>
            <w:tcW w:w="896" w:type="dxa"/>
            <w:noWrap/>
            <w:vAlign w:val="bottom"/>
          </w:tcPr>
          <w:p w:rsidR="005A138F" w:rsidRPr="00330DD3" w:rsidRDefault="005A138F" w:rsidP="00D365F1">
            <w:pPr>
              <w:rPr>
                <w:i/>
                <w:color w:val="000000"/>
                <w:sz w:val="16"/>
                <w:szCs w:val="16"/>
              </w:rPr>
            </w:pPr>
            <w:r w:rsidRPr="00330DD3">
              <w:rPr>
                <w:i/>
                <w:color w:val="000000"/>
                <w:sz w:val="16"/>
                <w:szCs w:val="16"/>
              </w:rPr>
              <w:t>0.2158</w:t>
            </w:r>
          </w:p>
        </w:tc>
        <w:tc>
          <w:tcPr>
            <w:tcW w:w="790" w:type="dxa"/>
            <w:noWrap/>
            <w:vAlign w:val="bottom"/>
          </w:tcPr>
          <w:p w:rsidR="005A138F" w:rsidRPr="00330DD3" w:rsidRDefault="005A138F" w:rsidP="00615970">
            <w:pPr>
              <w:jc w:val="center"/>
              <w:rPr>
                <w:rFonts w:cs="Times New Roman"/>
                <w:i/>
                <w:color w:val="000000"/>
                <w:sz w:val="16"/>
                <w:szCs w:val="16"/>
              </w:rPr>
            </w:pPr>
            <w:r w:rsidRPr="00330DD3">
              <w:rPr>
                <w:rFonts w:cs="Times New Roman"/>
                <w:i/>
                <w:color w:val="000000"/>
                <w:sz w:val="16"/>
                <w:szCs w:val="16"/>
              </w:rPr>
              <w:t>-</w:t>
            </w:r>
          </w:p>
        </w:tc>
        <w:tc>
          <w:tcPr>
            <w:tcW w:w="896" w:type="dxa"/>
            <w:noWrap/>
            <w:vAlign w:val="bottom"/>
          </w:tcPr>
          <w:p w:rsidR="005A138F" w:rsidRPr="00330DD3" w:rsidRDefault="00615970" w:rsidP="00615970">
            <w:pPr>
              <w:rPr>
                <w:rFonts w:cs="Times New Roman"/>
                <w:i/>
                <w:color w:val="000000"/>
                <w:sz w:val="16"/>
                <w:szCs w:val="16"/>
              </w:rPr>
            </w:pPr>
            <w:r w:rsidRPr="00330DD3">
              <w:rPr>
                <w:rFonts w:cs="Times New Roman"/>
                <w:i/>
                <w:color w:val="000000"/>
                <w:sz w:val="16"/>
                <w:szCs w:val="16"/>
              </w:rPr>
              <w:t xml:space="preserve">    </w:t>
            </w:r>
            <w:r w:rsidR="005A138F" w:rsidRPr="00330DD3">
              <w:rPr>
                <w:rFonts w:cs="Times New Roman"/>
                <w:i/>
                <w:color w:val="000000"/>
                <w:sz w:val="16"/>
                <w:szCs w:val="16"/>
              </w:rPr>
              <w:t>-</w:t>
            </w:r>
          </w:p>
        </w:tc>
        <w:tc>
          <w:tcPr>
            <w:tcW w:w="790" w:type="dxa"/>
            <w:noWrap/>
            <w:vAlign w:val="bottom"/>
          </w:tcPr>
          <w:p w:rsidR="005A138F" w:rsidRPr="00330DD3" w:rsidRDefault="00615970" w:rsidP="00615970">
            <w:pPr>
              <w:rPr>
                <w:rFonts w:cs="Times New Roman"/>
                <w:i/>
                <w:color w:val="000000"/>
                <w:sz w:val="16"/>
                <w:szCs w:val="16"/>
              </w:rPr>
            </w:pPr>
            <w:r w:rsidRPr="00330DD3">
              <w:rPr>
                <w:rFonts w:cs="Times New Roman"/>
                <w:i/>
                <w:color w:val="000000"/>
                <w:sz w:val="16"/>
                <w:szCs w:val="16"/>
              </w:rPr>
              <w:t xml:space="preserve">      </w:t>
            </w:r>
            <w:r w:rsidR="005A138F" w:rsidRPr="00330DD3">
              <w:rPr>
                <w:rFonts w:cs="Times New Roman"/>
                <w:i/>
                <w:color w:val="000000"/>
                <w:sz w:val="16"/>
                <w:szCs w:val="16"/>
              </w:rPr>
              <w:t>-</w:t>
            </w:r>
          </w:p>
        </w:tc>
        <w:tc>
          <w:tcPr>
            <w:tcW w:w="981" w:type="dxa"/>
            <w:vAlign w:val="bottom"/>
          </w:tcPr>
          <w:p w:rsidR="005A138F" w:rsidRPr="00330DD3" w:rsidRDefault="00615970" w:rsidP="00615970">
            <w:pPr>
              <w:rPr>
                <w:rFonts w:cs="Times New Roman"/>
                <w:i/>
                <w:color w:val="000000"/>
                <w:sz w:val="16"/>
                <w:szCs w:val="16"/>
              </w:rPr>
            </w:pPr>
            <w:r w:rsidRPr="00330DD3">
              <w:rPr>
                <w:rFonts w:cs="Times New Roman"/>
                <w:i/>
                <w:color w:val="000000"/>
                <w:sz w:val="16"/>
                <w:szCs w:val="16"/>
              </w:rPr>
              <w:t xml:space="preserve">      </w:t>
            </w:r>
            <w:r w:rsidR="005A138F" w:rsidRPr="00330DD3">
              <w:rPr>
                <w:rFonts w:cs="Times New Roman"/>
                <w:i/>
                <w:color w:val="000000"/>
                <w:sz w:val="16"/>
                <w:szCs w:val="16"/>
              </w:rPr>
              <w:t>-</w:t>
            </w:r>
          </w:p>
        </w:tc>
        <w:tc>
          <w:tcPr>
            <w:tcW w:w="850" w:type="dxa"/>
            <w:tcBorders>
              <w:left w:val="nil"/>
            </w:tcBorders>
            <w:vAlign w:val="bottom"/>
          </w:tcPr>
          <w:p w:rsidR="005A138F" w:rsidRPr="00330DD3" w:rsidRDefault="005A138F">
            <w:pPr>
              <w:jc w:val="right"/>
              <w:rPr>
                <w:i/>
                <w:color w:val="000000"/>
                <w:sz w:val="16"/>
                <w:szCs w:val="16"/>
              </w:rPr>
            </w:pPr>
            <w:r w:rsidRPr="00330DD3">
              <w:rPr>
                <w:i/>
                <w:color w:val="000000"/>
                <w:sz w:val="16"/>
                <w:szCs w:val="16"/>
              </w:rPr>
              <w:t>0.0130</w:t>
            </w:r>
          </w:p>
        </w:tc>
        <w:tc>
          <w:tcPr>
            <w:tcW w:w="891" w:type="dxa"/>
            <w:noWrap/>
            <w:vAlign w:val="bottom"/>
          </w:tcPr>
          <w:p w:rsidR="005A138F" w:rsidRPr="00330DD3" w:rsidRDefault="005A138F" w:rsidP="0033504B">
            <w:pPr>
              <w:rPr>
                <w:i/>
                <w:color w:val="000000"/>
                <w:sz w:val="16"/>
                <w:szCs w:val="16"/>
              </w:rPr>
            </w:pPr>
            <w:r w:rsidRPr="00330DD3">
              <w:rPr>
                <w:i/>
                <w:color w:val="000000"/>
                <w:sz w:val="16"/>
                <w:szCs w:val="16"/>
              </w:rPr>
              <w:t>0.3522</w:t>
            </w:r>
          </w:p>
        </w:tc>
        <w:tc>
          <w:tcPr>
            <w:tcW w:w="790" w:type="dxa"/>
            <w:vAlign w:val="bottom"/>
          </w:tcPr>
          <w:p w:rsidR="005A138F" w:rsidRPr="00330DD3" w:rsidRDefault="005A138F">
            <w:pPr>
              <w:jc w:val="right"/>
              <w:rPr>
                <w:i/>
                <w:color w:val="000000"/>
                <w:sz w:val="16"/>
                <w:szCs w:val="16"/>
              </w:rPr>
            </w:pPr>
            <w:r w:rsidRPr="00330DD3">
              <w:rPr>
                <w:i/>
                <w:color w:val="000000"/>
                <w:sz w:val="16"/>
                <w:szCs w:val="16"/>
              </w:rPr>
              <w:t>0.0175</w:t>
            </w:r>
          </w:p>
        </w:tc>
        <w:tc>
          <w:tcPr>
            <w:tcW w:w="981" w:type="dxa"/>
            <w:vAlign w:val="bottom"/>
          </w:tcPr>
          <w:p w:rsidR="005A138F" w:rsidRPr="00330DD3" w:rsidRDefault="005A138F" w:rsidP="0033504B">
            <w:pPr>
              <w:rPr>
                <w:i/>
                <w:color w:val="000000"/>
                <w:sz w:val="16"/>
                <w:szCs w:val="16"/>
              </w:rPr>
            </w:pPr>
            <w:r w:rsidRPr="00330DD3">
              <w:rPr>
                <w:i/>
                <w:color w:val="000000"/>
                <w:sz w:val="16"/>
                <w:szCs w:val="16"/>
              </w:rPr>
              <w:t>0.2343</w:t>
            </w:r>
          </w:p>
        </w:tc>
        <w:tc>
          <w:tcPr>
            <w:tcW w:w="850" w:type="dxa"/>
            <w:vAlign w:val="bottom"/>
          </w:tcPr>
          <w:p w:rsidR="005A138F" w:rsidRPr="00330DD3" w:rsidRDefault="005A138F">
            <w:pPr>
              <w:jc w:val="right"/>
              <w:rPr>
                <w:i/>
                <w:color w:val="000000"/>
                <w:sz w:val="16"/>
                <w:szCs w:val="16"/>
              </w:rPr>
            </w:pPr>
            <w:r w:rsidRPr="00330DD3">
              <w:rPr>
                <w:i/>
                <w:color w:val="000000"/>
                <w:sz w:val="16"/>
                <w:szCs w:val="16"/>
              </w:rPr>
              <w:t>0.0167</w:t>
            </w:r>
          </w:p>
        </w:tc>
        <w:tc>
          <w:tcPr>
            <w:tcW w:w="992" w:type="dxa"/>
            <w:vAlign w:val="bottom"/>
          </w:tcPr>
          <w:p w:rsidR="005A138F" w:rsidRPr="00330DD3" w:rsidRDefault="005A138F" w:rsidP="00774819">
            <w:pPr>
              <w:rPr>
                <w:rFonts w:ascii="Calibri" w:hAnsi="Calibri" w:cs="Calibri"/>
                <w:i/>
                <w:color w:val="000000"/>
                <w:sz w:val="16"/>
                <w:szCs w:val="16"/>
              </w:rPr>
            </w:pPr>
            <w:r w:rsidRPr="00330DD3">
              <w:rPr>
                <w:rFonts w:ascii="Calibri" w:hAnsi="Calibri" w:cs="Calibri"/>
                <w:i/>
                <w:color w:val="000000"/>
                <w:sz w:val="16"/>
                <w:szCs w:val="16"/>
              </w:rPr>
              <w:t>0.2530</w:t>
            </w:r>
          </w:p>
        </w:tc>
        <w:tc>
          <w:tcPr>
            <w:tcW w:w="993" w:type="dxa"/>
            <w:vAlign w:val="bottom"/>
          </w:tcPr>
          <w:p w:rsidR="005A138F" w:rsidRPr="00330DD3" w:rsidRDefault="005A138F">
            <w:pPr>
              <w:jc w:val="right"/>
              <w:rPr>
                <w:i/>
                <w:color w:val="000000"/>
                <w:sz w:val="16"/>
                <w:szCs w:val="16"/>
              </w:rPr>
            </w:pPr>
            <w:r w:rsidRPr="00330DD3">
              <w:rPr>
                <w:i/>
                <w:color w:val="000000"/>
                <w:sz w:val="16"/>
                <w:szCs w:val="16"/>
              </w:rPr>
              <w:t>0.0167</w:t>
            </w:r>
          </w:p>
        </w:tc>
        <w:tc>
          <w:tcPr>
            <w:tcW w:w="992" w:type="dxa"/>
            <w:vAlign w:val="bottom"/>
          </w:tcPr>
          <w:p w:rsidR="005A138F" w:rsidRPr="00330DD3" w:rsidRDefault="005A138F" w:rsidP="00774819">
            <w:pPr>
              <w:rPr>
                <w:i/>
                <w:color w:val="000000"/>
                <w:sz w:val="16"/>
                <w:szCs w:val="16"/>
              </w:rPr>
            </w:pPr>
            <w:r w:rsidRPr="00330DD3">
              <w:rPr>
                <w:i/>
                <w:color w:val="000000"/>
                <w:sz w:val="16"/>
                <w:szCs w:val="16"/>
              </w:rPr>
              <w:t>0.2605</w:t>
            </w:r>
          </w:p>
        </w:tc>
        <w:tc>
          <w:tcPr>
            <w:tcW w:w="973" w:type="dxa"/>
            <w:vAlign w:val="bottom"/>
          </w:tcPr>
          <w:p w:rsidR="005A138F" w:rsidRPr="00330DD3" w:rsidRDefault="005A138F">
            <w:pPr>
              <w:jc w:val="right"/>
              <w:rPr>
                <w:i/>
                <w:color w:val="000000"/>
                <w:sz w:val="16"/>
                <w:szCs w:val="16"/>
              </w:rPr>
            </w:pPr>
            <w:r w:rsidRPr="00330DD3">
              <w:rPr>
                <w:i/>
                <w:color w:val="000000"/>
                <w:sz w:val="16"/>
                <w:szCs w:val="16"/>
              </w:rPr>
              <w:t>0.0165</w:t>
            </w:r>
          </w:p>
        </w:tc>
        <w:tc>
          <w:tcPr>
            <w:tcW w:w="950" w:type="dxa"/>
            <w:vAlign w:val="bottom"/>
          </w:tcPr>
          <w:p w:rsidR="005A138F" w:rsidRPr="00330DD3" w:rsidRDefault="005A138F" w:rsidP="005A138F">
            <w:pPr>
              <w:rPr>
                <w:i/>
                <w:color w:val="000000"/>
                <w:sz w:val="16"/>
                <w:szCs w:val="16"/>
              </w:rPr>
            </w:pPr>
            <w:r w:rsidRPr="00330DD3">
              <w:rPr>
                <w:i/>
                <w:color w:val="000000"/>
                <w:sz w:val="16"/>
                <w:szCs w:val="16"/>
              </w:rPr>
              <w:t>0.2623</w:t>
            </w:r>
          </w:p>
        </w:tc>
      </w:tr>
      <w:tr w:rsidR="005A138F" w:rsidRPr="00C15F52" w:rsidTr="00615970">
        <w:trPr>
          <w:trHeight w:val="284"/>
          <w:jc w:val="center"/>
        </w:trPr>
        <w:tc>
          <w:tcPr>
            <w:tcW w:w="1704" w:type="dxa"/>
            <w:noWrap/>
            <w:vAlign w:val="bottom"/>
          </w:tcPr>
          <w:p w:rsidR="005A138F" w:rsidRPr="00330DD3" w:rsidRDefault="005A138F" w:rsidP="00DD5F1A">
            <w:pPr>
              <w:rPr>
                <w:rFonts w:cs="Times New Roman"/>
                <w:i/>
                <w:sz w:val="16"/>
                <w:szCs w:val="16"/>
              </w:rPr>
            </w:pPr>
            <w:r w:rsidRPr="00330DD3">
              <w:rPr>
                <w:rFonts w:eastAsiaTheme="minorEastAsia" w:cs="Times New Roman"/>
                <w:i/>
                <w:sz w:val="16"/>
                <w:szCs w:val="16"/>
              </w:rPr>
              <w:t xml:space="preserve">  </w:t>
            </w:r>
            <w:r w:rsidRPr="00330DD3">
              <w:rPr>
                <w:rFonts w:cs="Times New Roman"/>
                <w:i/>
                <w:sz w:val="16"/>
                <w:szCs w:val="16"/>
              </w:rPr>
              <w:t>BIG4</w:t>
            </w:r>
          </w:p>
        </w:tc>
        <w:tc>
          <w:tcPr>
            <w:tcW w:w="1014" w:type="dxa"/>
            <w:noWrap/>
            <w:vAlign w:val="bottom"/>
          </w:tcPr>
          <w:p w:rsidR="005A138F" w:rsidRPr="00330DD3" w:rsidRDefault="005A138F">
            <w:pPr>
              <w:jc w:val="right"/>
              <w:rPr>
                <w:rFonts w:ascii="Calibri" w:hAnsi="Calibri" w:cs="Calibri"/>
                <w:i/>
                <w:color w:val="000000"/>
                <w:sz w:val="16"/>
                <w:szCs w:val="16"/>
              </w:rPr>
            </w:pPr>
            <w:r w:rsidRPr="00330DD3">
              <w:rPr>
                <w:rFonts w:ascii="Calibri" w:hAnsi="Calibri" w:cs="Calibri"/>
                <w:i/>
                <w:color w:val="000000"/>
                <w:sz w:val="16"/>
                <w:szCs w:val="16"/>
              </w:rPr>
              <w:t>-0.0040</w:t>
            </w:r>
          </w:p>
        </w:tc>
        <w:tc>
          <w:tcPr>
            <w:tcW w:w="896" w:type="dxa"/>
            <w:noWrap/>
            <w:vAlign w:val="bottom"/>
          </w:tcPr>
          <w:p w:rsidR="005A138F" w:rsidRPr="00330DD3" w:rsidRDefault="005A138F" w:rsidP="00D365F1">
            <w:pPr>
              <w:rPr>
                <w:i/>
                <w:color w:val="000000"/>
                <w:sz w:val="16"/>
                <w:szCs w:val="16"/>
              </w:rPr>
            </w:pPr>
            <w:r w:rsidRPr="00330DD3">
              <w:rPr>
                <w:i/>
                <w:color w:val="000000"/>
                <w:sz w:val="16"/>
                <w:szCs w:val="16"/>
              </w:rPr>
              <w:t>0.5758</w:t>
            </w:r>
          </w:p>
        </w:tc>
        <w:tc>
          <w:tcPr>
            <w:tcW w:w="790" w:type="dxa"/>
            <w:noWrap/>
            <w:vAlign w:val="bottom"/>
          </w:tcPr>
          <w:p w:rsidR="005A138F" w:rsidRPr="00330DD3" w:rsidRDefault="005A138F" w:rsidP="00615970">
            <w:pPr>
              <w:jc w:val="center"/>
              <w:rPr>
                <w:rFonts w:cs="Times New Roman"/>
                <w:i/>
                <w:color w:val="000000"/>
                <w:sz w:val="16"/>
                <w:szCs w:val="16"/>
              </w:rPr>
            </w:pPr>
            <w:r w:rsidRPr="00330DD3">
              <w:rPr>
                <w:rFonts w:cs="Times New Roman"/>
                <w:i/>
                <w:color w:val="000000"/>
                <w:sz w:val="16"/>
                <w:szCs w:val="16"/>
              </w:rPr>
              <w:t>-</w:t>
            </w:r>
          </w:p>
        </w:tc>
        <w:tc>
          <w:tcPr>
            <w:tcW w:w="896" w:type="dxa"/>
            <w:noWrap/>
            <w:vAlign w:val="bottom"/>
          </w:tcPr>
          <w:p w:rsidR="005A138F" w:rsidRPr="00330DD3" w:rsidRDefault="00615970" w:rsidP="00615970">
            <w:pPr>
              <w:rPr>
                <w:rFonts w:cs="Times New Roman"/>
                <w:i/>
                <w:color w:val="000000"/>
                <w:sz w:val="16"/>
                <w:szCs w:val="16"/>
              </w:rPr>
            </w:pPr>
            <w:r w:rsidRPr="00330DD3">
              <w:rPr>
                <w:rFonts w:cs="Times New Roman"/>
                <w:i/>
                <w:color w:val="000000"/>
                <w:sz w:val="16"/>
                <w:szCs w:val="16"/>
              </w:rPr>
              <w:t xml:space="preserve">    </w:t>
            </w:r>
            <w:r w:rsidR="005A138F" w:rsidRPr="00330DD3">
              <w:rPr>
                <w:rFonts w:cs="Times New Roman"/>
                <w:i/>
                <w:color w:val="000000"/>
                <w:sz w:val="16"/>
                <w:szCs w:val="16"/>
              </w:rPr>
              <w:t>-</w:t>
            </w:r>
          </w:p>
        </w:tc>
        <w:tc>
          <w:tcPr>
            <w:tcW w:w="790" w:type="dxa"/>
            <w:noWrap/>
            <w:vAlign w:val="bottom"/>
          </w:tcPr>
          <w:p w:rsidR="005A138F" w:rsidRPr="00330DD3" w:rsidRDefault="00615970" w:rsidP="00615970">
            <w:pPr>
              <w:rPr>
                <w:rFonts w:cs="Times New Roman"/>
                <w:i/>
                <w:color w:val="000000"/>
                <w:sz w:val="16"/>
                <w:szCs w:val="16"/>
              </w:rPr>
            </w:pPr>
            <w:r w:rsidRPr="00330DD3">
              <w:rPr>
                <w:rFonts w:cs="Times New Roman"/>
                <w:i/>
                <w:color w:val="000000"/>
                <w:sz w:val="16"/>
                <w:szCs w:val="16"/>
              </w:rPr>
              <w:t xml:space="preserve">      </w:t>
            </w:r>
            <w:r w:rsidR="005A138F" w:rsidRPr="00330DD3">
              <w:rPr>
                <w:rFonts w:cs="Times New Roman"/>
                <w:i/>
                <w:color w:val="000000"/>
                <w:sz w:val="16"/>
                <w:szCs w:val="16"/>
              </w:rPr>
              <w:t>-</w:t>
            </w:r>
          </w:p>
        </w:tc>
        <w:tc>
          <w:tcPr>
            <w:tcW w:w="981" w:type="dxa"/>
            <w:vAlign w:val="bottom"/>
          </w:tcPr>
          <w:p w:rsidR="005A138F" w:rsidRPr="00330DD3" w:rsidRDefault="00615970" w:rsidP="00615970">
            <w:pPr>
              <w:rPr>
                <w:rFonts w:cs="Times New Roman"/>
                <w:i/>
                <w:color w:val="000000"/>
                <w:sz w:val="16"/>
                <w:szCs w:val="16"/>
              </w:rPr>
            </w:pPr>
            <w:r w:rsidRPr="00330DD3">
              <w:rPr>
                <w:rFonts w:cs="Times New Roman"/>
                <w:i/>
                <w:color w:val="000000"/>
                <w:sz w:val="16"/>
                <w:szCs w:val="16"/>
              </w:rPr>
              <w:t xml:space="preserve">      </w:t>
            </w:r>
            <w:r w:rsidR="005A138F" w:rsidRPr="00330DD3">
              <w:rPr>
                <w:rFonts w:cs="Times New Roman"/>
                <w:i/>
                <w:color w:val="000000"/>
                <w:sz w:val="16"/>
                <w:szCs w:val="16"/>
              </w:rPr>
              <w:t>-</w:t>
            </w:r>
          </w:p>
        </w:tc>
        <w:tc>
          <w:tcPr>
            <w:tcW w:w="850" w:type="dxa"/>
            <w:tcBorders>
              <w:left w:val="nil"/>
            </w:tcBorders>
            <w:vAlign w:val="bottom"/>
          </w:tcPr>
          <w:p w:rsidR="005A138F" w:rsidRPr="00330DD3" w:rsidRDefault="005A138F">
            <w:pPr>
              <w:jc w:val="right"/>
              <w:rPr>
                <w:i/>
                <w:color w:val="000000"/>
                <w:sz w:val="16"/>
                <w:szCs w:val="16"/>
              </w:rPr>
            </w:pPr>
            <w:r w:rsidRPr="00330DD3">
              <w:rPr>
                <w:i/>
                <w:color w:val="000000"/>
                <w:sz w:val="16"/>
                <w:szCs w:val="16"/>
              </w:rPr>
              <w:t>-0.0036</w:t>
            </w:r>
          </w:p>
        </w:tc>
        <w:tc>
          <w:tcPr>
            <w:tcW w:w="891" w:type="dxa"/>
            <w:noWrap/>
            <w:vAlign w:val="bottom"/>
          </w:tcPr>
          <w:p w:rsidR="005A138F" w:rsidRPr="00330DD3" w:rsidRDefault="005A138F" w:rsidP="0033504B">
            <w:pPr>
              <w:rPr>
                <w:i/>
                <w:color w:val="000000"/>
                <w:sz w:val="16"/>
                <w:szCs w:val="16"/>
              </w:rPr>
            </w:pPr>
            <w:r w:rsidRPr="00330DD3">
              <w:rPr>
                <w:i/>
                <w:color w:val="000000"/>
                <w:sz w:val="16"/>
                <w:szCs w:val="16"/>
              </w:rPr>
              <w:t>0.6146</w:t>
            </w:r>
          </w:p>
        </w:tc>
        <w:tc>
          <w:tcPr>
            <w:tcW w:w="790" w:type="dxa"/>
            <w:vAlign w:val="bottom"/>
          </w:tcPr>
          <w:p w:rsidR="005A138F" w:rsidRPr="00330DD3" w:rsidRDefault="005A138F">
            <w:pPr>
              <w:jc w:val="right"/>
              <w:rPr>
                <w:i/>
                <w:color w:val="000000"/>
                <w:sz w:val="16"/>
                <w:szCs w:val="16"/>
              </w:rPr>
            </w:pPr>
            <w:r w:rsidRPr="00330DD3">
              <w:rPr>
                <w:i/>
                <w:color w:val="000000"/>
                <w:sz w:val="16"/>
                <w:szCs w:val="16"/>
              </w:rPr>
              <w:t>-0.0039</w:t>
            </w:r>
          </w:p>
        </w:tc>
        <w:tc>
          <w:tcPr>
            <w:tcW w:w="981" w:type="dxa"/>
            <w:vAlign w:val="bottom"/>
          </w:tcPr>
          <w:p w:rsidR="005A138F" w:rsidRPr="00330DD3" w:rsidRDefault="005A138F" w:rsidP="0033504B">
            <w:pPr>
              <w:rPr>
                <w:i/>
                <w:color w:val="000000"/>
                <w:sz w:val="16"/>
                <w:szCs w:val="16"/>
              </w:rPr>
            </w:pPr>
            <w:r w:rsidRPr="00330DD3">
              <w:rPr>
                <w:i/>
                <w:color w:val="000000"/>
                <w:sz w:val="16"/>
                <w:szCs w:val="16"/>
              </w:rPr>
              <w:t>0.5830</w:t>
            </w:r>
          </w:p>
        </w:tc>
        <w:tc>
          <w:tcPr>
            <w:tcW w:w="850" w:type="dxa"/>
            <w:vAlign w:val="bottom"/>
          </w:tcPr>
          <w:p w:rsidR="005A138F" w:rsidRPr="00330DD3" w:rsidRDefault="005A138F">
            <w:pPr>
              <w:jc w:val="right"/>
              <w:rPr>
                <w:i/>
                <w:color w:val="000000"/>
                <w:sz w:val="16"/>
                <w:szCs w:val="16"/>
              </w:rPr>
            </w:pPr>
            <w:r w:rsidRPr="00330DD3">
              <w:rPr>
                <w:i/>
                <w:color w:val="000000"/>
                <w:sz w:val="16"/>
                <w:szCs w:val="16"/>
              </w:rPr>
              <w:t>-0.0040</w:t>
            </w:r>
          </w:p>
        </w:tc>
        <w:tc>
          <w:tcPr>
            <w:tcW w:w="992" w:type="dxa"/>
            <w:vAlign w:val="bottom"/>
          </w:tcPr>
          <w:p w:rsidR="005A138F" w:rsidRPr="00330DD3" w:rsidRDefault="005A138F" w:rsidP="00774819">
            <w:pPr>
              <w:rPr>
                <w:rFonts w:ascii="Calibri" w:hAnsi="Calibri" w:cs="Calibri"/>
                <w:i/>
                <w:color w:val="000000"/>
                <w:sz w:val="16"/>
                <w:szCs w:val="16"/>
              </w:rPr>
            </w:pPr>
            <w:r w:rsidRPr="00330DD3">
              <w:rPr>
                <w:rFonts w:ascii="Calibri" w:hAnsi="Calibri" w:cs="Calibri"/>
                <w:i/>
                <w:color w:val="000000"/>
                <w:sz w:val="16"/>
                <w:szCs w:val="16"/>
              </w:rPr>
              <w:t>0.5778</w:t>
            </w:r>
          </w:p>
        </w:tc>
        <w:tc>
          <w:tcPr>
            <w:tcW w:w="993" w:type="dxa"/>
            <w:vAlign w:val="bottom"/>
          </w:tcPr>
          <w:p w:rsidR="005A138F" w:rsidRPr="00330DD3" w:rsidRDefault="005A138F">
            <w:pPr>
              <w:jc w:val="right"/>
              <w:rPr>
                <w:i/>
                <w:color w:val="000000"/>
                <w:sz w:val="16"/>
                <w:szCs w:val="16"/>
              </w:rPr>
            </w:pPr>
            <w:r w:rsidRPr="00330DD3">
              <w:rPr>
                <w:i/>
                <w:color w:val="000000"/>
                <w:sz w:val="16"/>
                <w:szCs w:val="16"/>
              </w:rPr>
              <w:t>-0.0042</w:t>
            </w:r>
          </w:p>
        </w:tc>
        <w:tc>
          <w:tcPr>
            <w:tcW w:w="992" w:type="dxa"/>
            <w:vAlign w:val="bottom"/>
          </w:tcPr>
          <w:p w:rsidR="005A138F" w:rsidRPr="00330DD3" w:rsidRDefault="005A138F" w:rsidP="00774819">
            <w:pPr>
              <w:rPr>
                <w:i/>
                <w:color w:val="000000"/>
                <w:sz w:val="16"/>
                <w:szCs w:val="16"/>
              </w:rPr>
            </w:pPr>
            <w:r w:rsidRPr="00330DD3">
              <w:rPr>
                <w:i/>
                <w:color w:val="000000"/>
                <w:sz w:val="16"/>
                <w:szCs w:val="16"/>
              </w:rPr>
              <w:t>0.5604</w:t>
            </w:r>
          </w:p>
        </w:tc>
        <w:tc>
          <w:tcPr>
            <w:tcW w:w="973" w:type="dxa"/>
            <w:vAlign w:val="bottom"/>
          </w:tcPr>
          <w:p w:rsidR="005A138F" w:rsidRPr="00330DD3" w:rsidRDefault="005A138F">
            <w:pPr>
              <w:jc w:val="right"/>
              <w:rPr>
                <w:i/>
                <w:color w:val="000000"/>
                <w:sz w:val="16"/>
                <w:szCs w:val="16"/>
              </w:rPr>
            </w:pPr>
            <w:r w:rsidRPr="00330DD3">
              <w:rPr>
                <w:i/>
                <w:color w:val="000000"/>
                <w:sz w:val="16"/>
                <w:szCs w:val="16"/>
              </w:rPr>
              <w:t>-0.0042</w:t>
            </w:r>
          </w:p>
        </w:tc>
        <w:tc>
          <w:tcPr>
            <w:tcW w:w="950" w:type="dxa"/>
            <w:vAlign w:val="bottom"/>
          </w:tcPr>
          <w:p w:rsidR="005A138F" w:rsidRPr="00330DD3" w:rsidRDefault="005A138F" w:rsidP="005A138F">
            <w:pPr>
              <w:rPr>
                <w:i/>
                <w:color w:val="000000"/>
                <w:sz w:val="16"/>
                <w:szCs w:val="16"/>
              </w:rPr>
            </w:pPr>
            <w:r w:rsidRPr="00330DD3">
              <w:rPr>
                <w:i/>
                <w:color w:val="000000"/>
                <w:sz w:val="16"/>
                <w:szCs w:val="16"/>
              </w:rPr>
              <w:t>0.5591</w:t>
            </w:r>
          </w:p>
        </w:tc>
      </w:tr>
      <w:tr w:rsidR="005A138F" w:rsidRPr="00C15F52" w:rsidTr="00615970">
        <w:trPr>
          <w:trHeight w:val="275"/>
          <w:jc w:val="center"/>
        </w:trPr>
        <w:tc>
          <w:tcPr>
            <w:tcW w:w="1704" w:type="dxa"/>
            <w:noWrap/>
            <w:vAlign w:val="bottom"/>
          </w:tcPr>
          <w:p w:rsidR="005A138F" w:rsidRPr="00330DD3" w:rsidRDefault="005A138F" w:rsidP="00DD5F1A">
            <w:pPr>
              <w:rPr>
                <w:rFonts w:eastAsiaTheme="minorEastAsia" w:cs="Times New Roman"/>
                <w:i/>
                <w:sz w:val="16"/>
                <w:szCs w:val="16"/>
              </w:rPr>
            </w:pPr>
            <w:r w:rsidRPr="00330DD3">
              <w:rPr>
                <w:rFonts w:cs="Times New Roman"/>
                <w:i/>
                <w:sz w:val="16"/>
                <w:szCs w:val="16"/>
              </w:rPr>
              <w:t xml:space="preserve">  CGCOM</w:t>
            </w:r>
          </w:p>
        </w:tc>
        <w:tc>
          <w:tcPr>
            <w:tcW w:w="1014" w:type="dxa"/>
            <w:noWrap/>
            <w:vAlign w:val="bottom"/>
          </w:tcPr>
          <w:p w:rsidR="005A138F" w:rsidRPr="00330DD3" w:rsidRDefault="005A138F">
            <w:pPr>
              <w:jc w:val="right"/>
              <w:rPr>
                <w:rFonts w:ascii="Calibri" w:hAnsi="Calibri" w:cs="Calibri"/>
                <w:i/>
                <w:color w:val="000000"/>
                <w:sz w:val="16"/>
                <w:szCs w:val="16"/>
              </w:rPr>
            </w:pPr>
            <w:r w:rsidRPr="00330DD3">
              <w:rPr>
                <w:rFonts w:ascii="Calibri" w:hAnsi="Calibri" w:cs="Calibri"/>
                <w:i/>
                <w:color w:val="000000"/>
                <w:sz w:val="16"/>
                <w:szCs w:val="16"/>
              </w:rPr>
              <w:t>0.0118</w:t>
            </w:r>
          </w:p>
        </w:tc>
        <w:tc>
          <w:tcPr>
            <w:tcW w:w="896" w:type="dxa"/>
            <w:noWrap/>
            <w:vAlign w:val="bottom"/>
          </w:tcPr>
          <w:p w:rsidR="005A138F" w:rsidRPr="00330DD3" w:rsidRDefault="005A138F" w:rsidP="00D365F1">
            <w:pPr>
              <w:rPr>
                <w:i/>
                <w:color w:val="000000"/>
                <w:sz w:val="16"/>
                <w:szCs w:val="16"/>
              </w:rPr>
            </w:pPr>
            <w:r w:rsidRPr="00330DD3">
              <w:rPr>
                <w:i/>
                <w:color w:val="000000"/>
                <w:sz w:val="16"/>
                <w:szCs w:val="16"/>
              </w:rPr>
              <w:t>0.1695</w:t>
            </w:r>
          </w:p>
        </w:tc>
        <w:tc>
          <w:tcPr>
            <w:tcW w:w="790" w:type="dxa"/>
            <w:noWrap/>
            <w:vAlign w:val="bottom"/>
          </w:tcPr>
          <w:p w:rsidR="005A138F" w:rsidRPr="00330DD3" w:rsidRDefault="005A138F" w:rsidP="00615970">
            <w:pPr>
              <w:jc w:val="center"/>
              <w:rPr>
                <w:rFonts w:cs="Times New Roman"/>
                <w:i/>
                <w:color w:val="000000"/>
                <w:sz w:val="16"/>
                <w:szCs w:val="16"/>
              </w:rPr>
            </w:pPr>
            <w:r w:rsidRPr="00330DD3">
              <w:rPr>
                <w:rFonts w:cs="Times New Roman"/>
                <w:i/>
                <w:color w:val="000000"/>
                <w:sz w:val="16"/>
                <w:szCs w:val="16"/>
              </w:rPr>
              <w:t>-</w:t>
            </w:r>
          </w:p>
        </w:tc>
        <w:tc>
          <w:tcPr>
            <w:tcW w:w="896" w:type="dxa"/>
            <w:noWrap/>
            <w:vAlign w:val="bottom"/>
          </w:tcPr>
          <w:p w:rsidR="005A138F" w:rsidRPr="00330DD3" w:rsidRDefault="00615970" w:rsidP="00615970">
            <w:pPr>
              <w:rPr>
                <w:rFonts w:cs="Times New Roman"/>
                <w:i/>
                <w:color w:val="000000"/>
                <w:sz w:val="16"/>
                <w:szCs w:val="16"/>
              </w:rPr>
            </w:pPr>
            <w:r w:rsidRPr="00330DD3">
              <w:rPr>
                <w:rFonts w:cs="Times New Roman"/>
                <w:i/>
                <w:color w:val="000000"/>
                <w:sz w:val="16"/>
                <w:szCs w:val="16"/>
              </w:rPr>
              <w:t xml:space="preserve">    </w:t>
            </w:r>
            <w:r w:rsidR="005A138F" w:rsidRPr="00330DD3">
              <w:rPr>
                <w:rFonts w:cs="Times New Roman"/>
                <w:i/>
                <w:color w:val="000000"/>
                <w:sz w:val="16"/>
                <w:szCs w:val="16"/>
              </w:rPr>
              <w:t>-</w:t>
            </w:r>
          </w:p>
        </w:tc>
        <w:tc>
          <w:tcPr>
            <w:tcW w:w="790" w:type="dxa"/>
            <w:noWrap/>
            <w:vAlign w:val="bottom"/>
          </w:tcPr>
          <w:p w:rsidR="005A138F" w:rsidRPr="00330DD3" w:rsidRDefault="00615970" w:rsidP="00615970">
            <w:pPr>
              <w:rPr>
                <w:rFonts w:cs="Times New Roman"/>
                <w:i/>
                <w:color w:val="000000"/>
                <w:sz w:val="16"/>
                <w:szCs w:val="16"/>
              </w:rPr>
            </w:pPr>
            <w:r w:rsidRPr="00330DD3">
              <w:rPr>
                <w:rFonts w:cs="Times New Roman"/>
                <w:i/>
                <w:color w:val="000000"/>
                <w:sz w:val="16"/>
                <w:szCs w:val="16"/>
              </w:rPr>
              <w:t xml:space="preserve">      </w:t>
            </w:r>
            <w:r w:rsidR="005A138F" w:rsidRPr="00330DD3">
              <w:rPr>
                <w:rFonts w:cs="Times New Roman"/>
                <w:i/>
                <w:color w:val="000000"/>
                <w:sz w:val="16"/>
                <w:szCs w:val="16"/>
              </w:rPr>
              <w:t>-</w:t>
            </w:r>
          </w:p>
        </w:tc>
        <w:tc>
          <w:tcPr>
            <w:tcW w:w="981" w:type="dxa"/>
            <w:vAlign w:val="bottom"/>
          </w:tcPr>
          <w:p w:rsidR="005A138F" w:rsidRPr="00330DD3" w:rsidRDefault="00615970" w:rsidP="00615970">
            <w:pPr>
              <w:rPr>
                <w:rFonts w:cs="Times New Roman"/>
                <w:i/>
                <w:color w:val="000000"/>
                <w:sz w:val="16"/>
                <w:szCs w:val="16"/>
              </w:rPr>
            </w:pPr>
            <w:r w:rsidRPr="00330DD3">
              <w:rPr>
                <w:rFonts w:cs="Times New Roman"/>
                <w:i/>
                <w:color w:val="000000"/>
                <w:sz w:val="16"/>
                <w:szCs w:val="16"/>
              </w:rPr>
              <w:t xml:space="preserve">      </w:t>
            </w:r>
            <w:r w:rsidR="005A138F" w:rsidRPr="00330DD3">
              <w:rPr>
                <w:rFonts w:cs="Times New Roman"/>
                <w:i/>
                <w:color w:val="000000"/>
                <w:sz w:val="16"/>
                <w:szCs w:val="16"/>
              </w:rPr>
              <w:t>-</w:t>
            </w:r>
          </w:p>
        </w:tc>
        <w:tc>
          <w:tcPr>
            <w:tcW w:w="850" w:type="dxa"/>
            <w:tcBorders>
              <w:left w:val="nil"/>
            </w:tcBorders>
            <w:vAlign w:val="bottom"/>
          </w:tcPr>
          <w:p w:rsidR="005A138F" w:rsidRPr="00330DD3" w:rsidRDefault="005A138F">
            <w:pPr>
              <w:jc w:val="right"/>
              <w:rPr>
                <w:i/>
                <w:color w:val="000000"/>
                <w:sz w:val="16"/>
                <w:szCs w:val="16"/>
              </w:rPr>
            </w:pPr>
            <w:r w:rsidRPr="00330DD3">
              <w:rPr>
                <w:i/>
                <w:color w:val="000000"/>
                <w:sz w:val="16"/>
                <w:szCs w:val="16"/>
              </w:rPr>
              <w:t>0.0093</w:t>
            </w:r>
          </w:p>
        </w:tc>
        <w:tc>
          <w:tcPr>
            <w:tcW w:w="891" w:type="dxa"/>
            <w:noWrap/>
            <w:vAlign w:val="bottom"/>
          </w:tcPr>
          <w:p w:rsidR="005A138F" w:rsidRPr="00330DD3" w:rsidRDefault="005A138F" w:rsidP="0033504B">
            <w:pPr>
              <w:rPr>
                <w:i/>
                <w:color w:val="000000"/>
                <w:sz w:val="16"/>
                <w:szCs w:val="16"/>
              </w:rPr>
            </w:pPr>
            <w:r w:rsidRPr="00330DD3">
              <w:rPr>
                <w:i/>
                <w:color w:val="000000"/>
                <w:sz w:val="16"/>
                <w:szCs w:val="16"/>
              </w:rPr>
              <w:t>0.2759</w:t>
            </w:r>
          </w:p>
        </w:tc>
        <w:tc>
          <w:tcPr>
            <w:tcW w:w="790" w:type="dxa"/>
            <w:vAlign w:val="bottom"/>
          </w:tcPr>
          <w:p w:rsidR="005A138F" w:rsidRPr="00330DD3" w:rsidRDefault="005A138F">
            <w:pPr>
              <w:jc w:val="right"/>
              <w:rPr>
                <w:i/>
                <w:color w:val="000000"/>
                <w:sz w:val="16"/>
                <w:szCs w:val="16"/>
              </w:rPr>
            </w:pPr>
            <w:r w:rsidRPr="00330DD3">
              <w:rPr>
                <w:i/>
                <w:color w:val="000000"/>
                <w:sz w:val="16"/>
                <w:szCs w:val="16"/>
              </w:rPr>
              <w:t>0.0120</w:t>
            </w:r>
          </w:p>
        </w:tc>
        <w:tc>
          <w:tcPr>
            <w:tcW w:w="981" w:type="dxa"/>
            <w:vAlign w:val="bottom"/>
          </w:tcPr>
          <w:p w:rsidR="005A138F" w:rsidRPr="00330DD3" w:rsidRDefault="005A138F" w:rsidP="0033504B">
            <w:pPr>
              <w:rPr>
                <w:i/>
                <w:color w:val="000000"/>
                <w:sz w:val="16"/>
                <w:szCs w:val="16"/>
              </w:rPr>
            </w:pPr>
            <w:r w:rsidRPr="00330DD3">
              <w:rPr>
                <w:i/>
                <w:color w:val="000000"/>
                <w:sz w:val="16"/>
                <w:szCs w:val="16"/>
              </w:rPr>
              <w:t>0.1702</w:t>
            </w:r>
          </w:p>
        </w:tc>
        <w:tc>
          <w:tcPr>
            <w:tcW w:w="850" w:type="dxa"/>
            <w:vAlign w:val="bottom"/>
          </w:tcPr>
          <w:p w:rsidR="005A138F" w:rsidRPr="00330DD3" w:rsidRDefault="005A138F">
            <w:pPr>
              <w:jc w:val="right"/>
              <w:rPr>
                <w:i/>
                <w:color w:val="000000"/>
                <w:sz w:val="16"/>
                <w:szCs w:val="16"/>
              </w:rPr>
            </w:pPr>
            <w:r w:rsidRPr="00330DD3">
              <w:rPr>
                <w:i/>
                <w:color w:val="000000"/>
                <w:sz w:val="16"/>
                <w:szCs w:val="16"/>
              </w:rPr>
              <w:t>0.0115</w:t>
            </w:r>
          </w:p>
        </w:tc>
        <w:tc>
          <w:tcPr>
            <w:tcW w:w="992" w:type="dxa"/>
            <w:vAlign w:val="bottom"/>
          </w:tcPr>
          <w:p w:rsidR="005A138F" w:rsidRPr="00330DD3" w:rsidRDefault="005A138F" w:rsidP="00774819">
            <w:pPr>
              <w:rPr>
                <w:rFonts w:ascii="Calibri" w:hAnsi="Calibri" w:cs="Calibri"/>
                <w:i/>
                <w:color w:val="000000"/>
                <w:sz w:val="16"/>
                <w:szCs w:val="16"/>
              </w:rPr>
            </w:pPr>
            <w:r w:rsidRPr="00330DD3">
              <w:rPr>
                <w:rFonts w:ascii="Calibri" w:hAnsi="Calibri" w:cs="Calibri"/>
                <w:i/>
                <w:color w:val="000000"/>
                <w:sz w:val="16"/>
                <w:szCs w:val="16"/>
              </w:rPr>
              <w:t>0.1794</w:t>
            </w:r>
          </w:p>
        </w:tc>
        <w:tc>
          <w:tcPr>
            <w:tcW w:w="993" w:type="dxa"/>
            <w:vAlign w:val="bottom"/>
          </w:tcPr>
          <w:p w:rsidR="005A138F" w:rsidRPr="00330DD3" w:rsidRDefault="005A138F">
            <w:pPr>
              <w:jc w:val="right"/>
              <w:rPr>
                <w:i/>
                <w:color w:val="000000"/>
                <w:sz w:val="16"/>
                <w:szCs w:val="16"/>
              </w:rPr>
            </w:pPr>
            <w:r w:rsidRPr="00330DD3">
              <w:rPr>
                <w:i/>
                <w:color w:val="000000"/>
                <w:sz w:val="16"/>
                <w:szCs w:val="16"/>
              </w:rPr>
              <w:t>0.0087</w:t>
            </w:r>
          </w:p>
        </w:tc>
        <w:tc>
          <w:tcPr>
            <w:tcW w:w="992" w:type="dxa"/>
            <w:vAlign w:val="bottom"/>
          </w:tcPr>
          <w:p w:rsidR="005A138F" w:rsidRPr="00330DD3" w:rsidRDefault="005A138F" w:rsidP="00774819">
            <w:pPr>
              <w:rPr>
                <w:i/>
                <w:color w:val="000000"/>
                <w:sz w:val="16"/>
                <w:szCs w:val="16"/>
              </w:rPr>
            </w:pPr>
            <w:r w:rsidRPr="00330DD3">
              <w:rPr>
                <w:i/>
                <w:color w:val="000000"/>
                <w:sz w:val="16"/>
                <w:szCs w:val="16"/>
              </w:rPr>
              <w:t>0.3096</w:t>
            </w:r>
          </w:p>
        </w:tc>
        <w:tc>
          <w:tcPr>
            <w:tcW w:w="973" w:type="dxa"/>
            <w:vAlign w:val="bottom"/>
          </w:tcPr>
          <w:p w:rsidR="005A138F" w:rsidRPr="00330DD3" w:rsidRDefault="005A138F">
            <w:pPr>
              <w:jc w:val="right"/>
              <w:rPr>
                <w:i/>
                <w:color w:val="000000"/>
                <w:sz w:val="16"/>
                <w:szCs w:val="16"/>
              </w:rPr>
            </w:pPr>
            <w:r w:rsidRPr="00330DD3">
              <w:rPr>
                <w:i/>
                <w:color w:val="000000"/>
                <w:sz w:val="16"/>
                <w:szCs w:val="16"/>
              </w:rPr>
              <w:t>0.0093</w:t>
            </w:r>
          </w:p>
        </w:tc>
        <w:tc>
          <w:tcPr>
            <w:tcW w:w="950" w:type="dxa"/>
            <w:vAlign w:val="bottom"/>
          </w:tcPr>
          <w:p w:rsidR="005A138F" w:rsidRPr="00330DD3" w:rsidRDefault="005A138F" w:rsidP="005A138F">
            <w:pPr>
              <w:rPr>
                <w:i/>
                <w:color w:val="000000"/>
                <w:sz w:val="16"/>
                <w:szCs w:val="16"/>
              </w:rPr>
            </w:pPr>
            <w:r w:rsidRPr="00330DD3">
              <w:rPr>
                <w:i/>
                <w:color w:val="000000"/>
                <w:sz w:val="16"/>
                <w:szCs w:val="16"/>
              </w:rPr>
              <w:t>0.2745</w:t>
            </w:r>
          </w:p>
        </w:tc>
      </w:tr>
      <w:tr w:rsidR="005A138F" w:rsidRPr="00C15F52" w:rsidTr="00615970">
        <w:trPr>
          <w:trHeight w:val="279"/>
          <w:jc w:val="center"/>
        </w:trPr>
        <w:tc>
          <w:tcPr>
            <w:tcW w:w="1704" w:type="dxa"/>
            <w:noWrap/>
            <w:vAlign w:val="bottom"/>
          </w:tcPr>
          <w:p w:rsidR="005A138F" w:rsidRPr="00330DD3" w:rsidRDefault="005A138F" w:rsidP="00DD5F1A">
            <w:pPr>
              <w:rPr>
                <w:rFonts w:eastAsiaTheme="minorEastAsia" w:cs="Times New Roman"/>
                <w:i/>
                <w:sz w:val="16"/>
                <w:szCs w:val="16"/>
              </w:rPr>
            </w:pPr>
            <w:r w:rsidRPr="00330DD3">
              <w:rPr>
                <w:rFonts w:cs="Times New Roman"/>
                <w:i/>
                <w:sz w:val="16"/>
                <w:szCs w:val="16"/>
              </w:rPr>
              <w:t xml:space="preserve">  GNDR</w:t>
            </w:r>
          </w:p>
        </w:tc>
        <w:tc>
          <w:tcPr>
            <w:tcW w:w="1014" w:type="dxa"/>
            <w:noWrap/>
            <w:vAlign w:val="bottom"/>
          </w:tcPr>
          <w:p w:rsidR="005A138F" w:rsidRPr="00330DD3" w:rsidRDefault="005A138F">
            <w:pPr>
              <w:jc w:val="right"/>
              <w:rPr>
                <w:rFonts w:ascii="Calibri" w:hAnsi="Calibri" w:cs="Calibri"/>
                <w:i/>
                <w:color w:val="000000"/>
                <w:sz w:val="16"/>
                <w:szCs w:val="16"/>
              </w:rPr>
            </w:pPr>
            <w:r w:rsidRPr="00330DD3">
              <w:rPr>
                <w:rFonts w:ascii="Calibri" w:hAnsi="Calibri" w:cs="Calibri"/>
                <w:i/>
                <w:color w:val="000000"/>
                <w:sz w:val="16"/>
                <w:szCs w:val="16"/>
              </w:rPr>
              <w:t>-0.0098</w:t>
            </w:r>
          </w:p>
        </w:tc>
        <w:tc>
          <w:tcPr>
            <w:tcW w:w="896" w:type="dxa"/>
            <w:noWrap/>
            <w:vAlign w:val="bottom"/>
          </w:tcPr>
          <w:p w:rsidR="005A138F" w:rsidRPr="00330DD3" w:rsidRDefault="005A138F" w:rsidP="00D365F1">
            <w:pPr>
              <w:rPr>
                <w:i/>
                <w:color w:val="000000"/>
                <w:sz w:val="16"/>
                <w:szCs w:val="16"/>
              </w:rPr>
            </w:pPr>
            <w:r w:rsidRPr="00330DD3">
              <w:rPr>
                <w:i/>
                <w:color w:val="000000"/>
                <w:sz w:val="16"/>
                <w:szCs w:val="16"/>
              </w:rPr>
              <w:t>0.2061</w:t>
            </w:r>
          </w:p>
        </w:tc>
        <w:tc>
          <w:tcPr>
            <w:tcW w:w="790" w:type="dxa"/>
            <w:noWrap/>
            <w:vAlign w:val="bottom"/>
          </w:tcPr>
          <w:p w:rsidR="005A138F" w:rsidRPr="00330DD3" w:rsidRDefault="005A138F" w:rsidP="00615970">
            <w:pPr>
              <w:jc w:val="center"/>
              <w:rPr>
                <w:rFonts w:cs="Times New Roman"/>
                <w:i/>
                <w:color w:val="000000"/>
                <w:sz w:val="16"/>
                <w:szCs w:val="16"/>
              </w:rPr>
            </w:pPr>
            <w:r w:rsidRPr="00330DD3">
              <w:rPr>
                <w:rFonts w:cs="Times New Roman"/>
                <w:i/>
                <w:color w:val="000000"/>
                <w:sz w:val="16"/>
                <w:szCs w:val="16"/>
              </w:rPr>
              <w:t>-</w:t>
            </w:r>
          </w:p>
        </w:tc>
        <w:tc>
          <w:tcPr>
            <w:tcW w:w="896" w:type="dxa"/>
            <w:noWrap/>
            <w:vAlign w:val="bottom"/>
          </w:tcPr>
          <w:p w:rsidR="005A138F" w:rsidRPr="00330DD3" w:rsidRDefault="00615970" w:rsidP="00615970">
            <w:pPr>
              <w:rPr>
                <w:rFonts w:cs="Times New Roman"/>
                <w:i/>
                <w:color w:val="000000"/>
                <w:sz w:val="16"/>
                <w:szCs w:val="16"/>
              </w:rPr>
            </w:pPr>
            <w:r w:rsidRPr="00330DD3">
              <w:rPr>
                <w:rFonts w:cs="Times New Roman"/>
                <w:i/>
                <w:color w:val="000000"/>
                <w:sz w:val="16"/>
                <w:szCs w:val="16"/>
              </w:rPr>
              <w:t xml:space="preserve">    </w:t>
            </w:r>
            <w:r w:rsidR="005A138F" w:rsidRPr="00330DD3">
              <w:rPr>
                <w:rFonts w:cs="Times New Roman"/>
                <w:i/>
                <w:color w:val="000000"/>
                <w:sz w:val="16"/>
                <w:szCs w:val="16"/>
              </w:rPr>
              <w:t>-</w:t>
            </w:r>
          </w:p>
        </w:tc>
        <w:tc>
          <w:tcPr>
            <w:tcW w:w="790" w:type="dxa"/>
            <w:noWrap/>
            <w:vAlign w:val="bottom"/>
          </w:tcPr>
          <w:p w:rsidR="005A138F" w:rsidRPr="00330DD3" w:rsidRDefault="00615970" w:rsidP="00615970">
            <w:pPr>
              <w:rPr>
                <w:rFonts w:cs="Times New Roman"/>
                <w:i/>
                <w:color w:val="000000"/>
                <w:sz w:val="16"/>
                <w:szCs w:val="16"/>
              </w:rPr>
            </w:pPr>
            <w:r w:rsidRPr="00330DD3">
              <w:rPr>
                <w:rFonts w:cs="Times New Roman"/>
                <w:i/>
                <w:color w:val="000000"/>
                <w:sz w:val="16"/>
                <w:szCs w:val="16"/>
              </w:rPr>
              <w:t xml:space="preserve">      </w:t>
            </w:r>
            <w:r w:rsidR="005A138F" w:rsidRPr="00330DD3">
              <w:rPr>
                <w:rFonts w:cs="Times New Roman"/>
                <w:i/>
                <w:color w:val="000000"/>
                <w:sz w:val="16"/>
                <w:szCs w:val="16"/>
              </w:rPr>
              <w:t>-</w:t>
            </w:r>
          </w:p>
        </w:tc>
        <w:tc>
          <w:tcPr>
            <w:tcW w:w="981" w:type="dxa"/>
            <w:vAlign w:val="bottom"/>
          </w:tcPr>
          <w:p w:rsidR="005A138F" w:rsidRPr="00330DD3" w:rsidRDefault="00615970" w:rsidP="00615970">
            <w:pPr>
              <w:rPr>
                <w:rFonts w:cs="Times New Roman"/>
                <w:i/>
                <w:color w:val="000000"/>
                <w:sz w:val="16"/>
                <w:szCs w:val="16"/>
              </w:rPr>
            </w:pPr>
            <w:r w:rsidRPr="00330DD3">
              <w:rPr>
                <w:rFonts w:cs="Times New Roman"/>
                <w:i/>
                <w:color w:val="000000"/>
                <w:sz w:val="16"/>
                <w:szCs w:val="16"/>
              </w:rPr>
              <w:t xml:space="preserve">      </w:t>
            </w:r>
            <w:r w:rsidR="005A138F" w:rsidRPr="00330DD3">
              <w:rPr>
                <w:rFonts w:cs="Times New Roman"/>
                <w:i/>
                <w:color w:val="000000"/>
                <w:sz w:val="16"/>
                <w:szCs w:val="16"/>
              </w:rPr>
              <w:t>-</w:t>
            </w:r>
          </w:p>
        </w:tc>
        <w:tc>
          <w:tcPr>
            <w:tcW w:w="850" w:type="dxa"/>
            <w:tcBorders>
              <w:left w:val="nil"/>
            </w:tcBorders>
            <w:vAlign w:val="bottom"/>
          </w:tcPr>
          <w:p w:rsidR="005A138F" w:rsidRPr="00330DD3" w:rsidRDefault="005A138F">
            <w:pPr>
              <w:jc w:val="right"/>
              <w:rPr>
                <w:i/>
                <w:color w:val="000000"/>
                <w:sz w:val="16"/>
                <w:szCs w:val="16"/>
              </w:rPr>
            </w:pPr>
            <w:r w:rsidRPr="00330DD3">
              <w:rPr>
                <w:i/>
                <w:color w:val="000000"/>
                <w:sz w:val="16"/>
                <w:szCs w:val="16"/>
              </w:rPr>
              <w:t>-0.0106</w:t>
            </w:r>
          </w:p>
        </w:tc>
        <w:tc>
          <w:tcPr>
            <w:tcW w:w="891" w:type="dxa"/>
            <w:noWrap/>
            <w:vAlign w:val="bottom"/>
          </w:tcPr>
          <w:p w:rsidR="005A138F" w:rsidRPr="00330DD3" w:rsidRDefault="005A138F" w:rsidP="0033504B">
            <w:pPr>
              <w:rPr>
                <w:i/>
                <w:color w:val="000000"/>
                <w:sz w:val="16"/>
                <w:szCs w:val="16"/>
              </w:rPr>
            </w:pPr>
            <w:r w:rsidRPr="00330DD3">
              <w:rPr>
                <w:i/>
                <w:color w:val="000000"/>
                <w:sz w:val="16"/>
                <w:szCs w:val="16"/>
              </w:rPr>
              <w:t>0.1799</w:t>
            </w:r>
          </w:p>
        </w:tc>
        <w:tc>
          <w:tcPr>
            <w:tcW w:w="790" w:type="dxa"/>
            <w:vAlign w:val="bottom"/>
          </w:tcPr>
          <w:p w:rsidR="005A138F" w:rsidRPr="00330DD3" w:rsidRDefault="005A138F">
            <w:pPr>
              <w:jc w:val="right"/>
              <w:rPr>
                <w:i/>
                <w:color w:val="000000"/>
                <w:sz w:val="16"/>
                <w:szCs w:val="16"/>
              </w:rPr>
            </w:pPr>
            <w:r w:rsidRPr="00330DD3">
              <w:rPr>
                <w:i/>
                <w:color w:val="000000"/>
                <w:sz w:val="16"/>
                <w:szCs w:val="16"/>
              </w:rPr>
              <w:t>-0.0094</w:t>
            </w:r>
          </w:p>
        </w:tc>
        <w:tc>
          <w:tcPr>
            <w:tcW w:w="981" w:type="dxa"/>
            <w:vAlign w:val="bottom"/>
          </w:tcPr>
          <w:p w:rsidR="005A138F" w:rsidRPr="00330DD3" w:rsidRDefault="005A138F" w:rsidP="0033504B">
            <w:pPr>
              <w:rPr>
                <w:i/>
                <w:color w:val="000000"/>
                <w:sz w:val="16"/>
                <w:szCs w:val="16"/>
              </w:rPr>
            </w:pPr>
            <w:r w:rsidRPr="00330DD3">
              <w:rPr>
                <w:i/>
                <w:color w:val="000000"/>
                <w:sz w:val="16"/>
                <w:szCs w:val="16"/>
              </w:rPr>
              <w:t>0.2328</w:t>
            </w:r>
          </w:p>
        </w:tc>
        <w:tc>
          <w:tcPr>
            <w:tcW w:w="850" w:type="dxa"/>
            <w:vAlign w:val="bottom"/>
          </w:tcPr>
          <w:p w:rsidR="005A138F" w:rsidRPr="00330DD3" w:rsidRDefault="005A138F">
            <w:pPr>
              <w:jc w:val="right"/>
              <w:rPr>
                <w:i/>
                <w:color w:val="000000"/>
                <w:sz w:val="16"/>
                <w:szCs w:val="16"/>
              </w:rPr>
            </w:pPr>
            <w:r w:rsidRPr="00330DD3">
              <w:rPr>
                <w:i/>
                <w:color w:val="000000"/>
                <w:sz w:val="16"/>
                <w:szCs w:val="16"/>
              </w:rPr>
              <w:t>-0.0100</w:t>
            </w:r>
          </w:p>
        </w:tc>
        <w:tc>
          <w:tcPr>
            <w:tcW w:w="992" w:type="dxa"/>
            <w:vAlign w:val="bottom"/>
          </w:tcPr>
          <w:p w:rsidR="005A138F" w:rsidRPr="00330DD3" w:rsidRDefault="005A138F" w:rsidP="00774819">
            <w:pPr>
              <w:rPr>
                <w:i/>
                <w:color w:val="000000"/>
                <w:sz w:val="16"/>
                <w:szCs w:val="16"/>
              </w:rPr>
            </w:pPr>
            <w:r w:rsidRPr="00330DD3">
              <w:rPr>
                <w:i/>
                <w:color w:val="000000"/>
                <w:sz w:val="16"/>
                <w:szCs w:val="16"/>
              </w:rPr>
              <w:t>0.2068</w:t>
            </w:r>
          </w:p>
        </w:tc>
        <w:tc>
          <w:tcPr>
            <w:tcW w:w="993" w:type="dxa"/>
            <w:vAlign w:val="bottom"/>
          </w:tcPr>
          <w:p w:rsidR="005A138F" w:rsidRPr="00330DD3" w:rsidRDefault="005A138F">
            <w:pPr>
              <w:jc w:val="right"/>
              <w:rPr>
                <w:i/>
                <w:color w:val="000000"/>
                <w:sz w:val="16"/>
                <w:szCs w:val="16"/>
              </w:rPr>
            </w:pPr>
            <w:r w:rsidRPr="00330DD3">
              <w:rPr>
                <w:i/>
                <w:color w:val="000000"/>
                <w:sz w:val="16"/>
                <w:szCs w:val="16"/>
              </w:rPr>
              <w:t>-0.0095</w:t>
            </w:r>
          </w:p>
        </w:tc>
        <w:tc>
          <w:tcPr>
            <w:tcW w:w="992" w:type="dxa"/>
            <w:vAlign w:val="bottom"/>
          </w:tcPr>
          <w:p w:rsidR="005A138F" w:rsidRPr="00330DD3" w:rsidRDefault="005A138F" w:rsidP="00774819">
            <w:pPr>
              <w:rPr>
                <w:i/>
                <w:color w:val="000000"/>
                <w:sz w:val="16"/>
                <w:szCs w:val="16"/>
              </w:rPr>
            </w:pPr>
            <w:r w:rsidRPr="00330DD3">
              <w:rPr>
                <w:i/>
                <w:color w:val="000000"/>
                <w:sz w:val="16"/>
                <w:szCs w:val="16"/>
              </w:rPr>
              <w:t>0.2330</w:t>
            </w:r>
          </w:p>
        </w:tc>
        <w:tc>
          <w:tcPr>
            <w:tcW w:w="973" w:type="dxa"/>
            <w:vAlign w:val="bottom"/>
          </w:tcPr>
          <w:p w:rsidR="005A138F" w:rsidRPr="00330DD3" w:rsidRDefault="005A138F">
            <w:pPr>
              <w:jc w:val="right"/>
              <w:rPr>
                <w:i/>
                <w:color w:val="000000"/>
                <w:sz w:val="16"/>
                <w:szCs w:val="16"/>
              </w:rPr>
            </w:pPr>
            <w:r w:rsidRPr="00330DD3">
              <w:rPr>
                <w:i/>
                <w:color w:val="000000"/>
                <w:sz w:val="16"/>
                <w:szCs w:val="16"/>
              </w:rPr>
              <w:t>-0.0101</w:t>
            </w:r>
          </w:p>
        </w:tc>
        <w:tc>
          <w:tcPr>
            <w:tcW w:w="950" w:type="dxa"/>
            <w:vAlign w:val="bottom"/>
          </w:tcPr>
          <w:p w:rsidR="005A138F" w:rsidRPr="00330DD3" w:rsidRDefault="005A138F" w:rsidP="005A138F">
            <w:pPr>
              <w:rPr>
                <w:i/>
                <w:color w:val="000000"/>
                <w:sz w:val="16"/>
                <w:szCs w:val="16"/>
              </w:rPr>
            </w:pPr>
            <w:r w:rsidRPr="00330DD3">
              <w:rPr>
                <w:i/>
                <w:color w:val="000000"/>
                <w:sz w:val="16"/>
                <w:szCs w:val="16"/>
              </w:rPr>
              <w:t>0.2048</w:t>
            </w:r>
          </w:p>
        </w:tc>
      </w:tr>
      <w:tr w:rsidR="005A138F" w:rsidRPr="00C15F52" w:rsidTr="00F1660B">
        <w:trPr>
          <w:trHeight w:val="20"/>
          <w:jc w:val="center"/>
        </w:trPr>
        <w:tc>
          <w:tcPr>
            <w:tcW w:w="8812" w:type="dxa"/>
            <w:gridSpan w:val="9"/>
            <w:noWrap/>
            <w:vAlign w:val="bottom"/>
          </w:tcPr>
          <w:p w:rsidR="005A138F" w:rsidRPr="00330DD3" w:rsidRDefault="005A138F" w:rsidP="00E04DA5">
            <w:pPr>
              <w:rPr>
                <w:rFonts w:cs="Times New Roman"/>
                <w:i/>
                <w:color w:val="000000"/>
                <w:sz w:val="16"/>
                <w:szCs w:val="16"/>
              </w:rPr>
            </w:pPr>
            <w:r w:rsidRPr="00330DD3">
              <w:rPr>
                <w:rFonts w:cs="Times New Roman"/>
                <w:i/>
                <w:iCs/>
                <w:sz w:val="16"/>
                <w:szCs w:val="16"/>
                <w:lang w:eastAsia="en-GB"/>
              </w:rPr>
              <w:t>Control Variables:</w:t>
            </w:r>
          </w:p>
        </w:tc>
        <w:tc>
          <w:tcPr>
            <w:tcW w:w="790" w:type="dxa"/>
          </w:tcPr>
          <w:p w:rsidR="005A138F" w:rsidRPr="00330DD3" w:rsidRDefault="005A138F" w:rsidP="00E04DA5">
            <w:pPr>
              <w:rPr>
                <w:rFonts w:cs="Times New Roman"/>
                <w:i/>
                <w:iCs/>
                <w:sz w:val="16"/>
                <w:szCs w:val="16"/>
                <w:lang w:eastAsia="en-GB"/>
              </w:rPr>
            </w:pPr>
          </w:p>
        </w:tc>
        <w:tc>
          <w:tcPr>
            <w:tcW w:w="981" w:type="dxa"/>
          </w:tcPr>
          <w:p w:rsidR="005A138F" w:rsidRPr="00330DD3" w:rsidRDefault="005A138F" w:rsidP="00E04DA5">
            <w:pPr>
              <w:rPr>
                <w:rFonts w:cs="Times New Roman"/>
                <w:i/>
                <w:iCs/>
                <w:sz w:val="16"/>
                <w:szCs w:val="16"/>
                <w:lang w:eastAsia="en-GB"/>
              </w:rPr>
            </w:pPr>
          </w:p>
        </w:tc>
        <w:tc>
          <w:tcPr>
            <w:tcW w:w="850" w:type="dxa"/>
          </w:tcPr>
          <w:p w:rsidR="005A138F" w:rsidRPr="00330DD3" w:rsidRDefault="005A138F" w:rsidP="00E04DA5">
            <w:pPr>
              <w:rPr>
                <w:rFonts w:cs="Times New Roman"/>
                <w:i/>
                <w:iCs/>
                <w:sz w:val="16"/>
                <w:szCs w:val="16"/>
                <w:lang w:eastAsia="en-GB"/>
              </w:rPr>
            </w:pPr>
          </w:p>
        </w:tc>
        <w:tc>
          <w:tcPr>
            <w:tcW w:w="992" w:type="dxa"/>
          </w:tcPr>
          <w:p w:rsidR="005A138F" w:rsidRPr="00330DD3" w:rsidRDefault="005A138F" w:rsidP="00E04DA5">
            <w:pPr>
              <w:rPr>
                <w:rFonts w:cs="Times New Roman"/>
                <w:i/>
                <w:iCs/>
                <w:sz w:val="16"/>
                <w:szCs w:val="16"/>
                <w:lang w:eastAsia="en-GB"/>
              </w:rPr>
            </w:pPr>
          </w:p>
        </w:tc>
        <w:tc>
          <w:tcPr>
            <w:tcW w:w="993" w:type="dxa"/>
          </w:tcPr>
          <w:p w:rsidR="005A138F" w:rsidRPr="00330DD3" w:rsidRDefault="005A138F" w:rsidP="00E04DA5">
            <w:pPr>
              <w:rPr>
                <w:rFonts w:cs="Times New Roman"/>
                <w:i/>
                <w:iCs/>
                <w:sz w:val="16"/>
                <w:szCs w:val="16"/>
                <w:lang w:eastAsia="en-GB"/>
              </w:rPr>
            </w:pPr>
          </w:p>
        </w:tc>
        <w:tc>
          <w:tcPr>
            <w:tcW w:w="992" w:type="dxa"/>
          </w:tcPr>
          <w:p w:rsidR="005A138F" w:rsidRPr="00330DD3" w:rsidRDefault="005A138F" w:rsidP="00E04DA5">
            <w:pPr>
              <w:rPr>
                <w:rFonts w:cs="Times New Roman"/>
                <w:i/>
                <w:iCs/>
                <w:sz w:val="16"/>
                <w:szCs w:val="16"/>
                <w:lang w:eastAsia="en-GB"/>
              </w:rPr>
            </w:pPr>
          </w:p>
        </w:tc>
        <w:tc>
          <w:tcPr>
            <w:tcW w:w="973" w:type="dxa"/>
          </w:tcPr>
          <w:p w:rsidR="005A138F" w:rsidRPr="00330DD3" w:rsidRDefault="005A138F" w:rsidP="00E04DA5">
            <w:pPr>
              <w:rPr>
                <w:rFonts w:cs="Times New Roman"/>
                <w:i/>
                <w:iCs/>
                <w:sz w:val="16"/>
                <w:szCs w:val="16"/>
                <w:lang w:eastAsia="en-GB"/>
              </w:rPr>
            </w:pPr>
          </w:p>
        </w:tc>
        <w:tc>
          <w:tcPr>
            <w:tcW w:w="950" w:type="dxa"/>
          </w:tcPr>
          <w:p w:rsidR="005A138F" w:rsidRPr="00330DD3" w:rsidRDefault="005A138F" w:rsidP="00E04DA5">
            <w:pPr>
              <w:rPr>
                <w:rFonts w:cs="Times New Roman"/>
                <w:i/>
                <w:iCs/>
                <w:sz w:val="16"/>
                <w:szCs w:val="16"/>
                <w:lang w:eastAsia="en-GB"/>
              </w:rPr>
            </w:pPr>
          </w:p>
        </w:tc>
      </w:tr>
      <w:tr w:rsidR="005A138F" w:rsidRPr="00C15F52" w:rsidTr="005A138F">
        <w:trPr>
          <w:trHeight w:val="257"/>
          <w:jc w:val="center"/>
        </w:trPr>
        <w:tc>
          <w:tcPr>
            <w:tcW w:w="1704" w:type="dxa"/>
            <w:noWrap/>
            <w:vAlign w:val="bottom"/>
          </w:tcPr>
          <w:p w:rsidR="005A138F" w:rsidRPr="00330DD3" w:rsidRDefault="005A138F" w:rsidP="00DD5F1A">
            <w:pPr>
              <w:rPr>
                <w:rFonts w:eastAsiaTheme="minorEastAsia" w:cs="Times New Roman"/>
                <w:i/>
                <w:sz w:val="16"/>
                <w:szCs w:val="16"/>
              </w:rPr>
            </w:pPr>
            <w:r w:rsidRPr="00330DD3">
              <w:rPr>
                <w:rFonts w:cs="Times New Roman"/>
                <w:i/>
                <w:sz w:val="16"/>
                <w:szCs w:val="16"/>
              </w:rPr>
              <w:t xml:space="preserve">   BLKOWN</w:t>
            </w:r>
          </w:p>
        </w:tc>
        <w:tc>
          <w:tcPr>
            <w:tcW w:w="1014" w:type="dxa"/>
            <w:noWrap/>
            <w:vAlign w:val="bottom"/>
          </w:tcPr>
          <w:p w:rsidR="005A138F" w:rsidRPr="00330DD3" w:rsidRDefault="005A138F">
            <w:pPr>
              <w:jc w:val="right"/>
              <w:rPr>
                <w:i/>
                <w:color w:val="000000"/>
                <w:sz w:val="16"/>
                <w:szCs w:val="16"/>
              </w:rPr>
            </w:pPr>
            <w:r w:rsidRPr="00330DD3">
              <w:rPr>
                <w:i/>
                <w:color w:val="000000"/>
                <w:sz w:val="16"/>
                <w:szCs w:val="16"/>
              </w:rPr>
              <w:t>0.0003</w:t>
            </w:r>
          </w:p>
        </w:tc>
        <w:tc>
          <w:tcPr>
            <w:tcW w:w="896" w:type="dxa"/>
            <w:noWrap/>
            <w:vAlign w:val="bottom"/>
          </w:tcPr>
          <w:p w:rsidR="005A138F" w:rsidRPr="00330DD3" w:rsidRDefault="005A138F" w:rsidP="00D365F1">
            <w:pPr>
              <w:rPr>
                <w:i/>
                <w:color w:val="000000"/>
                <w:sz w:val="16"/>
                <w:szCs w:val="16"/>
              </w:rPr>
            </w:pPr>
            <w:r w:rsidRPr="00330DD3">
              <w:rPr>
                <w:i/>
                <w:color w:val="000000"/>
                <w:sz w:val="16"/>
                <w:szCs w:val="16"/>
              </w:rPr>
              <w:t>0.0508</w:t>
            </w:r>
            <w:r w:rsidRPr="00330DD3">
              <w:rPr>
                <w:i/>
                <w:color w:val="000000"/>
                <w:sz w:val="16"/>
                <w:szCs w:val="16"/>
                <w:vertAlign w:val="superscript"/>
              </w:rPr>
              <w:t>*</w:t>
            </w:r>
          </w:p>
        </w:tc>
        <w:tc>
          <w:tcPr>
            <w:tcW w:w="790" w:type="dxa"/>
            <w:noWrap/>
            <w:vAlign w:val="bottom"/>
          </w:tcPr>
          <w:p w:rsidR="005A138F" w:rsidRPr="00330DD3" w:rsidRDefault="005A138F">
            <w:pPr>
              <w:jc w:val="right"/>
              <w:rPr>
                <w:rFonts w:ascii="Calibri" w:hAnsi="Calibri" w:cs="Calibri"/>
                <w:i/>
                <w:color w:val="000000"/>
                <w:sz w:val="16"/>
                <w:szCs w:val="16"/>
              </w:rPr>
            </w:pPr>
            <w:r w:rsidRPr="00330DD3">
              <w:rPr>
                <w:rFonts w:ascii="Calibri" w:hAnsi="Calibri" w:cs="Calibri"/>
                <w:i/>
                <w:color w:val="000000"/>
                <w:sz w:val="16"/>
                <w:szCs w:val="16"/>
              </w:rPr>
              <w:t>0.0002</w:t>
            </w:r>
          </w:p>
        </w:tc>
        <w:tc>
          <w:tcPr>
            <w:tcW w:w="896" w:type="dxa"/>
            <w:noWrap/>
            <w:vAlign w:val="bottom"/>
          </w:tcPr>
          <w:p w:rsidR="005A138F" w:rsidRPr="00330DD3" w:rsidRDefault="005A138F" w:rsidP="00F1660B">
            <w:pPr>
              <w:rPr>
                <w:i/>
                <w:color w:val="000000"/>
                <w:sz w:val="16"/>
                <w:szCs w:val="16"/>
              </w:rPr>
            </w:pPr>
            <w:r w:rsidRPr="00330DD3">
              <w:rPr>
                <w:i/>
                <w:color w:val="000000"/>
                <w:sz w:val="16"/>
                <w:szCs w:val="16"/>
              </w:rPr>
              <w:t>0.1278</w:t>
            </w:r>
          </w:p>
        </w:tc>
        <w:tc>
          <w:tcPr>
            <w:tcW w:w="790" w:type="dxa"/>
            <w:noWrap/>
            <w:vAlign w:val="bottom"/>
          </w:tcPr>
          <w:p w:rsidR="005A138F" w:rsidRPr="00330DD3" w:rsidRDefault="005A138F">
            <w:pPr>
              <w:jc w:val="right"/>
              <w:rPr>
                <w:i/>
                <w:color w:val="000000"/>
                <w:sz w:val="16"/>
                <w:szCs w:val="16"/>
              </w:rPr>
            </w:pPr>
            <w:r w:rsidRPr="00330DD3">
              <w:rPr>
                <w:i/>
                <w:color w:val="000000"/>
                <w:sz w:val="16"/>
                <w:szCs w:val="16"/>
              </w:rPr>
              <w:t>0.0003</w:t>
            </w:r>
          </w:p>
        </w:tc>
        <w:tc>
          <w:tcPr>
            <w:tcW w:w="981" w:type="dxa"/>
            <w:vAlign w:val="bottom"/>
          </w:tcPr>
          <w:p w:rsidR="005A138F" w:rsidRPr="00330DD3" w:rsidRDefault="005A138F" w:rsidP="00DD5F1A">
            <w:pPr>
              <w:rPr>
                <w:i/>
                <w:color w:val="000000"/>
                <w:sz w:val="16"/>
                <w:szCs w:val="16"/>
              </w:rPr>
            </w:pPr>
            <w:r w:rsidRPr="00330DD3">
              <w:rPr>
                <w:i/>
                <w:color w:val="000000"/>
                <w:sz w:val="16"/>
                <w:szCs w:val="16"/>
              </w:rPr>
              <w:t>0.0625</w:t>
            </w:r>
            <w:r w:rsidRPr="00330DD3">
              <w:rPr>
                <w:i/>
                <w:color w:val="000000"/>
                <w:sz w:val="16"/>
                <w:szCs w:val="16"/>
                <w:vertAlign w:val="superscript"/>
              </w:rPr>
              <w:t>*</w:t>
            </w:r>
          </w:p>
        </w:tc>
        <w:tc>
          <w:tcPr>
            <w:tcW w:w="850" w:type="dxa"/>
            <w:tcBorders>
              <w:left w:val="nil"/>
            </w:tcBorders>
            <w:vAlign w:val="bottom"/>
          </w:tcPr>
          <w:p w:rsidR="005A138F" w:rsidRPr="00330DD3" w:rsidRDefault="005A138F">
            <w:pPr>
              <w:jc w:val="right"/>
              <w:rPr>
                <w:i/>
                <w:color w:val="000000"/>
                <w:sz w:val="16"/>
                <w:szCs w:val="16"/>
              </w:rPr>
            </w:pPr>
            <w:r w:rsidRPr="00330DD3">
              <w:rPr>
                <w:i/>
                <w:color w:val="000000"/>
                <w:sz w:val="16"/>
                <w:szCs w:val="16"/>
              </w:rPr>
              <w:t>0.0003</w:t>
            </w:r>
          </w:p>
        </w:tc>
        <w:tc>
          <w:tcPr>
            <w:tcW w:w="891" w:type="dxa"/>
            <w:noWrap/>
            <w:vAlign w:val="bottom"/>
          </w:tcPr>
          <w:p w:rsidR="005A138F" w:rsidRPr="00330DD3" w:rsidRDefault="005A138F" w:rsidP="0033504B">
            <w:pPr>
              <w:rPr>
                <w:i/>
                <w:color w:val="000000"/>
                <w:sz w:val="16"/>
                <w:szCs w:val="16"/>
              </w:rPr>
            </w:pPr>
            <w:r w:rsidRPr="00330DD3">
              <w:rPr>
                <w:i/>
                <w:color w:val="000000"/>
                <w:sz w:val="16"/>
                <w:szCs w:val="16"/>
              </w:rPr>
              <w:t>0.0358</w:t>
            </w:r>
            <w:r w:rsidRPr="00330DD3">
              <w:rPr>
                <w:i/>
                <w:color w:val="000000"/>
                <w:sz w:val="16"/>
                <w:szCs w:val="16"/>
                <w:vertAlign w:val="superscript"/>
              </w:rPr>
              <w:t>**</w:t>
            </w:r>
          </w:p>
        </w:tc>
        <w:tc>
          <w:tcPr>
            <w:tcW w:w="790" w:type="dxa"/>
            <w:vAlign w:val="bottom"/>
          </w:tcPr>
          <w:p w:rsidR="005A138F" w:rsidRPr="00330DD3" w:rsidRDefault="005A138F">
            <w:pPr>
              <w:jc w:val="right"/>
              <w:rPr>
                <w:i/>
                <w:color w:val="000000"/>
                <w:sz w:val="16"/>
                <w:szCs w:val="16"/>
              </w:rPr>
            </w:pPr>
            <w:r w:rsidRPr="00330DD3">
              <w:rPr>
                <w:i/>
                <w:color w:val="000000"/>
                <w:sz w:val="16"/>
                <w:szCs w:val="16"/>
              </w:rPr>
              <w:t>0.0003</w:t>
            </w:r>
          </w:p>
        </w:tc>
        <w:tc>
          <w:tcPr>
            <w:tcW w:w="981" w:type="dxa"/>
            <w:vAlign w:val="bottom"/>
          </w:tcPr>
          <w:p w:rsidR="005A138F" w:rsidRPr="00330DD3" w:rsidRDefault="005A138F" w:rsidP="00A42766">
            <w:pPr>
              <w:rPr>
                <w:i/>
                <w:color w:val="000000"/>
                <w:sz w:val="16"/>
                <w:szCs w:val="16"/>
              </w:rPr>
            </w:pPr>
            <w:r w:rsidRPr="00330DD3">
              <w:rPr>
                <w:i/>
                <w:color w:val="000000"/>
                <w:sz w:val="16"/>
                <w:szCs w:val="16"/>
              </w:rPr>
              <w:t>0.0605</w:t>
            </w:r>
            <w:r w:rsidRPr="00330DD3">
              <w:rPr>
                <w:i/>
                <w:color w:val="000000"/>
                <w:sz w:val="16"/>
                <w:szCs w:val="16"/>
                <w:vertAlign w:val="superscript"/>
              </w:rPr>
              <w:t>*</w:t>
            </w:r>
          </w:p>
        </w:tc>
        <w:tc>
          <w:tcPr>
            <w:tcW w:w="850" w:type="dxa"/>
            <w:vAlign w:val="bottom"/>
          </w:tcPr>
          <w:p w:rsidR="005A138F" w:rsidRPr="00330DD3" w:rsidRDefault="005A138F">
            <w:pPr>
              <w:jc w:val="right"/>
              <w:rPr>
                <w:i/>
                <w:color w:val="000000"/>
                <w:sz w:val="16"/>
                <w:szCs w:val="16"/>
              </w:rPr>
            </w:pPr>
            <w:r w:rsidRPr="00330DD3">
              <w:rPr>
                <w:i/>
                <w:color w:val="000000"/>
                <w:sz w:val="16"/>
                <w:szCs w:val="16"/>
              </w:rPr>
              <w:t>0.0003</w:t>
            </w:r>
          </w:p>
        </w:tc>
        <w:tc>
          <w:tcPr>
            <w:tcW w:w="992" w:type="dxa"/>
            <w:vAlign w:val="bottom"/>
          </w:tcPr>
          <w:p w:rsidR="005A138F" w:rsidRPr="00330DD3" w:rsidRDefault="005A138F" w:rsidP="00774819">
            <w:pPr>
              <w:rPr>
                <w:i/>
                <w:color w:val="000000"/>
                <w:sz w:val="16"/>
                <w:szCs w:val="16"/>
              </w:rPr>
            </w:pPr>
            <w:r w:rsidRPr="00330DD3">
              <w:rPr>
                <w:i/>
                <w:color w:val="000000"/>
                <w:sz w:val="16"/>
                <w:szCs w:val="16"/>
              </w:rPr>
              <w:t>0.0806</w:t>
            </w:r>
            <w:r w:rsidRPr="00330DD3">
              <w:rPr>
                <w:i/>
                <w:color w:val="000000"/>
                <w:sz w:val="16"/>
                <w:szCs w:val="16"/>
                <w:vertAlign w:val="superscript"/>
              </w:rPr>
              <w:t>*</w:t>
            </w:r>
          </w:p>
        </w:tc>
        <w:tc>
          <w:tcPr>
            <w:tcW w:w="993" w:type="dxa"/>
            <w:vAlign w:val="bottom"/>
          </w:tcPr>
          <w:p w:rsidR="005A138F" w:rsidRPr="00330DD3" w:rsidRDefault="005A138F">
            <w:pPr>
              <w:jc w:val="right"/>
              <w:rPr>
                <w:i/>
                <w:color w:val="000000"/>
                <w:sz w:val="16"/>
                <w:szCs w:val="16"/>
              </w:rPr>
            </w:pPr>
            <w:r w:rsidRPr="00330DD3">
              <w:rPr>
                <w:i/>
                <w:color w:val="000000"/>
                <w:sz w:val="16"/>
                <w:szCs w:val="16"/>
              </w:rPr>
              <w:t>0.0003</w:t>
            </w:r>
          </w:p>
        </w:tc>
        <w:tc>
          <w:tcPr>
            <w:tcW w:w="992" w:type="dxa"/>
            <w:vAlign w:val="bottom"/>
          </w:tcPr>
          <w:p w:rsidR="005A138F" w:rsidRPr="00330DD3" w:rsidRDefault="005A138F" w:rsidP="005A138F">
            <w:pPr>
              <w:rPr>
                <w:i/>
                <w:color w:val="000000"/>
                <w:sz w:val="16"/>
                <w:szCs w:val="16"/>
              </w:rPr>
            </w:pPr>
            <w:r w:rsidRPr="00330DD3">
              <w:rPr>
                <w:i/>
                <w:color w:val="000000"/>
                <w:sz w:val="16"/>
                <w:szCs w:val="16"/>
              </w:rPr>
              <w:t>0.0437</w:t>
            </w:r>
            <w:r w:rsidRPr="00330DD3">
              <w:rPr>
                <w:i/>
                <w:color w:val="000000"/>
                <w:sz w:val="16"/>
                <w:szCs w:val="16"/>
                <w:vertAlign w:val="superscript"/>
              </w:rPr>
              <w:t>**</w:t>
            </w:r>
          </w:p>
        </w:tc>
        <w:tc>
          <w:tcPr>
            <w:tcW w:w="973" w:type="dxa"/>
            <w:vAlign w:val="bottom"/>
          </w:tcPr>
          <w:p w:rsidR="005A138F" w:rsidRPr="00330DD3" w:rsidRDefault="005A138F">
            <w:pPr>
              <w:jc w:val="right"/>
              <w:rPr>
                <w:i/>
                <w:color w:val="000000"/>
                <w:sz w:val="16"/>
                <w:szCs w:val="16"/>
              </w:rPr>
            </w:pPr>
            <w:r w:rsidRPr="00330DD3">
              <w:rPr>
                <w:i/>
                <w:color w:val="000000"/>
                <w:sz w:val="16"/>
                <w:szCs w:val="16"/>
              </w:rPr>
              <w:t>0.0003</w:t>
            </w:r>
          </w:p>
        </w:tc>
        <w:tc>
          <w:tcPr>
            <w:tcW w:w="950" w:type="dxa"/>
            <w:vAlign w:val="bottom"/>
          </w:tcPr>
          <w:p w:rsidR="005A138F" w:rsidRPr="00330DD3" w:rsidRDefault="005A138F" w:rsidP="005A138F">
            <w:pPr>
              <w:rPr>
                <w:i/>
                <w:color w:val="000000"/>
                <w:sz w:val="16"/>
                <w:szCs w:val="16"/>
              </w:rPr>
            </w:pPr>
            <w:r w:rsidRPr="00330DD3">
              <w:rPr>
                <w:i/>
                <w:color w:val="000000"/>
                <w:sz w:val="16"/>
                <w:szCs w:val="16"/>
              </w:rPr>
              <w:t>0.0700*</w:t>
            </w:r>
          </w:p>
        </w:tc>
      </w:tr>
      <w:tr w:rsidR="005A138F" w:rsidRPr="00C15F52" w:rsidTr="005A138F">
        <w:trPr>
          <w:trHeight w:val="257"/>
          <w:jc w:val="center"/>
        </w:trPr>
        <w:tc>
          <w:tcPr>
            <w:tcW w:w="1704" w:type="dxa"/>
            <w:noWrap/>
            <w:vAlign w:val="bottom"/>
          </w:tcPr>
          <w:p w:rsidR="005A138F" w:rsidRPr="00330DD3" w:rsidRDefault="005A138F" w:rsidP="00DD5F1A">
            <w:pPr>
              <w:rPr>
                <w:rFonts w:eastAsiaTheme="minorEastAsia" w:cs="Times New Roman"/>
                <w:i/>
                <w:sz w:val="16"/>
                <w:szCs w:val="16"/>
              </w:rPr>
            </w:pPr>
            <w:r w:rsidRPr="00330DD3">
              <w:rPr>
                <w:rFonts w:cs="Times New Roman"/>
                <w:i/>
                <w:sz w:val="16"/>
                <w:szCs w:val="16"/>
              </w:rPr>
              <w:t xml:space="preserve">   GOVOWN</w:t>
            </w:r>
          </w:p>
        </w:tc>
        <w:tc>
          <w:tcPr>
            <w:tcW w:w="1014" w:type="dxa"/>
            <w:noWrap/>
            <w:vAlign w:val="bottom"/>
          </w:tcPr>
          <w:p w:rsidR="005A138F" w:rsidRPr="00330DD3" w:rsidRDefault="005A138F">
            <w:pPr>
              <w:jc w:val="right"/>
              <w:rPr>
                <w:i/>
                <w:color w:val="000000"/>
                <w:sz w:val="16"/>
                <w:szCs w:val="16"/>
              </w:rPr>
            </w:pPr>
            <w:r w:rsidRPr="00330DD3">
              <w:rPr>
                <w:i/>
                <w:color w:val="000000"/>
                <w:sz w:val="16"/>
                <w:szCs w:val="16"/>
              </w:rPr>
              <w:t>-0.0186</w:t>
            </w:r>
          </w:p>
        </w:tc>
        <w:tc>
          <w:tcPr>
            <w:tcW w:w="896" w:type="dxa"/>
            <w:noWrap/>
            <w:vAlign w:val="bottom"/>
          </w:tcPr>
          <w:p w:rsidR="005A138F" w:rsidRPr="00330DD3" w:rsidRDefault="005A138F" w:rsidP="00D365F1">
            <w:pPr>
              <w:rPr>
                <w:i/>
                <w:color w:val="000000"/>
                <w:sz w:val="16"/>
                <w:szCs w:val="16"/>
              </w:rPr>
            </w:pPr>
            <w:r w:rsidRPr="00330DD3">
              <w:rPr>
                <w:i/>
                <w:color w:val="000000"/>
                <w:sz w:val="16"/>
                <w:szCs w:val="16"/>
              </w:rPr>
              <w:t>0.0142</w:t>
            </w:r>
            <w:r w:rsidRPr="00330DD3">
              <w:rPr>
                <w:i/>
                <w:color w:val="000000"/>
                <w:sz w:val="16"/>
                <w:szCs w:val="16"/>
                <w:vertAlign w:val="superscript"/>
              </w:rPr>
              <w:t>**</w:t>
            </w:r>
          </w:p>
        </w:tc>
        <w:tc>
          <w:tcPr>
            <w:tcW w:w="790" w:type="dxa"/>
            <w:noWrap/>
            <w:vAlign w:val="bottom"/>
          </w:tcPr>
          <w:p w:rsidR="005A138F" w:rsidRPr="00330DD3" w:rsidRDefault="005A138F">
            <w:pPr>
              <w:jc w:val="right"/>
              <w:rPr>
                <w:rFonts w:ascii="Calibri" w:hAnsi="Calibri" w:cs="Calibri"/>
                <w:i/>
                <w:color w:val="000000"/>
                <w:sz w:val="16"/>
                <w:szCs w:val="16"/>
              </w:rPr>
            </w:pPr>
            <w:r w:rsidRPr="00330DD3">
              <w:rPr>
                <w:rFonts w:ascii="Calibri" w:hAnsi="Calibri" w:cs="Calibri"/>
                <w:i/>
                <w:color w:val="000000"/>
                <w:sz w:val="16"/>
                <w:szCs w:val="16"/>
              </w:rPr>
              <w:t>-0.0178</w:t>
            </w:r>
          </w:p>
        </w:tc>
        <w:tc>
          <w:tcPr>
            <w:tcW w:w="896" w:type="dxa"/>
            <w:noWrap/>
            <w:vAlign w:val="bottom"/>
          </w:tcPr>
          <w:p w:rsidR="005A138F" w:rsidRPr="00330DD3" w:rsidRDefault="005A138F" w:rsidP="00F1660B">
            <w:pPr>
              <w:rPr>
                <w:i/>
                <w:color w:val="000000"/>
                <w:sz w:val="16"/>
                <w:szCs w:val="16"/>
              </w:rPr>
            </w:pPr>
            <w:r w:rsidRPr="00330DD3">
              <w:rPr>
                <w:i/>
                <w:color w:val="000000"/>
                <w:sz w:val="16"/>
                <w:szCs w:val="16"/>
              </w:rPr>
              <w:t>0.0171</w:t>
            </w:r>
            <w:r w:rsidRPr="00330DD3">
              <w:rPr>
                <w:i/>
                <w:color w:val="000000"/>
                <w:sz w:val="16"/>
                <w:szCs w:val="16"/>
                <w:vertAlign w:val="superscript"/>
              </w:rPr>
              <w:t>**</w:t>
            </w:r>
          </w:p>
        </w:tc>
        <w:tc>
          <w:tcPr>
            <w:tcW w:w="790" w:type="dxa"/>
            <w:noWrap/>
            <w:vAlign w:val="bottom"/>
          </w:tcPr>
          <w:p w:rsidR="005A138F" w:rsidRPr="00330DD3" w:rsidRDefault="005A138F">
            <w:pPr>
              <w:jc w:val="right"/>
              <w:rPr>
                <w:i/>
                <w:color w:val="000000"/>
                <w:sz w:val="16"/>
                <w:szCs w:val="16"/>
              </w:rPr>
            </w:pPr>
            <w:r w:rsidRPr="00330DD3">
              <w:rPr>
                <w:i/>
                <w:color w:val="000000"/>
                <w:sz w:val="16"/>
                <w:szCs w:val="16"/>
              </w:rPr>
              <w:t>-0.0188</w:t>
            </w:r>
          </w:p>
        </w:tc>
        <w:tc>
          <w:tcPr>
            <w:tcW w:w="981" w:type="dxa"/>
            <w:vAlign w:val="bottom"/>
          </w:tcPr>
          <w:p w:rsidR="005A138F" w:rsidRPr="00330DD3" w:rsidRDefault="005A138F" w:rsidP="00DD5F1A">
            <w:pPr>
              <w:rPr>
                <w:i/>
                <w:color w:val="000000"/>
                <w:sz w:val="16"/>
                <w:szCs w:val="16"/>
              </w:rPr>
            </w:pPr>
            <w:r w:rsidRPr="00330DD3">
              <w:rPr>
                <w:i/>
                <w:color w:val="000000"/>
                <w:sz w:val="16"/>
                <w:szCs w:val="16"/>
              </w:rPr>
              <w:t>0.0133</w:t>
            </w:r>
            <w:r w:rsidRPr="00330DD3">
              <w:rPr>
                <w:i/>
                <w:color w:val="000000"/>
                <w:sz w:val="16"/>
                <w:szCs w:val="16"/>
                <w:vertAlign w:val="superscript"/>
              </w:rPr>
              <w:t>**</w:t>
            </w:r>
          </w:p>
        </w:tc>
        <w:tc>
          <w:tcPr>
            <w:tcW w:w="850" w:type="dxa"/>
            <w:tcBorders>
              <w:left w:val="nil"/>
            </w:tcBorders>
            <w:vAlign w:val="bottom"/>
          </w:tcPr>
          <w:p w:rsidR="005A138F" w:rsidRPr="00330DD3" w:rsidRDefault="005A138F">
            <w:pPr>
              <w:jc w:val="right"/>
              <w:rPr>
                <w:i/>
                <w:color w:val="000000"/>
                <w:sz w:val="16"/>
                <w:szCs w:val="16"/>
              </w:rPr>
            </w:pPr>
            <w:r w:rsidRPr="00330DD3">
              <w:rPr>
                <w:i/>
                <w:color w:val="000000"/>
                <w:sz w:val="16"/>
                <w:szCs w:val="16"/>
              </w:rPr>
              <w:t>-0.0195</w:t>
            </w:r>
          </w:p>
        </w:tc>
        <w:tc>
          <w:tcPr>
            <w:tcW w:w="891" w:type="dxa"/>
            <w:noWrap/>
            <w:vAlign w:val="bottom"/>
          </w:tcPr>
          <w:p w:rsidR="005A138F" w:rsidRPr="00330DD3" w:rsidRDefault="005A138F" w:rsidP="0033504B">
            <w:pPr>
              <w:rPr>
                <w:i/>
                <w:color w:val="000000"/>
                <w:sz w:val="16"/>
                <w:szCs w:val="16"/>
              </w:rPr>
            </w:pPr>
            <w:r w:rsidRPr="00330DD3">
              <w:rPr>
                <w:i/>
                <w:color w:val="000000"/>
                <w:sz w:val="16"/>
                <w:szCs w:val="16"/>
              </w:rPr>
              <w:t>0.0111</w:t>
            </w:r>
            <w:r w:rsidRPr="00330DD3">
              <w:rPr>
                <w:i/>
                <w:color w:val="000000"/>
                <w:sz w:val="16"/>
                <w:szCs w:val="16"/>
                <w:vertAlign w:val="superscript"/>
              </w:rPr>
              <w:t>**</w:t>
            </w:r>
          </w:p>
        </w:tc>
        <w:tc>
          <w:tcPr>
            <w:tcW w:w="790" w:type="dxa"/>
            <w:vAlign w:val="bottom"/>
          </w:tcPr>
          <w:p w:rsidR="005A138F" w:rsidRPr="00330DD3" w:rsidRDefault="005A138F">
            <w:pPr>
              <w:jc w:val="right"/>
              <w:rPr>
                <w:i/>
                <w:color w:val="000000"/>
                <w:sz w:val="16"/>
                <w:szCs w:val="16"/>
              </w:rPr>
            </w:pPr>
            <w:r w:rsidRPr="00330DD3">
              <w:rPr>
                <w:i/>
                <w:color w:val="000000"/>
                <w:sz w:val="16"/>
                <w:szCs w:val="16"/>
              </w:rPr>
              <w:t>-0.0186</w:t>
            </w:r>
          </w:p>
        </w:tc>
        <w:tc>
          <w:tcPr>
            <w:tcW w:w="981" w:type="dxa"/>
            <w:vAlign w:val="bottom"/>
          </w:tcPr>
          <w:p w:rsidR="005A138F" w:rsidRPr="00330DD3" w:rsidRDefault="005A138F" w:rsidP="00A42766">
            <w:pPr>
              <w:rPr>
                <w:i/>
                <w:color w:val="000000"/>
                <w:sz w:val="16"/>
                <w:szCs w:val="16"/>
              </w:rPr>
            </w:pPr>
            <w:r w:rsidRPr="00330DD3">
              <w:rPr>
                <w:i/>
                <w:color w:val="000000"/>
                <w:sz w:val="16"/>
                <w:szCs w:val="16"/>
              </w:rPr>
              <w:t>0.0133</w:t>
            </w:r>
            <w:r w:rsidRPr="00330DD3">
              <w:rPr>
                <w:i/>
                <w:color w:val="000000"/>
                <w:sz w:val="16"/>
                <w:szCs w:val="16"/>
                <w:vertAlign w:val="superscript"/>
              </w:rPr>
              <w:t>**</w:t>
            </w:r>
          </w:p>
        </w:tc>
        <w:tc>
          <w:tcPr>
            <w:tcW w:w="850" w:type="dxa"/>
            <w:vAlign w:val="bottom"/>
          </w:tcPr>
          <w:p w:rsidR="005A138F" w:rsidRPr="00330DD3" w:rsidRDefault="005A138F">
            <w:pPr>
              <w:jc w:val="right"/>
              <w:rPr>
                <w:i/>
                <w:color w:val="000000"/>
                <w:sz w:val="16"/>
                <w:szCs w:val="16"/>
              </w:rPr>
            </w:pPr>
            <w:r w:rsidRPr="00330DD3">
              <w:rPr>
                <w:i/>
                <w:color w:val="000000"/>
                <w:sz w:val="16"/>
                <w:szCs w:val="16"/>
              </w:rPr>
              <w:t>-0.0190</w:t>
            </w:r>
          </w:p>
        </w:tc>
        <w:tc>
          <w:tcPr>
            <w:tcW w:w="992" w:type="dxa"/>
            <w:vAlign w:val="bottom"/>
          </w:tcPr>
          <w:p w:rsidR="005A138F" w:rsidRPr="00330DD3" w:rsidRDefault="005A138F" w:rsidP="00774819">
            <w:pPr>
              <w:rPr>
                <w:i/>
                <w:color w:val="000000"/>
                <w:sz w:val="16"/>
                <w:szCs w:val="16"/>
              </w:rPr>
            </w:pPr>
            <w:r w:rsidRPr="00330DD3">
              <w:rPr>
                <w:i/>
                <w:color w:val="000000"/>
                <w:sz w:val="16"/>
                <w:szCs w:val="16"/>
              </w:rPr>
              <w:t>0.0111</w:t>
            </w:r>
            <w:r w:rsidRPr="00330DD3">
              <w:rPr>
                <w:i/>
                <w:color w:val="000000"/>
                <w:sz w:val="16"/>
                <w:szCs w:val="16"/>
                <w:vertAlign w:val="superscript"/>
              </w:rPr>
              <w:t>**</w:t>
            </w:r>
          </w:p>
        </w:tc>
        <w:tc>
          <w:tcPr>
            <w:tcW w:w="993" w:type="dxa"/>
            <w:vAlign w:val="bottom"/>
          </w:tcPr>
          <w:p w:rsidR="005A138F" w:rsidRPr="00330DD3" w:rsidRDefault="005A138F">
            <w:pPr>
              <w:jc w:val="right"/>
              <w:rPr>
                <w:i/>
                <w:color w:val="000000"/>
                <w:sz w:val="16"/>
                <w:szCs w:val="16"/>
              </w:rPr>
            </w:pPr>
            <w:r w:rsidRPr="00330DD3">
              <w:rPr>
                <w:i/>
                <w:color w:val="000000"/>
                <w:sz w:val="16"/>
                <w:szCs w:val="16"/>
              </w:rPr>
              <w:t>-0.0195</w:t>
            </w:r>
          </w:p>
        </w:tc>
        <w:tc>
          <w:tcPr>
            <w:tcW w:w="992" w:type="dxa"/>
            <w:vAlign w:val="bottom"/>
          </w:tcPr>
          <w:p w:rsidR="005A138F" w:rsidRPr="00330DD3" w:rsidRDefault="005A138F" w:rsidP="005A138F">
            <w:pPr>
              <w:rPr>
                <w:i/>
                <w:color w:val="000000"/>
                <w:sz w:val="16"/>
                <w:szCs w:val="16"/>
              </w:rPr>
            </w:pPr>
            <w:r w:rsidRPr="00330DD3">
              <w:rPr>
                <w:i/>
                <w:color w:val="000000"/>
                <w:sz w:val="16"/>
                <w:szCs w:val="16"/>
              </w:rPr>
              <w:t>0.0097</w:t>
            </w:r>
            <w:r w:rsidRPr="00330DD3">
              <w:rPr>
                <w:i/>
                <w:color w:val="000000"/>
                <w:sz w:val="16"/>
                <w:szCs w:val="16"/>
                <w:vertAlign w:val="superscript"/>
              </w:rPr>
              <w:t>***</w:t>
            </w:r>
          </w:p>
        </w:tc>
        <w:tc>
          <w:tcPr>
            <w:tcW w:w="973" w:type="dxa"/>
            <w:vAlign w:val="bottom"/>
          </w:tcPr>
          <w:p w:rsidR="005A138F" w:rsidRPr="00330DD3" w:rsidRDefault="005A138F">
            <w:pPr>
              <w:jc w:val="right"/>
              <w:rPr>
                <w:i/>
                <w:color w:val="000000"/>
                <w:sz w:val="16"/>
                <w:szCs w:val="16"/>
              </w:rPr>
            </w:pPr>
            <w:r w:rsidRPr="00330DD3">
              <w:rPr>
                <w:i/>
                <w:color w:val="000000"/>
                <w:sz w:val="16"/>
                <w:szCs w:val="16"/>
              </w:rPr>
              <w:t>-0.0193</w:t>
            </w:r>
          </w:p>
        </w:tc>
        <w:tc>
          <w:tcPr>
            <w:tcW w:w="950" w:type="dxa"/>
            <w:vAlign w:val="bottom"/>
          </w:tcPr>
          <w:p w:rsidR="005A138F" w:rsidRPr="00330DD3" w:rsidRDefault="005A138F" w:rsidP="005A138F">
            <w:pPr>
              <w:rPr>
                <w:i/>
                <w:color w:val="000000"/>
                <w:sz w:val="16"/>
                <w:szCs w:val="16"/>
              </w:rPr>
            </w:pPr>
            <w:r w:rsidRPr="00330DD3">
              <w:rPr>
                <w:i/>
                <w:color w:val="000000"/>
                <w:sz w:val="16"/>
                <w:szCs w:val="16"/>
              </w:rPr>
              <w:t>0.0099</w:t>
            </w:r>
            <w:r w:rsidRPr="00330DD3">
              <w:rPr>
                <w:i/>
                <w:color w:val="000000"/>
                <w:sz w:val="16"/>
                <w:szCs w:val="16"/>
                <w:vertAlign w:val="superscript"/>
              </w:rPr>
              <w:t>***</w:t>
            </w:r>
          </w:p>
        </w:tc>
      </w:tr>
      <w:tr w:rsidR="005A138F" w:rsidRPr="00C15F52" w:rsidTr="005A138F">
        <w:trPr>
          <w:trHeight w:val="257"/>
          <w:jc w:val="center"/>
        </w:trPr>
        <w:tc>
          <w:tcPr>
            <w:tcW w:w="1704" w:type="dxa"/>
            <w:noWrap/>
            <w:vAlign w:val="bottom"/>
          </w:tcPr>
          <w:p w:rsidR="005A138F" w:rsidRPr="00330DD3" w:rsidRDefault="005A138F" w:rsidP="00DD5F1A">
            <w:pPr>
              <w:rPr>
                <w:rFonts w:eastAsiaTheme="minorEastAsia" w:cs="Times New Roman"/>
                <w:i/>
                <w:sz w:val="16"/>
                <w:szCs w:val="16"/>
              </w:rPr>
            </w:pPr>
            <w:r w:rsidRPr="00330DD3">
              <w:rPr>
                <w:rFonts w:cs="Times New Roman"/>
                <w:i/>
                <w:sz w:val="16"/>
                <w:szCs w:val="16"/>
              </w:rPr>
              <w:t xml:space="preserve">   INSOWN</w:t>
            </w:r>
          </w:p>
        </w:tc>
        <w:tc>
          <w:tcPr>
            <w:tcW w:w="1014" w:type="dxa"/>
            <w:noWrap/>
            <w:vAlign w:val="bottom"/>
          </w:tcPr>
          <w:p w:rsidR="005A138F" w:rsidRPr="00330DD3" w:rsidRDefault="005A138F">
            <w:pPr>
              <w:jc w:val="right"/>
              <w:rPr>
                <w:i/>
                <w:color w:val="000000"/>
                <w:sz w:val="16"/>
                <w:szCs w:val="16"/>
              </w:rPr>
            </w:pPr>
            <w:r w:rsidRPr="00330DD3">
              <w:rPr>
                <w:i/>
                <w:color w:val="000000"/>
                <w:sz w:val="16"/>
                <w:szCs w:val="16"/>
              </w:rPr>
              <w:t>-0.0003</w:t>
            </w:r>
          </w:p>
        </w:tc>
        <w:tc>
          <w:tcPr>
            <w:tcW w:w="896" w:type="dxa"/>
            <w:noWrap/>
            <w:vAlign w:val="bottom"/>
          </w:tcPr>
          <w:p w:rsidR="005A138F" w:rsidRPr="00330DD3" w:rsidRDefault="005A138F" w:rsidP="00D365F1">
            <w:pPr>
              <w:rPr>
                <w:i/>
                <w:color w:val="000000"/>
                <w:sz w:val="16"/>
                <w:szCs w:val="16"/>
              </w:rPr>
            </w:pPr>
            <w:r w:rsidRPr="00330DD3">
              <w:rPr>
                <w:i/>
                <w:color w:val="000000"/>
                <w:sz w:val="16"/>
                <w:szCs w:val="16"/>
              </w:rPr>
              <w:t>0.0263</w:t>
            </w:r>
            <w:r w:rsidRPr="00330DD3">
              <w:rPr>
                <w:i/>
                <w:color w:val="000000"/>
                <w:sz w:val="16"/>
                <w:szCs w:val="16"/>
                <w:vertAlign w:val="superscript"/>
              </w:rPr>
              <w:t>**</w:t>
            </w:r>
          </w:p>
        </w:tc>
        <w:tc>
          <w:tcPr>
            <w:tcW w:w="790" w:type="dxa"/>
            <w:noWrap/>
            <w:vAlign w:val="bottom"/>
          </w:tcPr>
          <w:p w:rsidR="005A138F" w:rsidRPr="00330DD3" w:rsidRDefault="005A138F">
            <w:pPr>
              <w:jc w:val="right"/>
              <w:rPr>
                <w:rFonts w:ascii="Calibri" w:hAnsi="Calibri" w:cs="Calibri"/>
                <w:i/>
                <w:color w:val="000000"/>
                <w:sz w:val="16"/>
                <w:szCs w:val="16"/>
              </w:rPr>
            </w:pPr>
            <w:r w:rsidRPr="00330DD3">
              <w:rPr>
                <w:rFonts w:ascii="Calibri" w:hAnsi="Calibri" w:cs="Calibri"/>
                <w:i/>
                <w:color w:val="000000"/>
                <w:sz w:val="16"/>
                <w:szCs w:val="16"/>
              </w:rPr>
              <w:t>-0.0003</w:t>
            </w:r>
          </w:p>
        </w:tc>
        <w:tc>
          <w:tcPr>
            <w:tcW w:w="896" w:type="dxa"/>
            <w:noWrap/>
            <w:vAlign w:val="bottom"/>
          </w:tcPr>
          <w:p w:rsidR="005A138F" w:rsidRPr="00330DD3" w:rsidRDefault="005A138F" w:rsidP="00F1660B">
            <w:pPr>
              <w:rPr>
                <w:i/>
                <w:color w:val="000000"/>
                <w:sz w:val="16"/>
                <w:szCs w:val="16"/>
              </w:rPr>
            </w:pPr>
            <w:r w:rsidRPr="00330DD3">
              <w:rPr>
                <w:i/>
                <w:color w:val="000000"/>
                <w:sz w:val="16"/>
                <w:szCs w:val="16"/>
              </w:rPr>
              <w:t>0.0403</w:t>
            </w:r>
            <w:r w:rsidRPr="00330DD3">
              <w:rPr>
                <w:i/>
                <w:color w:val="000000"/>
                <w:sz w:val="16"/>
                <w:szCs w:val="16"/>
                <w:vertAlign w:val="superscript"/>
              </w:rPr>
              <w:t>**</w:t>
            </w:r>
          </w:p>
        </w:tc>
        <w:tc>
          <w:tcPr>
            <w:tcW w:w="790" w:type="dxa"/>
            <w:noWrap/>
            <w:vAlign w:val="bottom"/>
          </w:tcPr>
          <w:p w:rsidR="005A138F" w:rsidRPr="00330DD3" w:rsidRDefault="005A138F">
            <w:pPr>
              <w:jc w:val="right"/>
              <w:rPr>
                <w:i/>
                <w:color w:val="000000"/>
                <w:sz w:val="16"/>
                <w:szCs w:val="16"/>
              </w:rPr>
            </w:pPr>
            <w:r w:rsidRPr="00330DD3">
              <w:rPr>
                <w:i/>
                <w:color w:val="000000"/>
                <w:sz w:val="16"/>
                <w:szCs w:val="16"/>
              </w:rPr>
              <w:t>-0.0004</w:t>
            </w:r>
          </w:p>
        </w:tc>
        <w:tc>
          <w:tcPr>
            <w:tcW w:w="981" w:type="dxa"/>
            <w:vAlign w:val="bottom"/>
          </w:tcPr>
          <w:p w:rsidR="005A138F" w:rsidRPr="00330DD3" w:rsidRDefault="005A138F" w:rsidP="00DD5F1A">
            <w:pPr>
              <w:rPr>
                <w:i/>
                <w:color w:val="000000"/>
                <w:sz w:val="16"/>
                <w:szCs w:val="16"/>
              </w:rPr>
            </w:pPr>
            <w:r w:rsidRPr="00330DD3">
              <w:rPr>
                <w:i/>
                <w:color w:val="000000"/>
                <w:sz w:val="16"/>
                <w:szCs w:val="16"/>
              </w:rPr>
              <w:t>0.0213</w:t>
            </w:r>
            <w:r w:rsidRPr="00330DD3">
              <w:rPr>
                <w:i/>
                <w:color w:val="000000"/>
                <w:sz w:val="16"/>
                <w:szCs w:val="16"/>
                <w:vertAlign w:val="superscript"/>
              </w:rPr>
              <w:t>**</w:t>
            </w:r>
          </w:p>
        </w:tc>
        <w:tc>
          <w:tcPr>
            <w:tcW w:w="850" w:type="dxa"/>
            <w:tcBorders>
              <w:left w:val="nil"/>
            </w:tcBorders>
            <w:vAlign w:val="bottom"/>
          </w:tcPr>
          <w:p w:rsidR="005A138F" w:rsidRPr="00330DD3" w:rsidRDefault="005A138F">
            <w:pPr>
              <w:jc w:val="right"/>
              <w:rPr>
                <w:i/>
                <w:color w:val="000000"/>
                <w:sz w:val="16"/>
                <w:szCs w:val="16"/>
              </w:rPr>
            </w:pPr>
            <w:r w:rsidRPr="00330DD3">
              <w:rPr>
                <w:i/>
                <w:color w:val="000000"/>
                <w:sz w:val="16"/>
                <w:szCs w:val="16"/>
              </w:rPr>
              <w:t>-0.0004</w:t>
            </w:r>
          </w:p>
        </w:tc>
        <w:tc>
          <w:tcPr>
            <w:tcW w:w="891" w:type="dxa"/>
            <w:noWrap/>
            <w:vAlign w:val="bottom"/>
          </w:tcPr>
          <w:p w:rsidR="005A138F" w:rsidRPr="00330DD3" w:rsidRDefault="005A138F" w:rsidP="0033504B">
            <w:pPr>
              <w:rPr>
                <w:i/>
                <w:color w:val="000000"/>
                <w:sz w:val="16"/>
                <w:szCs w:val="16"/>
              </w:rPr>
            </w:pPr>
            <w:r w:rsidRPr="00330DD3">
              <w:rPr>
                <w:i/>
                <w:color w:val="000000"/>
                <w:sz w:val="16"/>
                <w:szCs w:val="16"/>
              </w:rPr>
              <w:t>0.0165</w:t>
            </w:r>
            <w:r w:rsidRPr="00330DD3">
              <w:rPr>
                <w:i/>
                <w:color w:val="000000"/>
                <w:sz w:val="16"/>
                <w:szCs w:val="16"/>
                <w:vertAlign w:val="superscript"/>
              </w:rPr>
              <w:t>**</w:t>
            </w:r>
          </w:p>
        </w:tc>
        <w:tc>
          <w:tcPr>
            <w:tcW w:w="790" w:type="dxa"/>
            <w:vAlign w:val="bottom"/>
          </w:tcPr>
          <w:p w:rsidR="005A138F" w:rsidRPr="00330DD3" w:rsidRDefault="005A138F">
            <w:pPr>
              <w:jc w:val="right"/>
              <w:rPr>
                <w:i/>
                <w:color w:val="000000"/>
                <w:sz w:val="16"/>
                <w:szCs w:val="16"/>
              </w:rPr>
            </w:pPr>
            <w:r w:rsidRPr="00330DD3">
              <w:rPr>
                <w:i/>
                <w:color w:val="000000"/>
                <w:sz w:val="16"/>
                <w:szCs w:val="16"/>
              </w:rPr>
              <w:t>-0.0004</w:t>
            </w:r>
          </w:p>
        </w:tc>
        <w:tc>
          <w:tcPr>
            <w:tcW w:w="981" w:type="dxa"/>
            <w:vAlign w:val="bottom"/>
          </w:tcPr>
          <w:p w:rsidR="005A138F" w:rsidRPr="00330DD3" w:rsidRDefault="005A138F" w:rsidP="00A42766">
            <w:pPr>
              <w:rPr>
                <w:i/>
                <w:color w:val="000000"/>
                <w:sz w:val="16"/>
                <w:szCs w:val="16"/>
              </w:rPr>
            </w:pPr>
            <w:r w:rsidRPr="00330DD3">
              <w:rPr>
                <w:i/>
                <w:color w:val="000000"/>
                <w:sz w:val="16"/>
                <w:szCs w:val="16"/>
              </w:rPr>
              <w:t>0.0192</w:t>
            </w:r>
            <w:r w:rsidRPr="00330DD3">
              <w:rPr>
                <w:i/>
                <w:color w:val="000000"/>
                <w:sz w:val="16"/>
                <w:szCs w:val="16"/>
                <w:vertAlign w:val="superscript"/>
              </w:rPr>
              <w:t>**</w:t>
            </w:r>
          </w:p>
        </w:tc>
        <w:tc>
          <w:tcPr>
            <w:tcW w:w="850" w:type="dxa"/>
            <w:vAlign w:val="bottom"/>
          </w:tcPr>
          <w:p w:rsidR="005A138F" w:rsidRPr="00330DD3" w:rsidRDefault="005A138F">
            <w:pPr>
              <w:jc w:val="right"/>
              <w:rPr>
                <w:i/>
                <w:color w:val="000000"/>
                <w:sz w:val="16"/>
                <w:szCs w:val="16"/>
              </w:rPr>
            </w:pPr>
            <w:r w:rsidRPr="00330DD3">
              <w:rPr>
                <w:i/>
                <w:color w:val="000000"/>
                <w:sz w:val="16"/>
                <w:szCs w:val="16"/>
              </w:rPr>
              <w:t>-0.0003</w:t>
            </w:r>
          </w:p>
        </w:tc>
        <w:tc>
          <w:tcPr>
            <w:tcW w:w="992" w:type="dxa"/>
            <w:vAlign w:val="bottom"/>
          </w:tcPr>
          <w:p w:rsidR="005A138F" w:rsidRPr="00330DD3" w:rsidRDefault="005A138F" w:rsidP="00774819">
            <w:pPr>
              <w:rPr>
                <w:i/>
                <w:color w:val="000000"/>
                <w:sz w:val="16"/>
                <w:szCs w:val="16"/>
              </w:rPr>
            </w:pPr>
            <w:r w:rsidRPr="00330DD3">
              <w:rPr>
                <w:i/>
                <w:color w:val="000000"/>
                <w:sz w:val="16"/>
                <w:szCs w:val="16"/>
              </w:rPr>
              <w:t>0.0233</w:t>
            </w:r>
            <w:r w:rsidRPr="00330DD3">
              <w:rPr>
                <w:i/>
                <w:color w:val="000000"/>
                <w:sz w:val="16"/>
                <w:szCs w:val="16"/>
                <w:vertAlign w:val="superscript"/>
              </w:rPr>
              <w:t>**</w:t>
            </w:r>
          </w:p>
        </w:tc>
        <w:tc>
          <w:tcPr>
            <w:tcW w:w="993" w:type="dxa"/>
            <w:vAlign w:val="bottom"/>
          </w:tcPr>
          <w:p w:rsidR="005A138F" w:rsidRPr="00330DD3" w:rsidRDefault="005A138F">
            <w:pPr>
              <w:jc w:val="right"/>
              <w:rPr>
                <w:i/>
                <w:color w:val="000000"/>
                <w:sz w:val="16"/>
                <w:szCs w:val="16"/>
              </w:rPr>
            </w:pPr>
            <w:r w:rsidRPr="00330DD3">
              <w:rPr>
                <w:i/>
                <w:color w:val="000000"/>
                <w:sz w:val="16"/>
                <w:szCs w:val="16"/>
              </w:rPr>
              <w:t>-0.0004</w:t>
            </w:r>
          </w:p>
        </w:tc>
        <w:tc>
          <w:tcPr>
            <w:tcW w:w="992" w:type="dxa"/>
            <w:vAlign w:val="bottom"/>
          </w:tcPr>
          <w:p w:rsidR="005A138F" w:rsidRPr="00330DD3" w:rsidRDefault="005A138F" w:rsidP="005A138F">
            <w:pPr>
              <w:rPr>
                <w:i/>
                <w:color w:val="000000"/>
                <w:sz w:val="16"/>
                <w:szCs w:val="16"/>
              </w:rPr>
            </w:pPr>
            <w:r w:rsidRPr="00330DD3">
              <w:rPr>
                <w:i/>
                <w:color w:val="000000"/>
                <w:sz w:val="16"/>
                <w:szCs w:val="16"/>
              </w:rPr>
              <w:t>0.0119</w:t>
            </w:r>
            <w:r w:rsidRPr="00330DD3">
              <w:rPr>
                <w:i/>
                <w:color w:val="000000"/>
                <w:sz w:val="16"/>
                <w:szCs w:val="16"/>
                <w:vertAlign w:val="superscript"/>
              </w:rPr>
              <w:t>**</w:t>
            </w:r>
          </w:p>
        </w:tc>
        <w:tc>
          <w:tcPr>
            <w:tcW w:w="973" w:type="dxa"/>
            <w:vAlign w:val="bottom"/>
          </w:tcPr>
          <w:p w:rsidR="005A138F" w:rsidRPr="00330DD3" w:rsidRDefault="005A138F">
            <w:pPr>
              <w:jc w:val="right"/>
              <w:rPr>
                <w:i/>
                <w:color w:val="000000"/>
                <w:sz w:val="16"/>
                <w:szCs w:val="16"/>
              </w:rPr>
            </w:pPr>
            <w:r w:rsidRPr="00330DD3">
              <w:rPr>
                <w:i/>
                <w:color w:val="000000"/>
                <w:sz w:val="16"/>
                <w:szCs w:val="16"/>
              </w:rPr>
              <w:t>-0.0003</w:t>
            </w:r>
          </w:p>
        </w:tc>
        <w:tc>
          <w:tcPr>
            <w:tcW w:w="950" w:type="dxa"/>
            <w:vAlign w:val="bottom"/>
          </w:tcPr>
          <w:p w:rsidR="005A138F" w:rsidRPr="00330DD3" w:rsidRDefault="005A138F" w:rsidP="005A138F">
            <w:pPr>
              <w:rPr>
                <w:i/>
                <w:color w:val="000000"/>
                <w:sz w:val="16"/>
                <w:szCs w:val="16"/>
              </w:rPr>
            </w:pPr>
            <w:r w:rsidRPr="00330DD3">
              <w:rPr>
                <w:i/>
                <w:color w:val="000000"/>
                <w:sz w:val="16"/>
                <w:szCs w:val="16"/>
              </w:rPr>
              <w:t>0.0267</w:t>
            </w:r>
            <w:r w:rsidRPr="00330DD3">
              <w:rPr>
                <w:i/>
                <w:color w:val="000000"/>
                <w:sz w:val="16"/>
                <w:szCs w:val="16"/>
                <w:vertAlign w:val="superscript"/>
              </w:rPr>
              <w:t>**</w:t>
            </w:r>
          </w:p>
        </w:tc>
      </w:tr>
      <w:tr w:rsidR="005A138F" w:rsidRPr="00C15F52" w:rsidTr="005A138F">
        <w:trPr>
          <w:trHeight w:val="257"/>
          <w:jc w:val="center"/>
        </w:trPr>
        <w:tc>
          <w:tcPr>
            <w:tcW w:w="1704" w:type="dxa"/>
            <w:noWrap/>
            <w:vAlign w:val="bottom"/>
          </w:tcPr>
          <w:p w:rsidR="005A138F" w:rsidRPr="00330DD3" w:rsidRDefault="005A138F" w:rsidP="00DD5F1A">
            <w:pPr>
              <w:rPr>
                <w:rFonts w:eastAsiaTheme="minorEastAsia" w:cs="Times New Roman"/>
                <w:i/>
                <w:sz w:val="16"/>
                <w:szCs w:val="16"/>
              </w:rPr>
            </w:pPr>
            <w:r w:rsidRPr="00330DD3">
              <w:rPr>
                <w:rFonts w:eastAsiaTheme="minorEastAsia" w:cs="Times New Roman"/>
                <w:i/>
                <w:sz w:val="16"/>
                <w:szCs w:val="16"/>
              </w:rPr>
              <w:t xml:space="preserve">   </w:t>
            </w:r>
            <w:r w:rsidRPr="00330DD3">
              <w:rPr>
                <w:rFonts w:cs="Times New Roman"/>
                <w:i/>
                <w:sz w:val="16"/>
                <w:szCs w:val="16"/>
              </w:rPr>
              <w:t>FOROWN</w:t>
            </w:r>
          </w:p>
        </w:tc>
        <w:tc>
          <w:tcPr>
            <w:tcW w:w="1014" w:type="dxa"/>
            <w:noWrap/>
            <w:vAlign w:val="bottom"/>
          </w:tcPr>
          <w:p w:rsidR="005A138F" w:rsidRPr="00330DD3" w:rsidRDefault="005A138F">
            <w:pPr>
              <w:jc w:val="right"/>
              <w:rPr>
                <w:i/>
                <w:color w:val="000000"/>
                <w:sz w:val="16"/>
                <w:szCs w:val="16"/>
              </w:rPr>
            </w:pPr>
            <w:r w:rsidRPr="00330DD3">
              <w:rPr>
                <w:i/>
                <w:color w:val="000000"/>
                <w:sz w:val="16"/>
                <w:szCs w:val="16"/>
              </w:rPr>
              <w:t>-0.0001</w:t>
            </w:r>
          </w:p>
        </w:tc>
        <w:tc>
          <w:tcPr>
            <w:tcW w:w="896" w:type="dxa"/>
            <w:noWrap/>
            <w:vAlign w:val="bottom"/>
          </w:tcPr>
          <w:p w:rsidR="005A138F" w:rsidRPr="00330DD3" w:rsidRDefault="005A138F" w:rsidP="00D365F1">
            <w:pPr>
              <w:rPr>
                <w:i/>
                <w:color w:val="000000"/>
                <w:sz w:val="16"/>
                <w:szCs w:val="16"/>
              </w:rPr>
            </w:pPr>
            <w:r w:rsidRPr="00330DD3">
              <w:rPr>
                <w:i/>
                <w:color w:val="000000"/>
                <w:sz w:val="16"/>
                <w:szCs w:val="16"/>
              </w:rPr>
              <w:t>0.7016</w:t>
            </w:r>
          </w:p>
        </w:tc>
        <w:tc>
          <w:tcPr>
            <w:tcW w:w="790" w:type="dxa"/>
            <w:noWrap/>
            <w:vAlign w:val="bottom"/>
          </w:tcPr>
          <w:p w:rsidR="005A138F" w:rsidRPr="00330DD3" w:rsidRDefault="005A138F">
            <w:pPr>
              <w:jc w:val="right"/>
              <w:rPr>
                <w:rFonts w:ascii="Calibri" w:hAnsi="Calibri" w:cs="Calibri"/>
                <w:i/>
                <w:color w:val="000000"/>
                <w:sz w:val="16"/>
                <w:szCs w:val="16"/>
              </w:rPr>
            </w:pPr>
            <w:r w:rsidRPr="00330DD3">
              <w:rPr>
                <w:rFonts w:ascii="Calibri" w:hAnsi="Calibri" w:cs="Calibri"/>
                <w:i/>
                <w:color w:val="000000"/>
                <w:sz w:val="16"/>
                <w:szCs w:val="16"/>
              </w:rPr>
              <w:t>-0.0001</w:t>
            </w:r>
          </w:p>
        </w:tc>
        <w:tc>
          <w:tcPr>
            <w:tcW w:w="896" w:type="dxa"/>
            <w:noWrap/>
            <w:vAlign w:val="bottom"/>
          </w:tcPr>
          <w:p w:rsidR="005A138F" w:rsidRPr="00330DD3" w:rsidRDefault="005A138F" w:rsidP="00F1660B">
            <w:pPr>
              <w:rPr>
                <w:i/>
                <w:color w:val="000000"/>
                <w:sz w:val="16"/>
                <w:szCs w:val="16"/>
              </w:rPr>
            </w:pPr>
            <w:r w:rsidRPr="00330DD3">
              <w:rPr>
                <w:i/>
                <w:color w:val="000000"/>
                <w:sz w:val="16"/>
                <w:szCs w:val="16"/>
              </w:rPr>
              <w:t>0.6451</w:t>
            </w:r>
          </w:p>
        </w:tc>
        <w:tc>
          <w:tcPr>
            <w:tcW w:w="790" w:type="dxa"/>
            <w:noWrap/>
            <w:vAlign w:val="bottom"/>
          </w:tcPr>
          <w:p w:rsidR="005A138F" w:rsidRPr="00330DD3" w:rsidRDefault="005A138F">
            <w:pPr>
              <w:jc w:val="right"/>
              <w:rPr>
                <w:i/>
                <w:color w:val="000000"/>
                <w:sz w:val="16"/>
                <w:szCs w:val="16"/>
              </w:rPr>
            </w:pPr>
            <w:r w:rsidRPr="00330DD3">
              <w:rPr>
                <w:i/>
                <w:color w:val="000000"/>
                <w:sz w:val="16"/>
                <w:szCs w:val="16"/>
              </w:rPr>
              <w:t>-0.0001</w:t>
            </w:r>
          </w:p>
        </w:tc>
        <w:tc>
          <w:tcPr>
            <w:tcW w:w="981" w:type="dxa"/>
            <w:vAlign w:val="bottom"/>
          </w:tcPr>
          <w:p w:rsidR="005A138F" w:rsidRPr="00330DD3" w:rsidRDefault="005A138F" w:rsidP="00DD5F1A">
            <w:pPr>
              <w:rPr>
                <w:i/>
                <w:color w:val="000000"/>
                <w:sz w:val="16"/>
                <w:szCs w:val="16"/>
              </w:rPr>
            </w:pPr>
            <w:r w:rsidRPr="00330DD3">
              <w:rPr>
                <w:i/>
                <w:color w:val="000000"/>
                <w:sz w:val="16"/>
                <w:szCs w:val="16"/>
              </w:rPr>
              <w:t>0.6937</w:t>
            </w:r>
          </w:p>
        </w:tc>
        <w:tc>
          <w:tcPr>
            <w:tcW w:w="850" w:type="dxa"/>
            <w:tcBorders>
              <w:left w:val="nil"/>
            </w:tcBorders>
            <w:vAlign w:val="bottom"/>
          </w:tcPr>
          <w:p w:rsidR="005A138F" w:rsidRPr="00330DD3" w:rsidRDefault="005A138F">
            <w:pPr>
              <w:jc w:val="right"/>
              <w:rPr>
                <w:i/>
                <w:color w:val="000000"/>
                <w:sz w:val="16"/>
                <w:szCs w:val="16"/>
              </w:rPr>
            </w:pPr>
            <w:r w:rsidRPr="00330DD3">
              <w:rPr>
                <w:i/>
                <w:color w:val="000000"/>
                <w:sz w:val="16"/>
                <w:szCs w:val="16"/>
              </w:rPr>
              <w:t>-0.0001</w:t>
            </w:r>
          </w:p>
        </w:tc>
        <w:tc>
          <w:tcPr>
            <w:tcW w:w="891" w:type="dxa"/>
            <w:noWrap/>
            <w:vAlign w:val="bottom"/>
          </w:tcPr>
          <w:p w:rsidR="005A138F" w:rsidRPr="00330DD3" w:rsidRDefault="005A138F" w:rsidP="0033504B">
            <w:pPr>
              <w:rPr>
                <w:i/>
                <w:color w:val="000000"/>
                <w:sz w:val="16"/>
                <w:szCs w:val="16"/>
              </w:rPr>
            </w:pPr>
            <w:r w:rsidRPr="00330DD3">
              <w:rPr>
                <w:i/>
                <w:color w:val="000000"/>
                <w:sz w:val="16"/>
                <w:szCs w:val="16"/>
              </w:rPr>
              <w:t>0.6535</w:t>
            </w:r>
          </w:p>
        </w:tc>
        <w:tc>
          <w:tcPr>
            <w:tcW w:w="790" w:type="dxa"/>
            <w:vAlign w:val="bottom"/>
          </w:tcPr>
          <w:p w:rsidR="005A138F" w:rsidRPr="00330DD3" w:rsidRDefault="005A138F">
            <w:pPr>
              <w:jc w:val="right"/>
              <w:rPr>
                <w:i/>
                <w:color w:val="000000"/>
                <w:sz w:val="16"/>
                <w:szCs w:val="16"/>
              </w:rPr>
            </w:pPr>
            <w:r w:rsidRPr="00330DD3">
              <w:rPr>
                <w:i/>
                <w:color w:val="000000"/>
                <w:sz w:val="16"/>
                <w:szCs w:val="16"/>
              </w:rPr>
              <w:t>-0.0001</w:t>
            </w:r>
          </w:p>
        </w:tc>
        <w:tc>
          <w:tcPr>
            <w:tcW w:w="981" w:type="dxa"/>
            <w:vAlign w:val="bottom"/>
          </w:tcPr>
          <w:p w:rsidR="005A138F" w:rsidRPr="00330DD3" w:rsidRDefault="005A138F" w:rsidP="00A42766">
            <w:pPr>
              <w:rPr>
                <w:i/>
                <w:color w:val="000000"/>
                <w:sz w:val="16"/>
                <w:szCs w:val="16"/>
              </w:rPr>
            </w:pPr>
            <w:r w:rsidRPr="00330DD3">
              <w:rPr>
                <w:i/>
                <w:color w:val="000000"/>
                <w:sz w:val="16"/>
                <w:szCs w:val="16"/>
              </w:rPr>
              <w:t>0.6599</w:t>
            </w:r>
          </w:p>
        </w:tc>
        <w:tc>
          <w:tcPr>
            <w:tcW w:w="850" w:type="dxa"/>
            <w:vAlign w:val="bottom"/>
          </w:tcPr>
          <w:p w:rsidR="005A138F" w:rsidRPr="00330DD3" w:rsidRDefault="005A138F">
            <w:pPr>
              <w:jc w:val="right"/>
              <w:rPr>
                <w:i/>
                <w:color w:val="000000"/>
                <w:sz w:val="16"/>
                <w:szCs w:val="16"/>
              </w:rPr>
            </w:pPr>
            <w:r w:rsidRPr="00330DD3">
              <w:rPr>
                <w:i/>
                <w:color w:val="000000"/>
                <w:sz w:val="16"/>
                <w:szCs w:val="16"/>
              </w:rPr>
              <w:t>-0.0001</w:t>
            </w:r>
          </w:p>
        </w:tc>
        <w:tc>
          <w:tcPr>
            <w:tcW w:w="992" w:type="dxa"/>
            <w:vAlign w:val="bottom"/>
          </w:tcPr>
          <w:p w:rsidR="005A138F" w:rsidRPr="00330DD3" w:rsidRDefault="005A138F" w:rsidP="00774819">
            <w:pPr>
              <w:rPr>
                <w:i/>
                <w:color w:val="000000"/>
                <w:sz w:val="16"/>
                <w:szCs w:val="16"/>
              </w:rPr>
            </w:pPr>
            <w:r w:rsidRPr="00330DD3">
              <w:rPr>
                <w:i/>
                <w:color w:val="000000"/>
                <w:sz w:val="16"/>
                <w:szCs w:val="16"/>
              </w:rPr>
              <w:t>0.6971</w:t>
            </w:r>
          </w:p>
        </w:tc>
        <w:tc>
          <w:tcPr>
            <w:tcW w:w="993" w:type="dxa"/>
            <w:vAlign w:val="bottom"/>
          </w:tcPr>
          <w:p w:rsidR="005A138F" w:rsidRPr="00330DD3" w:rsidRDefault="005A138F">
            <w:pPr>
              <w:jc w:val="right"/>
              <w:rPr>
                <w:i/>
                <w:color w:val="000000"/>
                <w:sz w:val="16"/>
                <w:szCs w:val="16"/>
              </w:rPr>
            </w:pPr>
            <w:r w:rsidRPr="00330DD3">
              <w:rPr>
                <w:i/>
                <w:color w:val="000000"/>
                <w:sz w:val="16"/>
                <w:szCs w:val="16"/>
              </w:rPr>
              <w:t>-0.0001</w:t>
            </w:r>
          </w:p>
        </w:tc>
        <w:tc>
          <w:tcPr>
            <w:tcW w:w="992" w:type="dxa"/>
            <w:vAlign w:val="bottom"/>
          </w:tcPr>
          <w:p w:rsidR="005A138F" w:rsidRPr="00330DD3" w:rsidRDefault="005A138F" w:rsidP="005A138F">
            <w:pPr>
              <w:rPr>
                <w:i/>
                <w:color w:val="000000"/>
                <w:sz w:val="16"/>
                <w:szCs w:val="16"/>
              </w:rPr>
            </w:pPr>
            <w:r w:rsidRPr="00330DD3">
              <w:rPr>
                <w:i/>
                <w:color w:val="000000"/>
                <w:sz w:val="16"/>
                <w:szCs w:val="16"/>
              </w:rPr>
              <w:t>0.6452</w:t>
            </w:r>
          </w:p>
        </w:tc>
        <w:tc>
          <w:tcPr>
            <w:tcW w:w="973" w:type="dxa"/>
            <w:vAlign w:val="bottom"/>
          </w:tcPr>
          <w:p w:rsidR="005A138F" w:rsidRPr="00330DD3" w:rsidRDefault="005A138F">
            <w:pPr>
              <w:jc w:val="right"/>
              <w:rPr>
                <w:i/>
                <w:color w:val="000000"/>
                <w:sz w:val="16"/>
                <w:szCs w:val="16"/>
              </w:rPr>
            </w:pPr>
            <w:r w:rsidRPr="00330DD3">
              <w:rPr>
                <w:i/>
                <w:color w:val="000000"/>
                <w:sz w:val="16"/>
                <w:szCs w:val="16"/>
              </w:rPr>
              <w:t>-0.0001</w:t>
            </w:r>
          </w:p>
        </w:tc>
        <w:tc>
          <w:tcPr>
            <w:tcW w:w="950" w:type="dxa"/>
            <w:vAlign w:val="bottom"/>
          </w:tcPr>
          <w:p w:rsidR="005A138F" w:rsidRPr="00330DD3" w:rsidRDefault="005A138F" w:rsidP="005A138F">
            <w:pPr>
              <w:rPr>
                <w:i/>
                <w:color w:val="000000"/>
                <w:sz w:val="16"/>
                <w:szCs w:val="16"/>
              </w:rPr>
            </w:pPr>
            <w:r w:rsidRPr="00330DD3">
              <w:rPr>
                <w:i/>
                <w:color w:val="000000"/>
                <w:sz w:val="16"/>
                <w:szCs w:val="16"/>
              </w:rPr>
              <w:t>0.7076</w:t>
            </w:r>
          </w:p>
        </w:tc>
      </w:tr>
      <w:tr w:rsidR="005A138F" w:rsidRPr="00C15F52" w:rsidTr="005A138F">
        <w:trPr>
          <w:trHeight w:val="257"/>
          <w:jc w:val="center"/>
        </w:trPr>
        <w:tc>
          <w:tcPr>
            <w:tcW w:w="1704" w:type="dxa"/>
            <w:noWrap/>
            <w:vAlign w:val="bottom"/>
          </w:tcPr>
          <w:p w:rsidR="005A138F" w:rsidRPr="00330DD3" w:rsidRDefault="005A138F" w:rsidP="00DD5F1A">
            <w:pPr>
              <w:rPr>
                <w:rFonts w:eastAsiaTheme="minorEastAsia" w:cs="Times New Roman"/>
                <w:i/>
                <w:sz w:val="16"/>
                <w:szCs w:val="16"/>
              </w:rPr>
            </w:pPr>
            <w:r w:rsidRPr="00330DD3">
              <w:rPr>
                <w:rFonts w:cs="Times New Roman"/>
                <w:i/>
                <w:sz w:val="16"/>
                <w:szCs w:val="16"/>
              </w:rPr>
              <w:t xml:space="preserve">   LNTA</w:t>
            </w:r>
          </w:p>
        </w:tc>
        <w:tc>
          <w:tcPr>
            <w:tcW w:w="1014" w:type="dxa"/>
            <w:noWrap/>
            <w:vAlign w:val="bottom"/>
          </w:tcPr>
          <w:p w:rsidR="005A138F" w:rsidRPr="00330DD3" w:rsidRDefault="005A138F">
            <w:pPr>
              <w:jc w:val="right"/>
              <w:rPr>
                <w:i/>
                <w:color w:val="000000"/>
                <w:sz w:val="16"/>
                <w:szCs w:val="16"/>
              </w:rPr>
            </w:pPr>
            <w:r w:rsidRPr="00330DD3">
              <w:rPr>
                <w:i/>
                <w:color w:val="000000"/>
                <w:sz w:val="16"/>
                <w:szCs w:val="16"/>
              </w:rPr>
              <w:t>-0.0042</w:t>
            </w:r>
          </w:p>
        </w:tc>
        <w:tc>
          <w:tcPr>
            <w:tcW w:w="896" w:type="dxa"/>
            <w:noWrap/>
            <w:vAlign w:val="bottom"/>
          </w:tcPr>
          <w:p w:rsidR="005A138F" w:rsidRPr="00330DD3" w:rsidRDefault="005A138F" w:rsidP="00D365F1">
            <w:pPr>
              <w:rPr>
                <w:i/>
                <w:color w:val="000000"/>
                <w:sz w:val="16"/>
                <w:szCs w:val="16"/>
              </w:rPr>
            </w:pPr>
            <w:r w:rsidRPr="00330DD3">
              <w:rPr>
                <w:i/>
                <w:color w:val="000000"/>
                <w:sz w:val="16"/>
                <w:szCs w:val="16"/>
              </w:rPr>
              <w:t>0.1384</w:t>
            </w:r>
          </w:p>
        </w:tc>
        <w:tc>
          <w:tcPr>
            <w:tcW w:w="790" w:type="dxa"/>
            <w:noWrap/>
            <w:vAlign w:val="bottom"/>
          </w:tcPr>
          <w:p w:rsidR="005A138F" w:rsidRPr="00330DD3" w:rsidRDefault="005A138F">
            <w:pPr>
              <w:jc w:val="right"/>
              <w:rPr>
                <w:rFonts w:ascii="Calibri" w:hAnsi="Calibri" w:cs="Calibri"/>
                <w:i/>
                <w:color w:val="000000"/>
                <w:sz w:val="16"/>
                <w:szCs w:val="16"/>
              </w:rPr>
            </w:pPr>
            <w:r w:rsidRPr="00330DD3">
              <w:rPr>
                <w:rFonts w:ascii="Calibri" w:hAnsi="Calibri" w:cs="Calibri"/>
                <w:i/>
                <w:color w:val="000000"/>
                <w:sz w:val="16"/>
                <w:szCs w:val="16"/>
              </w:rPr>
              <w:t>-0.0046</w:t>
            </w:r>
          </w:p>
        </w:tc>
        <w:tc>
          <w:tcPr>
            <w:tcW w:w="896" w:type="dxa"/>
            <w:noWrap/>
            <w:vAlign w:val="bottom"/>
          </w:tcPr>
          <w:p w:rsidR="005A138F" w:rsidRPr="00330DD3" w:rsidRDefault="005A138F" w:rsidP="00F1660B">
            <w:pPr>
              <w:rPr>
                <w:i/>
                <w:color w:val="000000"/>
                <w:sz w:val="16"/>
                <w:szCs w:val="16"/>
              </w:rPr>
            </w:pPr>
            <w:r w:rsidRPr="00330DD3">
              <w:rPr>
                <w:i/>
                <w:color w:val="000000"/>
                <w:sz w:val="16"/>
                <w:szCs w:val="16"/>
              </w:rPr>
              <w:t>0.0828</w:t>
            </w:r>
            <w:r w:rsidRPr="00330DD3">
              <w:rPr>
                <w:i/>
                <w:color w:val="000000"/>
                <w:sz w:val="16"/>
                <w:szCs w:val="16"/>
                <w:vertAlign w:val="superscript"/>
              </w:rPr>
              <w:t>*</w:t>
            </w:r>
          </w:p>
        </w:tc>
        <w:tc>
          <w:tcPr>
            <w:tcW w:w="790" w:type="dxa"/>
            <w:noWrap/>
            <w:vAlign w:val="bottom"/>
          </w:tcPr>
          <w:p w:rsidR="005A138F" w:rsidRPr="00330DD3" w:rsidRDefault="005A138F">
            <w:pPr>
              <w:jc w:val="right"/>
              <w:rPr>
                <w:i/>
                <w:color w:val="000000"/>
                <w:sz w:val="16"/>
                <w:szCs w:val="16"/>
              </w:rPr>
            </w:pPr>
            <w:r w:rsidRPr="00330DD3">
              <w:rPr>
                <w:i/>
                <w:color w:val="000000"/>
                <w:sz w:val="16"/>
                <w:szCs w:val="16"/>
              </w:rPr>
              <w:t>-0.0047</w:t>
            </w:r>
          </w:p>
        </w:tc>
        <w:tc>
          <w:tcPr>
            <w:tcW w:w="981" w:type="dxa"/>
            <w:vAlign w:val="bottom"/>
          </w:tcPr>
          <w:p w:rsidR="005A138F" w:rsidRPr="00330DD3" w:rsidRDefault="005A138F" w:rsidP="00DD5F1A">
            <w:pPr>
              <w:rPr>
                <w:i/>
                <w:color w:val="000000"/>
                <w:sz w:val="16"/>
                <w:szCs w:val="16"/>
              </w:rPr>
            </w:pPr>
            <w:r w:rsidRPr="00330DD3">
              <w:rPr>
                <w:i/>
                <w:color w:val="000000"/>
                <w:sz w:val="16"/>
                <w:szCs w:val="16"/>
              </w:rPr>
              <w:t>0.0687</w:t>
            </w:r>
            <w:r w:rsidRPr="00330DD3">
              <w:rPr>
                <w:i/>
                <w:color w:val="000000"/>
                <w:sz w:val="16"/>
                <w:szCs w:val="16"/>
                <w:vertAlign w:val="superscript"/>
              </w:rPr>
              <w:t>*</w:t>
            </w:r>
          </w:p>
        </w:tc>
        <w:tc>
          <w:tcPr>
            <w:tcW w:w="850" w:type="dxa"/>
            <w:tcBorders>
              <w:left w:val="nil"/>
            </w:tcBorders>
            <w:vAlign w:val="bottom"/>
          </w:tcPr>
          <w:p w:rsidR="005A138F" w:rsidRPr="00330DD3" w:rsidRDefault="005A138F">
            <w:pPr>
              <w:jc w:val="right"/>
              <w:rPr>
                <w:i/>
                <w:color w:val="000000"/>
                <w:sz w:val="16"/>
                <w:szCs w:val="16"/>
              </w:rPr>
            </w:pPr>
            <w:r w:rsidRPr="00330DD3">
              <w:rPr>
                <w:i/>
                <w:color w:val="000000"/>
                <w:sz w:val="16"/>
                <w:szCs w:val="16"/>
              </w:rPr>
              <w:t>-0.0060</w:t>
            </w:r>
          </w:p>
        </w:tc>
        <w:tc>
          <w:tcPr>
            <w:tcW w:w="891" w:type="dxa"/>
            <w:noWrap/>
            <w:vAlign w:val="bottom"/>
          </w:tcPr>
          <w:p w:rsidR="005A138F" w:rsidRPr="00330DD3" w:rsidRDefault="005A138F" w:rsidP="0033504B">
            <w:pPr>
              <w:rPr>
                <w:i/>
                <w:color w:val="000000"/>
                <w:sz w:val="16"/>
                <w:szCs w:val="16"/>
              </w:rPr>
            </w:pPr>
            <w:r w:rsidRPr="00330DD3">
              <w:rPr>
                <w:i/>
                <w:color w:val="000000"/>
                <w:sz w:val="16"/>
                <w:szCs w:val="16"/>
              </w:rPr>
              <w:t>0.0317</w:t>
            </w:r>
            <w:r w:rsidRPr="00330DD3">
              <w:rPr>
                <w:i/>
                <w:color w:val="000000"/>
                <w:sz w:val="16"/>
                <w:szCs w:val="16"/>
                <w:vertAlign w:val="superscript"/>
              </w:rPr>
              <w:t>**</w:t>
            </w:r>
          </w:p>
        </w:tc>
        <w:tc>
          <w:tcPr>
            <w:tcW w:w="790" w:type="dxa"/>
            <w:vAlign w:val="bottom"/>
          </w:tcPr>
          <w:p w:rsidR="005A138F" w:rsidRPr="00330DD3" w:rsidRDefault="005A138F">
            <w:pPr>
              <w:jc w:val="right"/>
              <w:rPr>
                <w:i/>
                <w:color w:val="000000"/>
                <w:sz w:val="16"/>
                <w:szCs w:val="16"/>
              </w:rPr>
            </w:pPr>
            <w:r w:rsidRPr="00330DD3">
              <w:rPr>
                <w:i/>
                <w:color w:val="000000"/>
                <w:sz w:val="16"/>
                <w:szCs w:val="16"/>
              </w:rPr>
              <w:t>-0.0044</w:t>
            </w:r>
          </w:p>
        </w:tc>
        <w:tc>
          <w:tcPr>
            <w:tcW w:w="981" w:type="dxa"/>
            <w:vAlign w:val="bottom"/>
          </w:tcPr>
          <w:p w:rsidR="005A138F" w:rsidRPr="00330DD3" w:rsidRDefault="005A138F" w:rsidP="00A42766">
            <w:pPr>
              <w:rPr>
                <w:i/>
                <w:color w:val="000000"/>
                <w:sz w:val="16"/>
                <w:szCs w:val="16"/>
              </w:rPr>
            </w:pPr>
            <w:r w:rsidRPr="00330DD3">
              <w:rPr>
                <w:i/>
                <w:color w:val="000000"/>
                <w:sz w:val="16"/>
                <w:szCs w:val="16"/>
              </w:rPr>
              <w:t>0.1384</w:t>
            </w:r>
          </w:p>
        </w:tc>
        <w:tc>
          <w:tcPr>
            <w:tcW w:w="850" w:type="dxa"/>
            <w:vAlign w:val="bottom"/>
          </w:tcPr>
          <w:p w:rsidR="005A138F" w:rsidRPr="00330DD3" w:rsidRDefault="005A138F">
            <w:pPr>
              <w:jc w:val="right"/>
              <w:rPr>
                <w:i/>
                <w:color w:val="000000"/>
                <w:sz w:val="16"/>
                <w:szCs w:val="16"/>
              </w:rPr>
            </w:pPr>
            <w:r w:rsidRPr="00330DD3">
              <w:rPr>
                <w:i/>
                <w:color w:val="000000"/>
                <w:sz w:val="16"/>
                <w:szCs w:val="16"/>
              </w:rPr>
              <w:t>-0.0047</w:t>
            </w:r>
          </w:p>
        </w:tc>
        <w:tc>
          <w:tcPr>
            <w:tcW w:w="992" w:type="dxa"/>
            <w:vAlign w:val="bottom"/>
          </w:tcPr>
          <w:p w:rsidR="005A138F" w:rsidRPr="00330DD3" w:rsidRDefault="005A138F" w:rsidP="00774819">
            <w:pPr>
              <w:rPr>
                <w:i/>
                <w:color w:val="000000"/>
                <w:sz w:val="16"/>
                <w:szCs w:val="16"/>
              </w:rPr>
            </w:pPr>
            <w:r w:rsidRPr="00330DD3">
              <w:rPr>
                <w:i/>
                <w:color w:val="000000"/>
                <w:sz w:val="16"/>
                <w:szCs w:val="16"/>
              </w:rPr>
              <w:t>0.1096</w:t>
            </w:r>
          </w:p>
        </w:tc>
        <w:tc>
          <w:tcPr>
            <w:tcW w:w="993" w:type="dxa"/>
            <w:vAlign w:val="bottom"/>
          </w:tcPr>
          <w:p w:rsidR="005A138F" w:rsidRPr="00330DD3" w:rsidRDefault="005A138F">
            <w:pPr>
              <w:jc w:val="right"/>
              <w:rPr>
                <w:i/>
                <w:color w:val="000000"/>
                <w:sz w:val="16"/>
                <w:szCs w:val="16"/>
              </w:rPr>
            </w:pPr>
            <w:r w:rsidRPr="00330DD3">
              <w:rPr>
                <w:i/>
                <w:color w:val="000000"/>
                <w:sz w:val="16"/>
                <w:szCs w:val="16"/>
              </w:rPr>
              <w:t>-0.0054</w:t>
            </w:r>
          </w:p>
        </w:tc>
        <w:tc>
          <w:tcPr>
            <w:tcW w:w="992" w:type="dxa"/>
            <w:vAlign w:val="bottom"/>
          </w:tcPr>
          <w:p w:rsidR="005A138F" w:rsidRPr="00330DD3" w:rsidRDefault="005A138F" w:rsidP="005A138F">
            <w:pPr>
              <w:rPr>
                <w:i/>
                <w:color w:val="000000"/>
                <w:sz w:val="16"/>
                <w:szCs w:val="16"/>
              </w:rPr>
            </w:pPr>
            <w:r w:rsidRPr="00330DD3">
              <w:rPr>
                <w:i/>
                <w:color w:val="000000"/>
                <w:sz w:val="16"/>
                <w:szCs w:val="16"/>
              </w:rPr>
              <w:t>0.0671</w:t>
            </w:r>
            <w:r w:rsidRPr="00330DD3">
              <w:rPr>
                <w:i/>
                <w:color w:val="000000"/>
                <w:sz w:val="16"/>
                <w:szCs w:val="16"/>
                <w:vertAlign w:val="superscript"/>
              </w:rPr>
              <w:t>*</w:t>
            </w:r>
          </w:p>
        </w:tc>
        <w:tc>
          <w:tcPr>
            <w:tcW w:w="973" w:type="dxa"/>
            <w:vAlign w:val="bottom"/>
          </w:tcPr>
          <w:p w:rsidR="005A138F" w:rsidRPr="00330DD3" w:rsidRDefault="005A138F">
            <w:pPr>
              <w:jc w:val="right"/>
              <w:rPr>
                <w:i/>
                <w:color w:val="000000"/>
                <w:sz w:val="16"/>
                <w:szCs w:val="16"/>
              </w:rPr>
            </w:pPr>
            <w:r w:rsidRPr="00330DD3">
              <w:rPr>
                <w:i/>
                <w:color w:val="000000"/>
                <w:sz w:val="16"/>
                <w:szCs w:val="16"/>
              </w:rPr>
              <w:t>-0.0045</w:t>
            </w:r>
          </w:p>
        </w:tc>
        <w:tc>
          <w:tcPr>
            <w:tcW w:w="950" w:type="dxa"/>
            <w:vAlign w:val="bottom"/>
          </w:tcPr>
          <w:p w:rsidR="005A138F" w:rsidRPr="00330DD3" w:rsidRDefault="005A138F" w:rsidP="005A138F">
            <w:pPr>
              <w:rPr>
                <w:i/>
                <w:color w:val="000000"/>
                <w:sz w:val="16"/>
                <w:szCs w:val="16"/>
              </w:rPr>
            </w:pPr>
            <w:r w:rsidRPr="00330DD3">
              <w:rPr>
                <w:i/>
                <w:color w:val="000000"/>
                <w:sz w:val="16"/>
                <w:szCs w:val="16"/>
              </w:rPr>
              <w:t>0.1238</w:t>
            </w:r>
          </w:p>
        </w:tc>
      </w:tr>
      <w:tr w:rsidR="005A138F" w:rsidRPr="00C15F52" w:rsidTr="005A138F">
        <w:trPr>
          <w:trHeight w:val="257"/>
          <w:jc w:val="center"/>
        </w:trPr>
        <w:tc>
          <w:tcPr>
            <w:tcW w:w="1704" w:type="dxa"/>
            <w:noWrap/>
            <w:vAlign w:val="bottom"/>
          </w:tcPr>
          <w:p w:rsidR="005A138F" w:rsidRPr="00330DD3" w:rsidRDefault="005A138F" w:rsidP="00DD5F1A">
            <w:pPr>
              <w:rPr>
                <w:rFonts w:eastAsiaTheme="minorEastAsia" w:cs="Times New Roman"/>
                <w:i/>
                <w:sz w:val="16"/>
                <w:szCs w:val="16"/>
              </w:rPr>
            </w:pPr>
            <w:r w:rsidRPr="00330DD3">
              <w:rPr>
                <w:rFonts w:cs="Times New Roman"/>
                <w:i/>
                <w:sz w:val="16"/>
                <w:szCs w:val="16"/>
              </w:rPr>
              <w:t xml:space="preserve">   ROA</w:t>
            </w:r>
          </w:p>
        </w:tc>
        <w:tc>
          <w:tcPr>
            <w:tcW w:w="1014" w:type="dxa"/>
            <w:noWrap/>
            <w:vAlign w:val="bottom"/>
          </w:tcPr>
          <w:p w:rsidR="005A138F" w:rsidRPr="00330DD3" w:rsidRDefault="005A138F">
            <w:pPr>
              <w:jc w:val="right"/>
              <w:rPr>
                <w:i/>
                <w:color w:val="000000"/>
                <w:sz w:val="16"/>
                <w:szCs w:val="16"/>
              </w:rPr>
            </w:pPr>
            <w:r w:rsidRPr="00330DD3">
              <w:rPr>
                <w:i/>
                <w:color w:val="000000"/>
                <w:sz w:val="16"/>
                <w:szCs w:val="16"/>
              </w:rPr>
              <w:t>0.4867</w:t>
            </w:r>
          </w:p>
        </w:tc>
        <w:tc>
          <w:tcPr>
            <w:tcW w:w="896" w:type="dxa"/>
            <w:noWrap/>
            <w:vAlign w:val="bottom"/>
          </w:tcPr>
          <w:p w:rsidR="005A138F" w:rsidRPr="00330DD3" w:rsidRDefault="005A138F" w:rsidP="00D365F1">
            <w:pPr>
              <w:rPr>
                <w:i/>
                <w:color w:val="000000"/>
                <w:sz w:val="16"/>
                <w:szCs w:val="16"/>
              </w:rPr>
            </w:pPr>
            <w:r w:rsidRPr="00330DD3">
              <w:rPr>
                <w:i/>
                <w:color w:val="000000"/>
                <w:sz w:val="16"/>
                <w:szCs w:val="16"/>
              </w:rPr>
              <w:t>0.0000</w:t>
            </w:r>
            <w:r w:rsidRPr="00330DD3">
              <w:rPr>
                <w:i/>
                <w:color w:val="000000"/>
                <w:sz w:val="16"/>
                <w:szCs w:val="16"/>
                <w:vertAlign w:val="superscript"/>
              </w:rPr>
              <w:t>***</w:t>
            </w:r>
          </w:p>
        </w:tc>
        <w:tc>
          <w:tcPr>
            <w:tcW w:w="790" w:type="dxa"/>
            <w:noWrap/>
            <w:vAlign w:val="bottom"/>
          </w:tcPr>
          <w:p w:rsidR="005A138F" w:rsidRPr="00330DD3" w:rsidRDefault="005A138F">
            <w:pPr>
              <w:jc w:val="right"/>
              <w:rPr>
                <w:rFonts w:ascii="Calibri" w:hAnsi="Calibri" w:cs="Calibri"/>
                <w:i/>
                <w:color w:val="000000"/>
                <w:sz w:val="16"/>
                <w:szCs w:val="16"/>
              </w:rPr>
            </w:pPr>
            <w:r w:rsidRPr="00330DD3">
              <w:rPr>
                <w:rFonts w:ascii="Calibri" w:hAnsi="Calibri" w:cs="Calibri"/>
                <w:i/>
                <w:color w:val="000000"/>
                <w:sz w:val="16"/>
                <w:szCs w:val="16"/>
              </w:rPr>
              <w:t>0.4806</w:t>
            </w:r>
          </w:p>
        </w:tc>
        <w:tc>
          <w:tcPr>
            <w:tcW w:w="896" w:type="dxa"/>
            <w:noWrap/>
            <w:vAlign w:val="bottom"/>
          </w:tcPr>
          <w:p w:rsidR="005A138F" w:rsidRPr="00330DD3" w:rsidRDefault="005A138F" w:rsidP="00F1660B">
            <w:pPr>
              <w:rPr>
                <w:i/>
                <w:color w:val="000000"/>
                <w:sz w:val="16"/>
                <w:szCs w:val="16"/>
              </w:rPr>
            </w:pPr>
            <w:r w:rsidRPr="00330DD3">
              <w:rPr>
                <w:i/>
                <w:color w:val="000000"/>
                <w:sz w:val="16"/>
                <w:szCs w:val="16"/>
              </w:rPr>
              <w:t>0.0000</w:t>
            </w:r>
            <w:r w:rsidRPr="00330DD3">
              <w:rPr>
                <w:i/>
                <w:color w:val="000000"/>
                <w:sz w:val="16"/>
                <w:szCs w:val="16"/>
                <w:vertAlign w:val="superscript"/>
              </w:rPr>
              <w:t>***</w:t>
            </w:r>
          </w:p>
        </w:tc>
        <w:tc>
          <w:tcPr>
            <w:tcW w:w="790" w:type="dxa"/>
            <w:noWrap/>
            <w:vAlign w:val="bottom"/>
          </w:tcPr>
          <w:p w:rsidR="005A138F" w:rsidRPr="00330DD3" w:rsidRDefault="005A138F">
            <w:pPr>
              <w:jc w:val="right"/>
              <w:rPr>
                <w:i/>
                <w:color w:val="000000"/>
                <w:sz w:val="16"/>
                <w:szCs w:val="16"/>
              </w:rPr>
            </w:pPr>
            <w:r w:rsidRPr="00330DD3">
              <w:rPr>
                <w:i/>
                <w:color w:val="000000"/>
                <w:sz w:val="16"/>
                <w:szCs w:val="16"/>
              </w:rPr>
              <w:t>0.4813</w:t>
            </w:r>
          </w:p>
        </w:tc>
        <w:tc>
          <w:tcPr>
            <w:tcW w:w="981" w:type="dxa"/>
            <w:vAlign w:val="bottom"/>
          </w:tcPr>
          <w:p w:rsidR="005A138F" w:rsidRPr="00330DD3" w:rsidRDefault="005A138F" w:rsidP="00DD5F1A">
            <w:pPr>
              <w:rPr>
                <w:i/>
                <w:color w:val="000000"/>
                <w:sz w:val="16"/>
                <w:szCs w:val="16"/>
              </w:rPr>
            </w:pPr>
            <w:r w:rsidRPr="00330DD3">
              <w:rPr>
                <w:i/>
                <w:color w:val="000000"/>
                <w:sz w:val="16"/>
                <w:szCs w:val="16"/>
              </w:rPr>
              <w:t>0.0000</w:t>
            </w:r>
            <w:r w:rsidRPr="00330DD3">
              <w:rPr>
                <w:i/>
                <w:color w:val="000000"/>
                <w:sz w:val="16"/>
                <w:szCs w:val="16"/>
                <w:vertAlign w:val="superscript"/>
              </w:rPr>
              <w:t>***</w:t>
            </w:r>
          </w:p>
        </w:tc>
        <w:tc>
          <w:tcPr>
            <w:tcW w:w="850" w:type="dxa"/>
            <w:tcBorders>
              <w:left w:val="nil"/>
            </w:tcBorders>
            <w:vAlign w:val="bottom"/>
          </w:tcPr>
          <w:p w:rsidR="005A138F" w:rsidRPr="00330DD3" w:rsidRDefault="005A138F">
            <w:pPr>
              <w:jc w:val="right"/>
              <w:rPr>
                <w:i/>
                <w:color w:val="000000"/>
                <w:sz w:val="16"/>
                <w:szCs w:val="16"/>
              </w:rPr>
            </w:pPr>
            <w:r w:rsidRPr="00330DD3">
              <w:rPr>
                <w:i/>
                <w:color w:val="000000"/>
                <w:sz w:val="16"/>
                <w:szCs w:val="16"/>
              </w:rPr>
              <w:t>0.4879</w:t>
            </w:r>
          </w:p>
        </w:tc>
        <w:tc>
          <w:tcPr>
            <w:tcW w:w="891" w:type="dxa"/>
            <w:noWrap/>
            <w:vAlign w:val="bottom"/>
          </w:tcPr>
          <w:p w:rsidR="005A138F" w:rsidRPr="00330DD3" w:rsidRDefault="005A138F" w:rsidP="0033504B">
            <w:pPr>
              <w:rPr>
                <w:i/>
                <w:color w:val="000000"/>
                <w:sz w:val="16"/>
                <w:szCs w:val="16"/>
              </w:rPr>
            </w:pPr>
            <w:r w:rsidRPr="00330DD3">
              <w:rPr>
                <w:i/>
                <w:color w:val="000000"/>
                <w:sz w:val="16"/>
                <w:szCs w:val="16"/>
              </w:rPr>
              <w:t>0.0000</w:t>
            </w:r>
            <w:r w:rsidRPr="00330DD3">
              <w:rPr>
                <w:i/>
                <w:color w:val="000000"/>
                <w:sz w:val="16"/>
                <w:szCs w:val="16"/>
                <w:vertAlign w:val="superscript"/>
              </w:rPr>
              <w:t>***</w:t>
            </w:r>
          </w:p>
        </w:tc>
        <w:tc>
          <w:tcPr>
            <w:tcW w:w="790" w:type="dxa"/>
            <w:vAlign w:val="bottom"/>
          </w:tcPr>
          <w:p w:rsidR="005A138F" w:rsidRPr="00330DD3" w:rsidRDefault="005A138F">
            <w:pPr>
              <w:jc w:val="right"/>
              <w:rPr>
                <w:i/>
                <w:color w:val="000000"/>
                <w:sz w:val="16"/>
                <w:szCs w:val="16"/>
              </w:rPr>
            </w:pPr>
            <w:r w:rsidRPr="00330DD3">
              <w:rPr>
                <w:i/>
                <w:color w:val="000000"/>
                <w:sz w:val="16"/>
                <w:szCs w:val="16"/>
              </w:rPr>
              <w:t>0.4856</w:t>
            </w:r>
          </w:p>
        </w:tc>
        <w:tc>
          <w:tcPr>
            <w:tcW w:w="981" w:type="dxa"/>
            <w:vAlign w:val="bottom"/>
          </w:tcPr>
          <w:p w:rsidR="005A138F" w:rsidRPr="00330DD3" w:rsidRDefault="005A138F" w:rsidP="00A42766">
            <w:pPr>
              <w:rPr>
                <w:i/>
                <w:color w:val="000000"/>
                <w:sz w:val="16"/>
                <w:szCs w:val="16"/>
              </w:rPr>
            </w:pPr>
            <w:r w:rsidRPr="00330DD3">
              <w:rPr>
                <w:i/>
                <w:color w:val="000000"/>
                <w:sz w:val="16"/>
                <w:szCs w:val="16"/>
              </w:rPr>
              <w:t>0.0000</w:t>
            </w:r>
            <w:r w:rsidRPr="00330DD3">
              <w:rPr>
                <w:i/>
                <w:color w:val="000000"/>
                <w:sz w:val="16"/>
                <w:szCs w:val="16"/>
                <w:vertAlign w:val="superscript"/>
              </w:rPr>
              <w:t>***</w:t>
            </w:r>
          </w:p>
        </w:tc>
        <w:tc>
          <w:tcPr>
            <w:tcW w:w="850" w:type="dxa"/>
            <w:vAlign w:val="bottom"/>
          </w:tcPr>
          <w:p w:rsidR="005A138F" w:rsidRPr="00330DD3" w:rsidRDefault="005A138F">
            <w:pPr>
              <w:jc w:val="right"/>
              <w:rPr>
                <w:i/>
                <w:color w:val="000000"/>
                <w:sz w:val="16"/>
                <w:szCs w:val="16"/>
              </w:rPr>
            </w:pPr>
            <w:r w:rsidRPr="00330DD3">
              <w:rPr>
                <w:i/>
                <w:color w:val="000000"/>
                <w:sz w:val="16"/>
                <w:szCs w:val="16"/>
              </w:rPr>
              <w:t>0.4882</w:t>
            </w:r>
          </w:p>
        </w:tc>
        <w:tc>
          <w:tcPr>
            <w:tcW w:w="992" w:type="dxa"/>
            <w:vAlign w:val="bottom"/>
          </w:tcPr>
          <w:p w:rsidR="005A138F" w:rsidRPr="00330DD3" w:rsidRDefault="005A138F" w:rsidP="00774819">
            <w:pPr>
              <w:rPr>
                <w:i/>
                <w:color w:val="000000"/>
                <w:sz w:val="16"/>
                <w:szCs w:val="16"/>
              </w:rPr>
            </w:pPr>
            <w:r w:rsidRPr="00330DD3">
              <w:rPr>
                <w:i/>
                <w:color w:val="000000"/>
                <w:sz w:val="16"/>
                <w:szCs w:val="16"/>
              </w:rPr>
              <w:t>0.0000</w:t>
            </w:r>
            <w:r w:rsidRPr="00330DD3">
              <w:rPr>
                <w:i/>
                <w:color w:val="000000"/>
                <w:sz w:val="16"/>
                <w:szCs w:val="16"/>
                <w:vertAlign w:val="superscript"/>
              </w:rPr>
              <w:t>***</w:t>
            </w:r>
          </w:p>
        </w:tc>
        <w:tc>
          <w:tcPr>
            <w:tcW w:w="993" w:type="dxa"/>
            <w:vAlign w:val="bottom"/>
          </w:tcPr>
          <w:p w:rsidR="005A138F" w:rsidRPr="00330DD3" w:rsidRDefault="005A138F">
            <w:pPr>
              <w:jc w:val="right"/>
              <w:rPr>
                <w:i/>
                <w:color w:val="000000"/>
                <w:sz w:val="16"/>
                <w:szCs w:val="16"/>
              </w:rPr>
            </w:pPr>
            <w:r w:rsidRPr="00330DD3">
              <w:rPr>
                <w:i/>
                <w:color w:val="000000"/>
                <w:sz w:val="16"/>
                <w:szCs w:val="16"/>
              </w:rPr>
              <w:t>0.4848</w:t>
            </w:r>
          </w:p>
        </w:tc>
        <w:tc>
          <w:tcPr>
            <w:tcW w:w="992" w:type="dxa"/>
            <w:vAlign w:val="bottom"/>
          </w:tcPr>
          <w:p w:rsidR="005A138F" w:rsidRPr="00330DD3" w:rsidRDefault="005A138F" w:rsidP="005A138F">
            <w:pPr>
              <w:rPr>
                <w:i/>
                <w:color w:val="000000"/>
                <w:sz w:val="16"/>
                <w:szCs w:val="16"/>
              </w:rPr>
            </w:pPr>
            <w:r w:rsidRPr="00330DD3">
              <w:rPr>
                <w:i/>
                <w:color w:val="000000"/>
                <w:sz w:val="16"/>
                <w:szCs w:val="16"/>
              </w:rPr>
              <w:t>0.0000</w:t>
            </w:r>
            <w:r w:rsidRPr="00330DD3">
              <w:rPr>
                <w:i/>
                <w:color w:val="000000"/>
                <w:sz w:val="16"/>
                <w:szCs w:val="16"/>
                <w:vertAlign w:val="superscript"/>
              </w:rPr>
              <w:t>***</w:t>
            </w:r>
          </w:p>
        </w:tc>
        <w:tc>
          <w:tcPr>
            <w:tcW w:w="973" w:type="dxa"/>
            <w:vAlign w:val="bottom"/>
          </w:tcPr>
          <w:p w:rsidR="005A138F" w:rsidRPr="00330DD3" w:rsidRDefault="005A138F">
            <w:pPr>
              <w:jc w:val="right"/>
              <w:rPr>
                <w:i/>
                <w:color w:val="000000"/>
                <w:sz w:val="16"/>
                <w:szCs w:val="16"/>
              </w:rPr>
            </w:pPr>
            <w:r w:rsidRPr="00330DD3">
              <w:rPr>
                <w:i/>
                <w:color w:val="000000"/>
                <w:sz w:val="16"/>
                <w:szCs w:val="16"/>
              </w:rPr>
              <w:t>0.4891</w:t>
            </w:r>
          </w:p>
        </w:tc>
        <w:tc>
          <w:tcPr>
            <w:tcW w:w="950" w:type="dxa"/>
            <w:vAlign w:val="bottom"/>
          </w:tcPr>
          <w:p w:rsidR="005A138F" w:rsidRPr="00330DD3" w:rsidRDefault="005A138F" w:rsidP="005A138F">
            <w:pPr>
              <w:rPr>
                <w:i/>
                <w:color w:val="000000"/>
                <w:sz w:val="16"/>
                <w:szCs w:val="16"/>
              </w:rPr>
            </w:pPr>
            <w:r w:rsidRPr="00330DD3">
              <w:rPr>
                <w:i/>
                <w:color w:val="000000"/>
                <w:sz w:val="16"/>
                <w:szCs w:val="16"/>
              </w:rPr>
              <w:t>0.0000</w:t>
            </w:r>
            <w:r w:rsidR="00783DA1" w:rsidRPr="00330DD3">
              <w:rPr>
                <w:i/>
                <w:color w:val="000000"/>
                <w:sz w:val="16"/>
                <w:szCs w:val="16"/>
                <w:vertAlign w:val="superscript"/>
              </w:rPr>
              <w:t>***</w:t>
            </w:r>
          </w:p>
        </w:tc>
      </w:tr>
      <w:tr w:rsidR="005A138F" w:rsidRPr="00C15F52" w:rsidTr="005A138F">
        <w:trPr>
          <w:trHeight w:val="257"/>
          <w:jc w:val="center"/>
        </w:trPr>
        <w:tc>
          <w:tcPr>
            <w:tcW w:w="1704" w:type="dxa"/>
            <w:noWrap/>
            <w:vAlign w:val="bottom"/>
          </w:tcPr>
          <w:p w:rsidR="005A138F" w:rsidRPr="00330DD3" w:rsidRDefault="005A138F" w:rsidP="00DD5F1A">
            <w:pPr>
              <w:rPr>
                <w:rFonts w:eastAsiaTheme="minorEastAsia" w:cs="Times New Roman"/>
                <w:i/>
                <w:sz w:val="16"/>
                <w:szCs w:val="16"/>
              </w:rPr>
            </w:pPr>
            <w:r w:rsidRPr="00330DD3">
              <w:rPr>
                <w:rFonts w:cs="Times New Roman"/>
                <w:i/>
                <w:sz w:val="16"/>
                <w:szCs w:val="16"/>
              </w:rPr>
              <w:t xml:space="preserve">   GROWTH</w:t>
            </w:r>
          </w:p>
        </w:tc>
        <w:tc>
          <w:tcPr>
            <w:tcW w:w="1014" w:type="dxa"/>
            <w:noWrap/>
            <w:vAlign w:val="bottom"/>
          </w:tcPr>
          <w:p w:rsidR="005A138F" w:rsidRPr="00330DD3" w:rsidRDefault="005A138F">
            <w:pPr>
              <w:jc w:val="right"/>
              <w:rPr>
                <w:i/>
                <w:color w:val="000000"/>
                <w:sz w:val="16"/>
                <w:szCs w:val="16"/>
              </w:rPr>
            </w:pPr>
            <w:r w:rsidRPr="00330DD3">
              <w:rPr>
                <w:i/>
                <w:color w:val="000000"/>
                <w:sz w:val="16"/>
                <w:szCs w:val="16"/>
              </w:rPr>
              <w:t>0.0195</w:t>
            </w:r>
          </w:p>
        </w:tc>
        <w:tc>
          <w:tcPr>
            <w:tcW w:w="896" w:type="dxa"/>
            <w:noWrap/>
            <w:vAlign w:val="bottom"/>
          </w:tcPr>
          <w:p w:rsidR="005A138F" w:rsidRPr="00330DD3" w:rsidRDefault="005A138F" w:rsidP="00D365F1">
            <w:pPr>
              <w:rPr>
                <w:i/>
                <w:color w:val="000000"/>
                <w:sz w:val="16"/>
                <w:szCs w:val="16"/>
              </w:rPr>
            </w:pPr>
            <w:r w:rsidRPr="00330DD3">
              <w:rPr>
                <w:i/>
                <w:color w:val="000000"/>
                <w:sz w:val="16"/>
                <w:szCs w:val="16"/>
              </w:rPr>
              <w:t>0.0046</w:t>
            </w:r>
            <w:r w:rsidRPr="00330DD3">
              <w:rPr>
                <w:i/>
                <w:color w:val="000000"/>
                <w:sz w:val="16"/>
                <w:szCs w:val="16"/>
                <w:vertAlign w:val="superscript"/>
              </w:rPr>
              <w:t>***</w:t>
            </w:r>
          </w:p>
        </w:tc>
        <w:tc>
          <w:tcPr>
            <w:tcW w:w="790" w:type="dxa"/>
            <w:noWrap/>
            <w:vAlign w:val="bottom"/>
          </w:tcPr>
          <w:p w:rsidR="005A138F" w:rsidRPr="00330DD3" w:rsidRDefault="005A138F">
            <w:pPr>
              <w:jc w:val="right"/>
              <w:rPr>
                <w:rFonts w:ascii="Calibri" w:hAnsi="Calibri" w:cs="Calibri"/>
                <w:i/>
                <w:color w:val="000000"/>
                <w:sz w:val="16"/>
                <w:szCs w:val="16"/>
              </w:rPr>
            </w:pPr>
            <w:r w:rsidRPr="00330DD3">
              <w:rPr>
                <w:rFonts w:ascii="Calibri" w:hAnsi="Calibri" w:cs="Calibri"/>
                <w:i/>
                <w:color w:val="000000"/>
                <w:sz w:val="16"/>
                <w:szCs w:val="16"/>
              </w:rPr>
              <w:t>0.0190</w:t>
            </w:r>
          </w:p>
        </w:tc>
        <w:tc>
          <w:tcPr>
            <w:tcW w:w="896" w:type="dxa"/>
            <w:noWrap/>
            <w:vAlign w:val="bottom"/>
          </w:tcPr>
          <w:p w:rsidR="005A138F" w:rsidRPr="00330DD3" w:rsidRDefault="005A138F" w:rsidP="00F1660B">
            <w:pPr>
              <w:rPr>
                <w:i/>
                <w:color w:val="000000"/>
                <w:sz w:val="16"/>
                <w:szCs w:val="16"/>
              </w:rPr>
            </w:pPr>
            <w:r w:rsidRPr="00330DD3">
              <w:rPr>
                <w:i/>
                <w:color w:val="000000"/>
                <w:sz w:val="16"/>
                <w:szCs w:val="16"/>
              </w:rPr>
              <w:t>0.0057</w:t>
            </w:r>
            <w:r w:rsidRPr="00330DD3">
              <w:rPr>
                <w:i/>
                <w:color w:val="000000"/>
                <w:sz w:val="16"/>
                <w:szCs w:val="16"/>
                <w:vertAlign w:val="superscript"/>
              </w:rPr>
              <w:t>***</w:t>
            </w:r>
          </w:p>
        </w:tc>
        <w:tc>
          <w:tcPr>
            <w:tcW w:w="790" w:type="dxa"/>
            <w:noWrap/>
            <w:vAlign w:val="bottom"/>
          </w:tcPr>
          <w:p w:rsidR="005A138F" w:rsidRPr="00330DD3" w:rsidRDefault="005A138F">
            <w:pPr>
              <w:jc w:val="right"/>
              <w:rPr>
                <w:i/>
                <w:color w:val="000000"/>
                <w:sz w:val="16"/>
                <w:szCs w:val="16"/>
              </w:rPr>
            </w:pPr>
            <w:r w:rsidRPr="00330DD3">
              <w:rPr>
                <w:i/>
                <w:color w:val="000000"/>
                <w:sz w:val="16"/>
                <w:szCs w:val="16"/>
              </w:rPr>
              <w:t>0.0188</w:t>
            </w:r>
          </w:p>
        </w:tc>
        <w:tc>
          <w:tcPr>
            <w:tcW w:w="981" w:type="dxa"/>
            <w:vAlign w:val="bottom"/>
          </w:tcPr>
          <w:p w:rsidR="005A138F" w:rsidRPr="00330DD3" w:rsidRDefault="005A138F" w:rsidP="00DD5F1A">
            <w:pPr>
              <w:rPr>
                <w:i/>
                <w:color w:val="000000"/>
                <w:sz w:val="16"/>
                <w:szCs w:val="16"/>
              </w:rPr>
            </w:pPr>
            <w:r w:rsidRPr="00330DD3">
              <w:rPr>
                <w:i/>
                <w:color w:val="000000"/>
                <w:sz w:val="16"/>
                <w:szCs w:val="16"/>
              </w:rPr>
              <w:t>0.0066</w:t>
            </w:r>
            <w:r w:rsidRPr="00330DD3">
              <w:rPr>
                <w:i/>
                <w:color w:val="000000"/>
                <w:sz w:val="16"/>
                <w:szCs w:val="16"/>
                <w:vertAlign w:val="superscript"/>
              </w:rPr>
              <w:t>***</w:t>
            </w:r>
          </w:p>
        </w:tc>
        <w:tc>
          <w:tcPr>
            <w:tcW w:w="850" w:type="dxa"/>
            <w:tcBorders>
              <w:left w:val="nil"/>
            </w:tcBorders>
            <w:vAlign w:val="bottom"/>
          </w:tcPr>
          <w:p w:rsidR="005A138F" w:rsidRPr="00330DD3" w:rsidRDefault="005A138F">
            <w:pPr>
              <w:jc w:val="right"/>
              <w:rPr>
                <w:i/>
                <w:color w:val="000000"/>
                <w:sz w:val="16"/>
                <w:szCs w:val="16"/>
              </w:rPr>
            </w:pPr>
            <w:r w:rsidRPr="00330DD3">
              <w:rPr>
                <w:i/>
                <w:color w:val="000000"/>
                <w:sz w:val="16"/>
                <w:szCs w:val="16"/>
              </w:rPr>
              <w:t>0.0194</w:t>
            </w:r>
          </w:p>
        </w:tc>
        <w:tc>
          <w:tcPr>
            <w:tcW w:w="891" w:type="dxa"/>
            <w:noWrap/>
            <w:vAlign w:val="bottom"/>
          </w:tcPr>
          <w:p w:rsidR="005A138F" w:rsidRPr="00330DD3" w:rsidRDefault="005A138F" w:rsidP="0033504B">
            <w:pPr>
              <w:rPr>
                <w:i/>
                <w:color w:val="000000"/>
                <w:sz w:val="16"/>
                <w:szCs w:val="16"/>
              </w:rPr>
            </w:pPr>
            <w:r w:rsidRPr="00330DD3">
              <w:rPr>
                <w:i/>
                <w:color w:val="000000"/>
                <w:sz w:val="16"/>
                <w:szCs w:val="16"/>
              </w:rPr>
              <w:t>0.0052</w:t>
            </w:r>
            <w:r w:rsidRPr="00330DD3">
              <w:rPr>
                <w:i/>
                <w:color w:val="000000"/>
                <w:sz w:val="16"/>
                <w:szCs w:val="16"/>
                <w:vertAlign w:val="superscript"/>
              </w:rPr>
              <w:t>***</w:t>
            </w:r>
          </w:p>
        </w:tc>
        <w:tc>
          <w:tcPr>
            <w:tcW w:w="790" w:type="dxa"/>
            <w:vAlign w:val="bottom"/>
          </w:tcPr>
          <w:p w:rsidR="005A138F" w:rsidRPr="00330DD3" w:rsidRDefault="005A138F">
            <w:pPr>
              <w:jc w:val="right"/>
              <w:rPr>
                <w:i/>
                <w:color w:val="000000"/>
                <w:sz w:val="16"/>
                <w:szCs w:val="16"/>
              </w:rPr>
            </w:pPr>
            <w:r w:rsidRPr="00330DD3">
              <w:rPr>
                <w:i/>
                <w:color w:val="000000"/>
                <w:sz w:val="16"/>
                <w:szCs w:val="16"/>
              </w:rPr>
              <w:t>0.0194</w:t>
            </w:r>
          </w:p>
        </w:tc>
        <w:tc>
          <w:tcPr>
            <w:tcW w:w="981" w:type="dxa"/>
            <w:vAlign w:val="bottom"/>
          </w:tcPr>
          <w:p w:rsidR="005A138F" w:rsidRPr="00330DD3" w:rsidRDefault="005A138F" w:rsidP="00A42766">
            <w:pPr>
              <w:rPr>
                <w:i/>
                <w:color w:val="000000"/>
                <w:sz w:val="16"/>
                <w:szCs w:val="16"/>
              </w:rPr>
            </w:pPr>
            <w:r w:rsidRPr="00330DD3">
              <w:rPr>
                <w:i/>
                <w:color w:val="000000"/>
                <w:sz w:val="16"/>
                <w:szCs w:val="16"/>
              </w:rPr>
              <w:t>0.0047</w:t>
            </w:r>
            <w:r w:rsidRPr="00330DD3">
              <w:rPr>
                <w:i/>
                <w:color w:val="000000"/>
                <w:sz w:val="16"/>
                <w:szCs w:val="16"/>
                <w:vertAlign w:val="superscript"/>
              </w:rPr>
              <w:t>***</w:t>
            </w:r>
          </w:p>
        </w:tc>
        <w:tc>
          <w:tcPr>
            <w:tcW w:w="850" w:type="dxa"/>
            <w:vAlign w:val="bottom"/>
          </w:tcPr>
          <w:p w:rsidR="005A138F" w:rsidRPr="00330DD3" w:rsidRDefault="005A138F">
            <w:pPr>
              <w:jc w:val="right"/>
              <w:rPr>
                <w:i/>
                <w:color w:val="000000"/>
                <w:sz w:val="16"/>
                <w:szCs w:val="16"/>
              </w:rPr>
            </w:pPr>
            <w:r w:rsidRPr="00330DD3">
              <w:rPr>
                <w:i/>
                <w:color w:val="000000"/>
                <w:sz w:val="16"/>
                <w:szCs w:val="16"/>
              </w:rPr>
              <w:t>0.0193</w:t>
            </w:r>
          </w:p>
        </w:tc>
        <w:tc>
          <w:tcPr>
            <w:tcW w:w="992" w:type="dxa"/>
            <w:vAlign w:val="bottom"/>
          </w:tcPr>
          <w:p w:rsidR="005A138F" w:rsidRPr="00330DD3" w:rsidRDefault="005A138F" w:rsidP="00774819">
            <w:pPr>
              <w:rPr>
                <w:i/>
                <w:color w:val="000000"/>
                <w:sz w:val="16"/>
                <w:szCs w:val="16"/>
              </w:rPr>
            </w:pPr>
            <w:r w:rsidRPr="00330DD3">
              <w:rPr>
                <w:i/>
                <w:color w:val="000000"/>
                <w:sz w:val="16"/>
                <w:szCs w:val="16"/>
              </w:rPr>
              <w:t>0.0049</w:t>
            </w:r>
            <w:r w:rsidRPr="00330DD3">
              <w:rPr>
                <w:i/>
                <w:color w:val="000000"/>
                <w:sz w:val="16"/>
                <w:szCs w:val="16"/>
                <w:vertAlign w:val="superscript"/>
              </w:rPr>
              <w:t>***</w:t>
            </w:r>
          </w:p>
        </w:tc>
        <w:tc>
          <w:tcPr>
            <w:tcW w:w="993" w:type="dxa"/>
            <w:vAlign w:val="bottom"/>
          </w:tcPr>
          <w:p w:rsidR="005A138F" w:rsidRPr="00330DD3" w:rsidRDefault="005A138F">
            <w:pPr>
              <w:jc w:val="right"/>
              <w:rPr>
                <w:i/>
                <w:color w:val="000000"/>
                <w:sz w:val="16"/>
                <w:szCs w:val="16"/>
              </w:rPr>
            </w:pPr>
            <w:r w:rsidRPr="00330DD3">
              <w:rPr>
                <w:i/>
                <w:color w:val="000000"/>
                <w:sz w:val="16"/>
                <w:szCs w:val="16"/>
              </w:rPr>
              <w:t>0.0193</w:t>
            </w:r>
          </w:p>
        </w:tc>
        <w:tc>
          <w:tcPr>
            <w:tcW w:w="992" w:type="dxa"/>
            <w:vAlign w:val="bottom"/>
          </w:tcPr>
          <w:p w:rsidR="005A138F" w:rsidRPr="00330DD3" w:rsidRDefault="005A138F" w:rsidP="005A138F">
            <w:pPr>
              <w:rPr>
                <w:i/>
                <w:color w:val="000000"/>
                <w:sz w:val="16"/>
                <w:szCs w:val="16"/>
              </w:rPr>
            </w:pPr>
            <w:r w:rsidRPr="00330DD3">
              <w:rPr>
                <w:i/>
                <w:color w:val="000000"/>
                <w:sz w:val="16"/>
                <w:szCs w:val="16"/>
              </w:rPr>
              <w:t>0.0053</w:t>
            </w:r>
            <w:r w:rsidRPr="00330DD3">
              <w:rPr>
                <w:i/>
                <w:color w:val="000000"/>
                <w:sz w:val="16"/>
                <w:szCs w:val="16"/>
                <w:vertAlign w:val="superscript"/>
              </w:rPr>
              <w:t>***</w:t>
            </w:r>
          </w:p>
        </w:tc>
        <w:tc>
          <w:tcPr>
            <w:tcW w:w="973" w:type="dxa"/>
            <w:vAlign w:val="bottom"/>
          </w:tcPr>
          <w:p w:rsidR="005A138F" w:rsidRPr="00330DD3" w:rsidRDefault="005A138F">
            <w:pPr>
              <w:jc w:val="right"/>
              <w:rPr>
                <w:i/>
                <w:color w:val="000000"/>
                <w:sz w:val="16"/>
                <w:szCs w:val="16"/>
              </w:rPr>
            </w:pPr>
            <w:r w:rsidRPr="00330DD3">
              <w:rPr>
                <w:i/>
                <w:color w:val="000000"/>
                <w:sz w:val="16"/>
                <w:szCs w:val="16"/>
              </w:rPr>
              <w:t>0.0194</w:t>
            </w:r>
          </w:p>
        </w:tc>
        <w:tc>
          <w:tcPr>
            <w:tcW w:w="950" w:type="dxa"/>
            <w:vAlign w:val="bottom"/>
          </w:tcPr>
          <w:p w:rsidR="005A138F" w:rsidRPr="00330DD3" w:rsidRDefault="005A138F" w:rsidP="005A138F">
            <w:pPr>
              <w:rPr>
                <w:i/>
                <w:color w:val="000000"/>
                <w:sz w:val="16"/>
                <w:szCs w:val="16"/>
              </w:rPr>
            </w:pPr>
            <w:r w:rsidRPr="00330DD3">
              <w:rPr>
                <w:i/>
                <w:color w:val="000000"/>
                <w:sz w:val="16"/>
                <w:szCs w:val="16"/>
              </w:rPr>
              <w:t>0.0049</w:t>
            </w:r>
            <w:r w:rsidR="00783DA1" w:rsidRPr="00330DD3">
              <w:rPr>
                <w:i/>
                <w:color w:val="000000"/>
                <w:sz w:val="16"/>
                <w:szCs w:val="16"/>
                <w:vertAlign w:val="superscript"/>
              </w:rPr>
              <w:t>***</w:t>
            </w:r>
          </w:p>
        </w:tc>
      </w:tr>
      <w:tr w:rsidR="005A138F" w:rsidRPr="00C15F52" w:rsidTr="005A138F">
        <w:trPr>
          <w:trHeight w:val="257"/>
          <w:jc w:val="center"/>
        </w:trPr>
        <w:tc>
          <w:tcPr>
            <w:tcW w:w="1704" w:type="dxa"/>
            <w:noWrap/>
            <w:vAlign w:val="bottom"/>
          </w:tcPr>
          <w:p w:rsidR="005A138F" w:rsidRPr="00330DD3" w:rsidRDefault="005A138F" w:rsidP="00DD5F1A">
            <w:pPr>
              <w:rPr>
                <w:rFonts w:eastAsiaTheme="minorEastAsia" w:cs="Times New Roman"/>
                <w:i/>
                <w:sz w:val="16"/>
                <w:szCs w:val="16"/>
              </w:rPr>
            </w:pPr>
            <w:r w:rsidRPr="00330DD3">
              <w:rPr>
                <w:rFonts w:cs="Times New Roman"/>
                <w:i/>
                <w:sz w:val="16"/>
                <w:szCs w:val="16"/>
              </w:rPr>
              <w:t xml:space="preserve">   LVRG</w:t>
            </w:r>
          </w:p>
        </w:tc>
        <w:tc>
          <w:tcPr>
            <w:tcW w:w="1014" w:type="dxa"/>
            <w:noWrap/>
            <w:vAlign w:val="bottom"/>
          </w:tcPr>
          <w:p w:rsidR="005A138F" w:rsidRPr="00330DD3" w:rsidRDefault="005A138F">
            <w:pPr>
              <w:jc w:val="right"/>
              <w:rPr>
                <w:i/>
                <w:color w:val="000000"/>
                <w:sz w:val="16"/>
                <w:szCs w:val="16"/>
              </w:rPr>
            </w:pPr>
            <w:r w:rsidRPr="00330DD3">
              <w:rPr>
                <w:i/>
                <w:color w:val="000000"/>
                <w:sz w:val="16"/>
                <w:szCs w:val="16"/>
              </w:rPr>
              <w:t>0.0971</w:t>
            </w:r>
          </w:p>
        </w:tc>
        <w:tc>
          <w:tcPr>
            <w:tcW w:w="896" w:type="dxa"/>
            <w:noWrap/>
            <w:vAlign w:val="bottom"/>
          </w:tcPr>
          <w:p w:rsidR="005A138F" w:rsidRPr="00330DD3" w:rsidRDefault="005A138F" w:rsidP="00D365F1">
            <w:pPr>
              <w:rPr>
                <w:i/>
                <w:color w:val="000000"/>
                <w:sz w:val="16"/>
                <w:szCs w:val="16"/>
              </w:rPr>
            </w:pPr>
            <w:r w:rsidRPr="00330DD3">
              <w:rPr>
                <w:i/>
                <w:color w:val="000000"/>
                <w:sz w:val="16"/>
                <w:szCs w:val="16"/>
              </w:rPr>
              <w:t>0.0000</w:t>
            </w:r>
            <w:r w:rsidRPr="00330DD3">
              <w:rPr>
                <w:i/>
                <w:color w:val="000000"/>
                <w:sz w:val="16"/>
                <w:szCs w:val="16"/>
                <w:vertAlign w:val="superscript"/>
              </w:rPr>
              <w:t>***</w:t>
            </w:r>
          </w:p>
        </w:tc>
        <w:tc>
          <w:tcPr>
            <w:tcW w:w="790" w:type="dxa"/>
            <w:noWrap/>
            <w:vAlign w:val="bottom"/>
          </w:tcPr>
          <w:p w:rsidR="005A138F" w:rsidRPr="00330DD3" w:rsidRDefault="005A138F">
            <w:pPr>
              <w:jc w:val="right"/>
              <w:rPr>
                <w:rFonts w:ascii="Calibri" w:hAnsi="Calibri" w:cs="Calibri"/>
                <w:i/>
                <w:color w:val="000000"/>
                <w:sz w:val="16"/>
                <w:szCs w:val="16"/>
              </w:rPr>
            </w:pPr>
            <w:r w:rsidRPr="00330DD3">
              <w:rPr>
                <w:rFonts w:ascii="Calibri" w:hAnsi="Calibri" w:cs="Calibri"/>
                <w:i/>
                <w:color w:val="000000"/>
                <w:sz w:val="16"/>
                <w:szCs w:val="16"/>
              </w:rPr>
              <w:t>0.0887</w:t>
            </w:r>
          </w:p>
        </w:tc>
        <w:tc>
          <w:tcPr>
            <w:tcW w:w="896" w:type="dxa"/>
            <w:noWrap/>
            <w:vAlign w:val="bottom"/>
          </w:tcPr>
          <w:p w:rsidR="005A138F" w:rsidRPr="00330DD3" w:rsidRDefault="005A138F" w:rsidP="00F1660B">
            <w:pPr>
              <w:rPr>
                <w:i/>
                <w:color w:val="000000"/>
                <w:sz w:val="16"/>
                <w:szCs w:val="16"/>
              </w:rPr>
            </w:pPr>
            <w:r w:rsidRPr="00330DD3">
              <w:rPr>
                <w:i/>
                <w:color w:val="000000"/>
                <w:sz w:val="16"/>
                <w:szCs w:val="16"/>
              </w:rPr>
              <w:t>0.0000</w:t>
            </w:r>
            <w:r w:rsidRPr="00330DD3">
              <w:rPr>
                <w:i/>
                <w:color w:val="000000"/>
                <w:sz w:val="16"/>
                <w:szCs w:val="16"/>
                <w:vertAlign w:val="superscript"/>
              </w:rPr>
              <w:t>***</w:t>
            </w:r>
          </w:p>
        </w:tc>
        <w:tc>
          <w:tcPr>
            <w:tcW w:w="790" w:type="dxa"/>
            <w:noWrap/>
            <w:vAlign w:val="bottom"/>
          </w:tcPr>
          <w:p w:rsidR="005A138F" w:rsidRPr="00330DD3" w:rsidRDefault="005A138F">
            <w:pPr>
              <w:jc w:val="right"/>
              <w:rPr>
                <w:i/>
                <w:color w:val="000000"/>
                <w:sz w:val="16"/>
                <w:szCs w:val="16"/>
              </w:rPr>
            </w:pPr>
            <w:r w:rsidRPr="00330DD3">
              <w:rPr>
                <w:i/>
                <w:color w:val="000000"/>
                <w:sz w:val="16"/>
                <w:szCs w:val="16"/>
              </w:rPr>
              <w:t>0.0944</w:t>
            </w:r>
          </w:p>
        </w:tc>
        <w:tc>
          <w:tcPr>
            <w:tcW w:w="981" w:type="dxa"/>
            <w:vAlign w:val="bottom"/>
          </w:tcPr>
          <w:p w:rsidR="005A138F" w:rsidRPr="00330DD3" w:rsidRDefault="005A138F" w:rsidP="00DD5F1A">
            <w:pPr>
              <w:rPr>
                <w:i/>
                <w:color w:val="000000"/>
                <w:sz w:val="16"/>
                <w:szCs w:val="16"/>
              </w:rPr>
            </w:pPr>
            <w:r w:rsidRPr="00330DD3">
              <w:rPr>
                <w:i/>
                <w:color w:val="000000"/>
                <w:sz w:val="16"/>
                <w:szCs w:val="16"/>
              </w:rPr>
              <w:t>0.0000</w:t>
            </w:r>
            <w:r w:rsidRPr="00330DD3">
              <w:rPr>
                <w:i/>
                <w:color w:val="000000"/>
                <w:sz w:val="16"/>
                <w:szCs w:val="16"/>
                <w:vertAlign w:val="superscript"/>
              </w:rPr>
              <w:t>***</w:t>
            </w:r>
          </w:p>
        </w:tc>
        <w:tc>
          <w:tcPr>
            <w:tcW w:w="850" w:type="dxa"/>
            <w:tcBorders>
              <w:left w:val="nil"/>
            </w:tcBorders>
            <w:vAlign w:val="bottom"/>
          </w:tcPr>
          <w:p w:rsidR="005A138F" w:rsidRPr="00330DD3" w:rsidRDefault="005A138F">
            <w:pPr>
              <w:jc w:val="right"/>
              <w:rPr>
                <w:i/>
                <w:color w:val="000000"/>
                <w:sz w:val="16"/>
                <w:szCs w:val="16"/>
              </w:rPr>
            </w:pPr>
            <w:r w:rsidRPr="00330DD3">
              <w:rPr>
                <w:i/>
                <w:color w:val="000000"/>
                <w:sz w:val="16"/>
                <w:szCs w:val="16"/>
              </w:rPr>
              <w:t>0.0944</w:t>
            </w:r>
          </w:p>
        </w:tc>
        <w:tc>
          <w:tcPr>
            <w:tcW w:w="891" w:type="dxa"/>
            <w:noWrap/>
            <w:vAlign w:val="bottom"/>
          </w:tcPr>
          <w:p w:rsidR="005A138F" w:rsidRPr="00330DD3" w:rsidRDefault="005A138F" w:rsidP="0033504B">
            <w:pPr>
              <w:rPr>
                <w:i/>
                <w:color w:val="000000"/>
                <w:sz w:val="16"/>
                <w:szCs w:val="16"/>
              </w:rPr>
            </w:pPr>
            <w:r w:rsidRPr="00330DD3">
              <w:rPr>
                <w:i/>
                <w:color w:val="000000"/>
                <w:sz w:val="16"/>
                <w:szCs w:val="16"/>
              </w:rPr>
              <w:t>0.0000</w:t>
            </w:r>
            <w:r w:rsidRPr="00330DD3">
              <w:rPr>
                <w:i/>
                <w:color w:val="000000"/>
                <w:sz w:val="16"/>
                <w:szCs w:val="16"/>
                <w:vertAlign w:val="superscript"/>
              </w:rPr>
              <w:t>***</w:t>
            </w:r>
          </w:p>
        </w:tc>
        <w:tc>
          <w:tcPr>
            <w:tcW w:w="790" w:type="dxa"/>
            <w:vAlign w:val="bottom"/>
          </w:tcPr>
          <w:p w:rsidR="005A138F" w:rsidRPr="00330DD3" w:rsidRDefault="005A138F">
            <w:pPr>
              <w:jc w:val="right"/>
              <w:rPr>
                <w:i/>
                <w:color w:val="000000"/>
                <w:sz w:val="16"/>
                <w:szCs w:val="16"/>
              </w:rPr>
            </w:pPr>
            <w:r w:rsidRPr="00330DD3">
              <w:rPr>
                <w:i/>
                <w:color w:val="000000"/>
                <w:sz w:val="16"/>
                <w:szCs w:val="16"/>
              </w:rPr>
              <w:t>0.0974</w:t>
            </w:r>
          </w:p>
        </w:tc>
        <w:tc>
          <w:tcPr>
            <w:tcW w:w="981" w:type="dxa"/>
            <w:vAlign w:val="bottom"/>
          </w:tcPr>
          <w:p w:rsidR="005A138F" w:rsidRPr="00330DD3" w:rsidRDefault="005A138F" w:rsidP="00A42766">
            <w:pPr>
              <w:rPr>
                <w:i/>
                <w:color w:val="000000"/>
                <w:sz w:val="16"/>
                <w:szCs w:val="16"/>
              </w:rPr>
            </w:pPr>
            <w:r w:rsidRPr="00330DD3">
              <w:rPr>
                <w:i/>
                <w:color w:val="000000"/>
                <w:sz w:val="16"/>
                <w:szCs w:val="16"/>
              </w:rPr>
              <w:t>0.0000</w:t>
            </w:r>
            <w:r w:rsidRPr="00330DD3">
              <w:rPr>
                <w:i/>
                <w:color w:val="000000"/>
                <w:sz w:val="16"/>
                <w:szCs w:val="16"/>
                <w:vertAlign w:val="superscript"/>
              </w:rPr>
              <w:t>***</w:t>
            </w:r>
          </w:p>
        </w:tc>
        <w:tc>
          <w:tcPr>
            <w:tcW w:w="850" w:type="dxa"/>
            <w:vAlign w:val="bottom"/>
          </w:tcPr>
          <w:p w:rsidR="005A138F" w:rsidRPr="00330DD3" w:rsidRDefault="005A138F">
            <w:pPr>
              <w:jc w:val="right"/>
              <w:rPr>
                <w:i/>
                <w:color w:val="000000"/>
                <w:sz w:val="16"/>
                <w:szCs w:val="16"/>
              </w:rPr>
            </w:pPr>
            <w:r w:rsidRPr="00330DD3">
              <w:rPr>
                <w:i/>
                <w:color w:val="000000"/>
                <w:sz w:val="16"/>
                <w:szCs w:val="16"/>
              </w:rPr>
              <w:t>0.0966</w:t>
            </w:r>
          </w:p>
        </w:tc>
        <w:tc>
          <w:tcPr>
            <w:tcW w:w="992" w:type="dxa"/>
            <w:vAlign w:val="bottom"/>
          </w:tcPr>
          <w:p w:rsidR="005A138F" w:rsidRPr="00330DD3" w:rsidRDefault="005A138F" w:rsidP="00774819">
            <w:pPr>
              <w:rPr>
                <w:i/>
                <w:color w:val="000000"/>
                <w:sz w:val="16"/>
                <w:szCs w:val="16"/>
              </w:rPr>
            </w:pPr>
            <w:r w:rsidRPr="00330DD3">
              <w:rPr>
                <w:i/>
                <w:color w:val="000000"/>
                <w:sz w:val="16"/>
                <w:szCs w:val="16"/>
              </w:rPr>
              <w:t>0.0000</w:t>
            </w:r>
            <w:r w:rsidRPr="00330DD3">
              <w:rPr>
                <w:i/>
                <w:color w:val="000000"/>
                <w:sz w:val="16"/>
                <w:szCs w:val="16"/>
                <w:vertAlign w:val="superscript"/>
              </w:rPr>
              <w:t>***</w:t>
            </w:r>
          </w:p>
        </w:tc>
        <w:tc>
          <w:tcPr>
            <w:tcW w:w="993" w:type="dxa"/>
            <w:vAlign w:val="bottom"/>
          </w:tcPr>
          <w:p w:rsidR="005A138F" w:rsidRPr="00330DD3" w:rsidRDefault="005A138F">
            <w:pPr>
              <w:jc w:val="right"/>
              <w:rPr>
                <w:i/>
                <w:color w:val="000000"/>
                <w:sz w:val="16"/>
                <w:szCs w:val="16"/>
              </w:rPr>
            </w:pPr>
            <w:r w:rsidRPr="00330DD3">
              <w:rPr>
                <w:i/>
                <w:color w:val="000000"/>
                <w:sz w:val="16"/>
                <w:szCs w:val="16"/>
              </w:rPr>
              <w:t>0.0994</w:t>
            </w:r>
          </w:p>
        </w:tc>
        <w:tc>
          <w:tcPr>
            <w:tcW w:w="992" w:type="dxa"/>
            <w:vAlign w:val="bottom"/>
          </w:tcPr>
          <w:p w:rsidR="005A138F" w:rsidRPr="00330DD3" w:rsidRDefault="005A138F" w:rsidP="005A138F">
            <w:pPr>
              <w:rPr>
                <w:i/>
                <w:color w:val="000000"/>
                <w:sz w:val="16"/>
                <w:szCs w:val="16"/>
              </w:rPr>
            </w:pPr>
            <w:r w:rsidRPr="00330DD3">
              <w:rPr>
                <w:i/>
                <w:color w:val="000000"/>
                <w:sz w:val="16"/>
                <w:szCs w:val="16"/>
              </w:rPr>
              <w:t>0.0000</w:t>
            </w:r>
            <w:r w:rsidRPr="00330DD3">
              <w:rPr>
                <w:i/>
                <w:color w:val="000000"/>
                <w:sz w:val="16"/>
                <w:szCs w:val="16"/>
                <w:vertAlign w:val="superscript"/>
              </w:rPr>
              <w:t>***</w:t>
            </w:r>
          </w:p>
        </w:tc>
        <w:tc>
          <w:tcPr>
            <w:tcW w:w="973" w:type="dxa"/>
            <w:vAlign w:val="bottom"/>
          </w:tcPr>
          <w:p w:rsidR="005A138F" w:rsidRPr="00330DD3" w:rsidRDefault="005A138F">
            <w:pPr>
              <w:jc w:val="right"/>
              <w:rPr>
                <w:i/>
                <w:color w:val="000000"/>
                <w:sz w:val="16"/>
                <w:szCs w:val="16"/>
              </w:rPr>
            </w:pPr>
            <w:r w:rsidRPr="00330DD3">
              <w:rPr>
                <w:i/>
                <w:color w:val="000000"/>
                <w:sz w:val="16"/>
                <w:szCs w:val="16"/>
              </w:rPr>
              <w:t>0.0976</w:t>
            </w:r>
          </w:p>
        </w:tc>
        <w:tc>
          <w:tcPr>
            <w:tcW w:w="950" w:type="dxa"/>
            <w:vAlign w:val="bottom"/>
          </w:tcPr>
          <w:p w:rsidR="005A138F" w:rsidRPr="00330DD3" w:rsidRDefault="005A138F" w:rsidP="005A138F">
            <w:pPr>
              <w:rPr>
                <w:i/>
                <w:color w:val="000000"/>
                <w:sz w:val="16"/>
                <w:szCs w:val="16"/>
              </w:rPr>
            </w:pPr>
            <w:r w:rsidRPr="00330DD3">
              <w:rPr>
                <w:i/>
                <w:color w:val="000000"/>
                <w:sz w:val="16"/>
                <w:szCs w:val="16"/>
              </w:rPr>
              <w:t>0.0000</w:t>
            </w:r>
            <w:r w:rsidR="00783DA1" w:rsidRPr="00330DD3">
              <w:rPr>
                <w:i/>
                <w:color w:val="000000"/>
                <w:sz w:val="16"/>
                <w:szCs w:val="16"/>
                <w:vertAlign w:val="superscript"/>
              </w:rPr>
              <w:t>***</w:t>
            </w:r>
          </w:p>
        </w:tc>
      </w:tr>
      <w:tr w:rsidR="005A138F" w:rsidRPr="00C15F52" w:rsidTr="00DD5F1A">
        <w:trPr>
          <w:trHeight w:val="187"/>
          <w:jc w:val="center"/>
        </w:trPr>
        <w:tc>
          <w:tcPr>
            <w:tcW w:w="1704" w:type="dxa"/>
            <w:noWrap/>
          </w:tcPr>
          <w:p w:rsidR="005A138F" w:rsidRPr="00330DD3" w:rsidRDefault="005A138F" w:rsidP="00E04DA5">
            <w:pPr>
              <w:rPr>
                <w:rFonts w:cs="Times New Roman"/>
                <w:i/>
                <w:color w:val="000000"/>
                <w:sz w:val="16"/>
                <w:szCs w:val="16"/>
                <w:lang w:eastAsia="en-GB"/>
              </w:rPr>
            </w:pPr>
            <w:r w:rsidRPr="00330DD3">
              <w:rPr>
                <w:rFonts w:cs="Times New Roman"/>
                <w:i/>
                <w:color w:val="000000"/>
                <w:sz w:val="16"/>
                <w:szCs w:val="16"/>
                <w:lang w:eastAsia="en-GB"/>
              </w:rPr>
              <w:t xml:space="preserve">   Industry dummies</w:t>
            </w:r>
          </w:p>
        </w:tc>
        <w:tc>
          <w:tcPr>
            <w:tcW w:w="1910" w:type="dxa"/>
            <w:gridSpan w:val="2"/>
            <w:noWrap/>
            <w:vAlign w:val="center"/>
          </w:tcPr>
          <w:p w:rsidR="005A138F" w:rsidRPr="00330DD3" w:rsidRDefault="005A138F" w:rsidP="00E04DA5">
            <w:pPr>
              <w:jc w:val="center"/>
              <w:rPr>
                <w:rFonts w:cs="Times New Roman"/>
                <w:i/>
                <w:color w:val="000000"/>
                <w:sz w:val="16"/>
                <w:szCs w:val="16"/>
                <w:lang w:eastAsia="en-GB"/>
              </w:rPr>
            </w:pPr>
            <w:r w:rsidRPr="00330DD3">
              <w:rPr>
                <w:rFonts w:cs="Times New Roman"/>
                <w:i/>
                <w:color w:val="000000"/>
                <w:sz w:val="16"/>
                <w:szCs w:val="16"/>
                <w:lang w:eastAsia="en-GB"/>
              </w:rPr>
              <w:t xml:space="preserve"> Included</w:t>
            </w:r>
          </w:p>
        </w:tc>
        <w:tc>
          <w:tcPr>
            <w:tcW w:w="1686" w:type="dxa"/>
            <w:gridSpan w:val="2"/>
            <w:noWrap/>
            <w:vAlign w:val="center"/>
          </w:tcPr>
          <w:p w:rsidR="005A138F" w:rsidRPr="00330DD3" w:rsidRDefault="005A138F" w:rsidP="00E04DA5">
            <w:pPr>
              <w:jc w:val="center"/>
              <w:rPr>
                <w:rFonts w:cs="Times New Roman"/>
                <w:i/>
                <w:color w:val="000000"/>
                <w:sz w:val="16"/>
                <w:szCs w:val="16"/>
                <w:lang w:eastAsia="en-GB"/>
              </w:rPr>
            </w:pPr>
            <w:r w:rsidRPr="00330DD3">
              <w:rPr>
                <w:rFonts w:cs="Times New Roman"/>
                <w:i/>
                <w:color w:val="000000"/>
                <w:sz w:val="16"/>
                <w:szCs w:val="16"/>
                <w:lang w:eastAsia="en-GB"/>
              </w:rPr>
              <w:t xml:space="preserve"> Included</w:t>
            </w:r>
          </w:p>
        </w:tc>
        <w:tc>
          <w:tcPr>
            <w:tcW w:w="1771" w:type="dxa"/>
            <w:gridSpan w:val="2"/>
            <w:noWrap/>
            <w:vAlign w:val="center"/>
          </w:tcPr>
          <w:p w:rsidR="005A138F" w:rsidRPr="00330DD3" w:rsidRDefault="005A138F" w:rsidP="00E04DA5">
            <w:pPr>
              <w:jc w:val="center"/>
              <w:rPr>
                <w:rFonts w:cs="Times New Roman"/>
                <w:i/>
                <w:color w:val="000000"/>
                <w:sz w:val="16"/>
                <w:szCs w:val="16"/>
                <w:lang w:eastAsia="en-GB"/>
              </w:rPr>
            </w:pPr>
            <w:r w:rsidRPr="00330DD3">
              <w:rPr>
                <w:rFonts w:cs="Times New Roman"/>
                <w:i/>
                <w:color w:val="000000"/>
                <w:sz w:val="16"/>
                <w:szCs w:val="16"/>
                <w:lang w:eastAsia="en-GB"/>
              </w:rPr>
              <w:t xml:space="preserve"> Included</w:t>
            </w:r>
          </w:p>
        </w:tc>
        <w:tc>
          <w:tcPr>
            <w:tcW w:w="1741" w:type="dxa"/>
            <w:gridSpan w:val="2"/>
            <w:vAlign w:val="center"/>
          </w:tcPr>
          <w:p w:rsidR="005A138F" w:rsidRPr="00330DD3" w:rsidRDefault="005A138F" w:rsidP="00E04DA5">
            <w:pPr>
              <w:jc w:val="center"/>
              <w:rPr>
                <w:rFonts w:cs="Times New Roman"/>
                <w:i/>
                <w:color w:val="000000"/>
                <w:sz w:val="16"/>
                <w:szCs w:val="16"/>
              </w:rPr>
            </w:pPr>
            <w:r w:rsidRPr="00330DD3">
              <w:rPr>
                <w:rFonts w:cs="Times New Roman"/>
                <w:i/>
                <w:color w:val="000000"/>
                <w:sz w:val="16"/>
                <w:szCs w:val="16"/>
                <w:lang w:eastAsia="en-GB"/>
              </w:rPr>
              <w:t>Included</w:t>
            </w:r>
          </w:p>
        </w:tc>
        <w:tc>
          <w:tcPr>
            <w:tcW w:w="1771" w:type="dxa"/>
            <w:gridSpan w:val="2"/>
            <w:vAlign w:val="center"/>
          </w:tcPr>
          <w:p w:rsidR="005A138F" w:rsidRPr="00330DD3" w:rsidRDefault="005A138F" w:rsidP="00E04DA5">
            <w:pPr>
              <w:jc w:val="center"/>
              <w:rPr>
                <w:rFonts w:cs="Times New Roman"/>
                <w:i/>
                <w:color w:val="000000"/>
                <w:sz w:val="16"/>
                <w:szCs w:val="16"/>
              </w:rPr>
            </w:pPr>
            <w:r w:rsidRPr="00330DD3">
              <w:rPr>
                <w:rFonts w:cs="Times New Roman"/>
                <w:i/>
                <w:color w:val="000000"/>
                <w:sz w:val="16"/>
                <w:szCs w:val="16"/>
                <w:lang w:eastAsia="en-GB"/>
              </w:rPr>
              <w:t>Included</w:t>
            </w:r>
          </w:p>
        </w:tc>
        <w:tc>
          <w:tcPr>
            <w:tcW w:w="1842" w:type="dxa"/>
            <w:gridSpan w:val="2"/>
          </w:tcPr>
          <w:p w:rsidR="005A138F" w:rsidRPr="00330DD3" w:rsidRDefault="005A138F" w:rsidP="00E04DA5">
            <w:pPr>
              <w:jc w:val="center"/>
              <w:rPr>
                <w:rFonts w:cs="Times New Roman"/>
                <w:i/>
                <w:color w:val="000000"/>
                <w:sz w:val="16"/>
                <w:szCs w:val="16"/>
              </w:rPr>
            </w:pPr>
            <w:r w:rsidRPr="00330DD3">
              <w:rPr>
                <w:rFonts w:cs="Times New Roman"/>
                <w:i/>
                <w:color w:val="000000"/>
                <w:sz w:val="16"/>
                <w:szCs w:val="16"/>
                <w:lang w:eastAsia="en-GB"/>
              </w:rPr>
              <w:t>Included</w:t>
            </w:r>
          </w:p>
        </w:tc>
        <w:tc>
          <w:tcPr>
            <w:tcW w:w="1985" w:type="dxa"/>
            <w:gridSpan w:val="2"/>
          </w:tcPr>
          <w:p w:rsidR="005A138F" w:rsidRPr="00330DD3" w:rsidRDefault="005A138F" w:rsidP="00E04DA5">
            <w:pPr>
              <w:jc w:val="center"/>
              <w:rPr>
                <w:rFonts w:cs="Times New Roman"/>
                <w:i/>
                <w:color w:val="000000"/>
                <w:sz w:val="16"/>
                <w:szCs w:val="16"/>
              </w:rPr>
            </w:pPr>
            <w:r w:rsidRPr="00330DD3">
              <w:rPr>
                <w:rFonts w:cs="Times New Roman"/>
                <w:i/>
                <w:color w:val="000000"/>
                <w:sz w:val="16"/>
                <w:szCs w:val="16"/>
                <w:lang w:eastAsia="en-GB"/>
              </w:rPr>
              <w:t>Included</w:t>
            </w:r>
          </w:p>
        </w:tc>
        <w:tc>
          <w:tcPr>
            <w:tcW w:w="1923" w:type="dxa"/>
            <w:gridSpan w:val="2"/>
          </w:tcPr>
          <w:p w:rsidR="005A138F" w:rsidRPr="00330DD3" w:rsidRDefault="005A138F" w:rsidP="00E04DA5">
            <w:pPr>
              <w:jc w:val="center"/>
              <w:rPr>
                <w:rFonts w:cs="Times New Roman"/>
                <w:i/>
                <w:color w:val="000000"/>
                <w:sz w:val="16"/>
                <w:szCs w:val="16"/>
              </w:rPr>
            </w:pPr>
            <w:r w:rsidRPr="00330DD3">
              <w:rPr>
                <w:rFonts w:cs="Times New Roman"/>
                <w:i/>
                <w:color w:val="000000"/>
                <w:sz w:val="16"/>
                <w:szCs w:val="16"/>
                <w:lang w:eastAsia="en-GB"/>
              </w:rPr>
              <w:t>Included</w:t>
            </w:r>
          </w:p>
        </w:tc>
      </w:tr>
      <w:tr w:rsidR="005A138F" w:rsidRPr="00C15F52" w:rsidTr="00F1660B">
        <w:trPr>
          <w:trHeight w:val="207"/>
          <w:jc w:val="center"/>
        </w:trPr>
        <w:tc>
          <w:tcPr>
            <w:tcW w:w="1704" w:type="dxa"/>
            <w:noWrap/>
          </w:tcPr>
          <w:p w:rsidR="005A138F" w:rsidRPr="00330DD3" w:rsidRDefault="005A138F" w:rsidP="00E04DA5">
            <w:pPr>
              <w:rPr>
                <w:rFonts w:cs="Times New Roman"/>
                <w:i/>
                <w:color w:val="000000"/>
                <w:sz w:val="16"/>
                <w:szCs w:val="16"/>
                <w:lang w:eastAsia="en-GB"/>
              </w:rPr>
            </w:pPr>
            <w:r w:rsidRPr="00330DD3">
              <w:rPr>
                <w:rFonts w:cs="Times New Roman"/>
                <w:i/>
                <w:color w:val="000000"/>
                <w:sz w:val="16"/>
                <w:szCs w:val="16"/>
                <w:lang w:eastAsia="en-GB"/>
              </w:rPr>
              <w:t xml:space="preserve">  Year dummies</w:t>
            </w:r>
          </w:p>
        </w:tc>
        <w:tc>
          <w:tcPr>
            <w:tcW w:w="1910" w:type="dxa"/>
            <w:gridSpan w:val="2"/>
            <w:noWrap/>
            <w:vAlign w:val="center"/>
          </w:tcPr>
          <w:p w:rsidR="005A138F" w:rsidRPr="00330DD3" w:rsidRDefault="005A138F" w:rsidP="00E04DA5">
            <w:pPr>
              <w:jc w:val="center"/>
              <w:rPr>
                <w:rFonts w:cs="Times New Roman"/>
                <w:i/>
                <w:color w:val="000000"/>
                <w:sz w:val="16"/>
                <w:szCs w:val="16"/>
                <w:lang w:eastAsia="en-GB"/>
              </w:rPr>
            </w:pPr>
            <w:r w:rsidRPr="00330DD3">
              <w:rPr>
                <w:rFonts w:cs="Times New Roman"/>
                <w:i/>
                <w:color w:val="000000"/>
                <w:sz w:val="16"/>
                <w:szCs w:val="16"/>
                <w:lang w:eastAsia="en-GB"/>
              </w:rPr>
              <w:t xml:space="preserve"> Included</w:t>
            </w:r>
          </w:p>
        </w:tc>
        <w:tc>
          <w:tcPr>
            <w:tcW w:w="1686" w:type="dxa"/>
            <w:gridSpan w:val="2"/>
            <w:noWrap/>
            <w:vAlign w:val="center"/>
          </w:tcPr>
          <w:p w:rsidR="005A138F" w:rsidRPr="00330DD3" w:rsidRDefault="005A138F" w:rsidP="00E04DA5">
            <w:pPr>
              <w:jc w:val="center"/>
              <w:rPr>
                <w:rFonts w:cs="Times New Roman"/>
                <w:i/>
                <w:color w:val="000000"/>
                <w:sz w:val="16"/>
                <w:szCs w:val="16"/>
                <w:lang w:eastAsia="en-GB"/>
              </w:rPr>
            </w:pPr>
            <w:r w:rsidRPr="00330DD3">
              <w:rPr>
                <w:rFonts w:cs="Times New Roman"/>
                <w:i/>
                <w:color w:val="000000"/>
                <w:sz w:val="16"/>
                <w:szCs w:val="16"/>
                <w:lang w:eastAsia="en-GB"/>
              </w:rPr>
              <w:t xml:space="preserve"> Included</w:t>
            </w:r>
          </w:p>
        </w:tc>
        <w:tc>
          <w:tcPr>
            <w:tcW w:w="1771" w:type="dxa"/>
            <w:gridSpan w:val="2"/>
            <w:noWrap/>
            <w:vAlign w:val="center"/>
          </w:tcPr>
          <w:p w:rsidR="005A138F" w:rsidRPr="00330DD3" w:rsidRDefault="005A138F" w:rsidP="00E04DA5">
            <w:pPr>
              <w:jc w:val="center"/>
              <w:rPr>
                <w:rFonts w:cs="Times New Roman"/>
                <w:i/>
                <w:color w:val="000000"/>
                <w:sz w:val="16"/>
                <w:szCs w:val="16"/>
                <w:lang w:eastAsia="en-GB"/>
              </w:rPr>
            </w:pPr>
            <w:r w:rsidRPr="00330DD3">
              <w:rPr>
                <w:rFonts w:cs="Times New Roman"/>
                <w:i/>
                <w:color w:val="000000"/>
                <w:sz w:val="16"/>
                <w:szCs w:val="16"/>
                <w:lang w:eastAsia="en-GB"/>
              </w:rPr>
              <w:t xml:space="preserve"> Included</w:t>
            </w:r>
          </w:p>
        </w:tc>
        <w:tc>
          <w:tcPr>
            <w:tcW w:w="1741" w:type="dxa"/>
            <w:gridSpan w:val="2"/>
            <w:vAlign w:val="center"/>
          </w:tcPr>
          <w:p w:rsidR="005A138F" w:rsidRPr="00330DD3" w:rsidRDefault="005A138F" w:rsidP="00E04DA5">
            <w:pPr>
              <w:jc w:val="center"/>
              <w:rPr>
                <w:rFonts w:cs="Times New Roman"/>
                <w:i/>
                <w:color w:val="000000"/>
                <w:sz w:val="16"/>
                <w:szCs w:val="16"/>
                <w:lang w:eastAsia="en-GB"/>
              </w:rPr>
            </w:pPr>
            <w:r w:rsidRPr="00330DD3">
              <w:rPr>
                <w:rFonts w:cs="Times New Roman"/>
                <w:i/>
                <w:color w:val="000000"/>
                <w:sz w:val="16"/>
                <w:szCs w:val="16"/>
                <w:lang w:eastAsia="en-GB"/>
              </w:rPr>
              <w:t>Included</w:t>
            </w:r>
          </w:p>
        </w:tc>
        <w:tc>
          <w:tcPr>
            <w:tcW w:w="1771" w:type="dxa"/>
            <w:gridSpan w:val="2"/>
            <w:vAlign w:val="center"/>
          </w:tcPr>
          <w:p w:rsidR="005A138F" w:rsidRPr="00330DD3" w:rsidRDefault="005A138F" w:rsidP="00E04DA5">
            <w:pPr>
              <w:jc w:val="center"/>
              <w:rPr>
                <w:rFonts w:cs="Times New Roman"/>
                <w:i/>
                <w:color w:val="000000"/>
                <w:sz w:val="16"/>
                <w:szCs w:val="16"/>
                <w:lang w:eastAsia="en-GB"/>
              </w:rPr>
            </w:pPr>
            <w:r w:rsidRPr="00330DD3">
              <w:rPr>
                <w:rFonts w:cs="Times New Roman"/>
                <w:i/>
                <w:color w:val="000000"/>
                <w:sz w:val="16"/>
                <w:szCs w:val="16"/>
                <w:lang w:eastAsia="en-GB"/>
              </w:rPr>
              <w:t>Included</w:t>
            </w:r>
          </w:p>
        </w:tc>
        <w:tc>
          <w:tcPr>
            <w:tcW w:w="1842" w:type="dxa"/>
            <w:gridSpan w:val="2"/>
          </w:tcPr>
          <w:p w:rsidR="005A138F" w:rsidRPr="00330DD3" w:rsidRDefault="005A138F" w:rsidP="00E04DA5">
            <w:pPr>
              <w:jc w:val="center"/>
              <w:rPr>
                <w:rFonts w:cs="Times New Roman"/>
                <w:i/>
                <w:color w:val="000000"/>
                <w:sz w:val="16"/>
                <w:szCs w:val="16"/>
                <w:lang w:eastAsia="en-GB"/>
              </w:rPr>
            </w:pPr>
            <w:r w:rsidRPr="00330DD3">
              <w:rPr>
                <w:rFonts w:cs="Times New Roman"/>
                <w:i/>
                <w:color w:val="000000"/>
                <w:sz w:val="16"/>
                <w:szCs w:val="16"/>
                <w:lang w:eastAsia="en-GB"/>
              </w:rPr>
              <w:t>Included</w:t>
            </w:r>
          </w:p>
        </w:tc>
        <w:tc>
          <w:tcPr>
            <w:tcW w:w="1985" w:type="dxa"/>
            <w:gridSpan w:val="2"/>
          </w:tcPr>
          <w:p w:rsidR="005A138F" w:rsidRPr="00330DD3" w:rsidRDefault="005A138F" w:rsidP="00E04DA5">
            <w:pPr>
              <w:jc w:val="center"/>
              <w:rPr>
                <w:rFonts w:cs="Times New Roman"/>
                <w:i/>
                <w:color w:val="000000"/>
                <w:sz w:val="16"/>
                <w:szCs w:val="16"/>
                <w:lang w:eastAsia="en-GB"/>
              </w:rPr>
            </w:pPr>
            <w:r w:rsidRPr="00330DD3">
              <w:rPr>
                <w:rFonts w:cs="Times New Roman"/>
                <w:i/>
                <w:color w:val="000000"/>
                <w:sz w:val="16"/>
                <w:szCs w:val="16"/>
                <w:lang w:eastAsia="en-GB"/>
              </w:rPr>
              <w:t>Included</w:t>
            </w:r>
          </w:p>
        </w:tc>
        <w:tc>
          <w:tcPr>
            <w:tcW w:w="1923" w:type="dxa"/>
            <w:gridSpan w:val="2"/>
          </w:tcPr>
          <w:p w:rsidR="005A138F" w:rsidRPr="00330DD3" w:rsidRDefault="005A138F" w:rsidP="00E04DA5">
            <w:pPr>
              <w:jc w:val="center"/>
              <w:rPr>
                <w:rFonts w:cs="Times New Roman"/>
                <w:i/>
                <w:color w:val="000000"/>
                <w:sz w:val="16"/>
                <w:szCs w:val="16"/>
                <w:lang w:eastAsia="en-GB"/>
              </w:rPr>
            </w:pPr>
            <w:r w:rsidRPr="00330DD3">
              <w:rPr>
                <w:rFonts w:cs="Times New Roman"/>
                <w:i/>
                <w:color w:val="000000"/>
                <w:sz w:val="16"/>
                <w:szCs w:val="16"/>
                <w:lang w:eastAsia="en-GB"/>
              </w:rPr>
              <w:t>Included</w:t>
            </w:r>
          </w:p>
        </w:tc>
      </w:tr>
      <w:tr w:rsidR="00783DA1" w:rsidRPr="00C15F52" w:rsidTr="00615970">
        <w:trPr>
          <w:trHeight w:val="20"/>
          <w:jc w:val="center"/>
        </w:trPr>
        <w:tc>
          <w:tcPr>
            <w:tcW w:w="1704" w:type="dxa"/>
            <w:noWrap/>
            <w:vAlign w:val="center"/>
          </w:tcPr>
          <w:p w:rsidR="00783DA1" w:rsidRPr="00330DD3" w:rsidRDefault="00783DA1" w:rsidP="00E04DA5">
            <w:pPr>
              <w:rPr>
                <w:rFonts w:cs="Times New Roman"/>
                <w:i/>
                <w:color w:val="000000"/>
                <w:sz w:val="16"/>
                <w:szCs w:val="16"/>
                <w:lang w:eastAsia="en-GB"/>
              </w:rPr>
            </w:pPr>
            <w:r w:rsidRPr="00330DD3">
              <w:rPr>
                <w:rFonts w:cs="Times New Roman"/>
                <w:i/>
                <w:color w:val="000000"/>
                <w:sz w:val="16"/>
                <w:szCs w:val="16"/>
                <w:lang w:eastAsia="en-GB"/>
              </w:rPr>
              <w:t>Constant</w:t>
            </w:r>
          </w:p>
        </w:tc>
        <w:tc>
          <w:tcPr>
            <w:tcW w:w="1014" w:type="dxa"/>
            <w:noWrap/>
            <w:vAlign w:val="bottom"/>
          </w:tcPr>
          <w:p w:rsidR="00783DA1" w:rsidRPr="00330DD3" w:rsidRDefault="00783DA1" w:rsidP="004D18E9">
            <w:pPr>
              <w:jc w:val="right"/>
              <w:rPr>
                <w:i/>
                <w:color w:val="000000"/>
                <w:sz w:val="16"/>
                <w:szCs w:val="16"/>
              </w:rPr>
            </w:pPr>
            <w:r w:rsidRPr="00330DD3">
              <w:rPr>
                <w:i/>
                <w:color w:val="000000"/>
                <w:sz w:val="16"/>
                <w:szCs w:val="16"/>
              </w:rPr>
              <w:t>0.0618</w:t>
            </w:r>
          </w:p>
        </w:tc>
        <w:tc>
          <w:tcPr>
            <w:tcW w:w="896" w:type="dxa"/>
            <w:vAlign w:val="center"/>
          </w:tcPr>
          <w:p w:rsidR="00783DA1" w:rsidRPr="00330DD3" w:rsidRDefault="00783DA1" w:rsidP="004D18E9">
            <w:pPr>
              <w:rPr>
                <w:i/>
                <w:color w:val="000000"/>
                <w:sz w:val="16"/>
                <w:szCs w:val="16"/>
              </w:rPr>
            </w:pPr>
            <w:r w:rsidRPr="00330DD3">
              <w:rPr>
                <w:i/>
                <w:color w:val="000000"/>
                <w:sz w:val="16"/>
                <w:szCs w:val="16"/>
              </w:rPr>
              <w:t>0.2223</w:t>
            </w:r>
          </w:p>
        </w:tc>
        <w:tc>
          <w:tcPr>
            <w:tcW w:w="790" w:type="dxa"/>
            <w:noWrap/>
            <w:vAlign w:val="bottom"/>
          </w:tcPr>
          <w:p w:rsidR="00783DA1" w:rsidRPr="00330DD3" w:rsidRDefault="00783DA1">
            <w:pPr>
              <w:jc w:val="right"/>
              <w:rPr>
                <w:i/>
                <w:color w:val="000000"/>
                <w:sz w:val="16"/>
                <w:szCs w:val="16"/>
              </w:rPr>
            </w:pPr>
            <w:r w:rsidRPr="00330DD3">
              <w:rPr>
                <w:i/>
                <w:color w:val="000000"/>
                <w:sz w:val="16"/>
                <w:szCs w:val="16"/>
              </w:rPr>
              <w:t>0.0988</w:t>
            </w:r>
          </w:p>
        </w:tc>
        <w:tc>
          <w:tcPr>
            <w:tcW w:w="896" w:type="dxa"/>
            <w:vAlign w:val="center"/>
          </w:tcPr>
          <w:p w:rsidR="00783DA1" w:rsidRPr="00330DD3" w:rsidRDefault="00783DA1" w:rsidP="00F1660B">
            <w:pPr>
              <w:rPr>
                <w:i/>
                <w:color w:val="000000"/>
                <w:sz w:val="16"/>
                <w:szCs w:val="16"/>
              </w:rPr>
            </w:pPr>
            <w:r w:rsidRPr="00330DD3">
              <w:rPr>
                <w:i/>
                <w:color w:val="000000"/>
                <w:sz w:val="16"/>
                <w:szCs w:val="16"/>
              </w:rPr>
              <w:t>0.0579</w:t>
            </w:r>
            <w:r w:rsidRPr="00330DD3">
              <w:rPr>
                <w:i/>
                <w:color w:val="000000"/>
                <w:sz w:val="16"/>
                <w:szCs w:val="16"/>
                <w:vertAlign w:val="superscript"/>
              </w:rPr>
              <w:t>*</w:t>
            </w:r>
          </w:p>
        </w:tc>
        <w:tc>
          <w:tcPr>
            <w:tcW w:w="790" w:type="dxa"/>
            <w:noWrap/>
            <w:vAlign w:val="bottom"/>
          </w:tcPr>
          <w:p w:rsidR="00783DA1" w:rsidRPr="00330DD3" w:rsidRDefault="00783DA1">
            <w:pPr>
              <w:jc w:val="right"/>
              <w:rPr>
                <w:i/>
                <w:color w:val="000000"/>
                <w:sz w:val="16"/>
                <w:szCs w:val="16"/>
              </w:rPr>
            </w:pPr>
            <w:r w:rsidRPr="00330DD3">
              <w:rPr>
                <w:i/>
                <w:color w:val="000000"/>
                <w:sz w:val="16"/>
                <w:szCs w:val="16"/>
              </w:rPr>
              <w:t>0.0812</w:t>
            </w:r>
          </w:p>
        </w:tc>
        <w:tc>
          <w:tcPr>
            <w:tcW w:w="981" w:type="dxa"/>
            <w:vAlign w:val="center"/>
          </w:tcPr>
          <w:p w:rsidR="00783DA1" w:rsidRPr="00330DD3" w:rsidRDefault="00783DA1" w:rsidP="00DD5F1A">
            <w:pPr>
              <w:rPr>
                <w:i/>
                <w:color w:val="000000"/>
                <w:sz w:val="16"/>
                <w:szCs w:val="16"/>
              </w:rPr>
            </w:pPr>
            <w:r w:rsidRPr="00330DD3">
              <w:rPr>
                <w:i/>
                <w:color w:val="000000"/>
                <w:sz w:val="16"/>
                <w:szCs w:val="16"/>
              </w:rPr>
              <w:t>0.0946</w:t>
            </w:r>
            <w:r w:rsidRPr="00330DD3">
              <w:rPr>
                <w:i/>
                <w:color w:val="000000"/>
                <w:sz w:val="16"/>
                <w:szCs w:val="16"/>
                <w:vertAlign w:val="superscript"/>
              </w:rPr>
              <w:t>*</w:t>
            </w:r>
          </w:p>
        </w:tc>
        <w:tc>
          <w:tcPr>
            <w:tcW w:w="850" w:type="dxa"/>
            <w:vAlign w:val="bottom"/>
          </w:tcPr>
          <w:p w:rsidR="00783DA1" w:rsidRPr="00330DD3" w:rsidRDefault="00783DA1">
            <w:pPr>
              <w:jc w:val="right"/>
              <w:rPr>
                <w:i/>
                <w:color w:val="000000"/>
                <w:sz w:val="16"/>
                <w:szCs w:val="16"/>
              </w:rPr>
            </w:pPr>
            <w:r w:rsidRPr="00330DD3">
              <w:rPr>
                <w:i/>
                <w:color w:val="000000"/>
                <w:sz w:val="16"/>
                <w:szCs w:val="16"/>
              </w:rPr>
              <w:t>0.0772</w:t>
            </w:r>
          </w:p>
        </w:tc>
        <w:tc>
          <w:tcPr>
            <w:tcW w:w="891" w:type="dxa"/>
            <w:vAlign w:val="center"/>
          </w:tcPr>
          <w:p w:rsidR="00783DA1" w:rsidRPr="00330DD3" w:rsidRDefault="00783DA1" w:rsidP="0033504B">
            <w:pPr>
              <w:rPr>
                <w:i/>
                <w:color w:val="000000"/>
                <w:sz w:val="16"/>
                <w:szCs w:val="16"/>
              </w:rPr>
            </w:pPr>
            <w:r w:rsidRPr="00330DD3">
              <w:rPr>
                <w:i/>
                <w:color w:val="000000"/>
                <w:sz w:val="16"/>
                <w:szCs w:val="16"/>
              </w:rPr>
              <w:t>0.1250</w:t>
            </w:r>
          </w:p>
        </w:tc>
        <w:tc>
          <w:tcPr>
            <w:tcW w:w="790" w:type="dxa"/>
            <w:vAlign w:val="bottom"/>
          </w:tcPr>
          <w:p w:rsidR="00783DA1" w:rsidRPr="00330DD3" w:rsidRDefault="00783DA1">
            <w:pPr>
              <w:jc w:val="right"/>
              <w:rPr>
                <w:i/>
                <w:color w:val="000000"/>
                <w:sz w:val="16"/>
                <w:szCs w:val="16"/>
              </w:rPr>
            </w:pPr>
            <w:r w:rsidRPr="00330DD3">
              <w:rPr>
                <w:i/>
                <w:color w:val="000000"/>
                <w:sz w:val="16"/>
                <w:szCs w:val="16"/>
              </w:rPr>
              <w:t>0.0536</w:t>
            </w:r>
          </w:p>
        </w:tc>
        <w:tc>
          <w:tcPr>
            <w:tcW w:w="981" w:type="dxa"/>
          </w:tcPr>
          <w:p w:rsidR="00783DA1" w:rsidRPr="00330DD3" w:rsidRDefault="00783DA1" w:rsidP="00A42766">
            <w:pPr>
              <w:rPr>
                <w:i/>
                <w:color w:val="000000"/>
                <w:sz w:val="16"/>
                <w:szCs w:val="16"/>
              </w:rPr>
            </w:pPr>
            <w:r w:rsidRPr="00330DD3">
              <w:rPr>
                <w:i/>
                <w:color w:val="000000"/>
                <w:sz w:val="16"/>
                <w:szCs w:val="16"/>
              </w:rPr>
              <w:t>0.3253</w:t>
            </w:r>
          </w:p>
        </w:tc>
        <w:tc>
          <w:tcPr>
            <w:tcW w:w="850" w:type="dxa"/>
            <w:vAlign w:val="bottom"/>
          </w:tcPr>
          <w:p w:rsidR="00783DA1" w:rsidRPr="00330DD3" w:rsidRDefault="00783DA1">
            <w:pPr>
              <w:jc w:val="right"/>
              <w:rPr>
                <w:i/>
                <w:color w:val="000000"/>
                <w:sz w:val="16"/>
                <w:szCs w:val="16"/>
              </w:rPr>
            </w:pPr>
            <w:r w:rsidRPr="00330DD3">
              <w:rPr>
                <w:i/>
                <w:color w:val="000000"/>
                <w:sz w:val="16"/>
                <w:szCs w:val="16"/>
              </w:rPr>
              <w:t>0.0733</w:t>
            </w:r>
          </w:p>
        </w:tc>
        <w:tc>
          <w:tcPr>
            <w:tcW w:w="992" w:type="dxa"/>
          </w:tcPr>
          <w:p w:rsidR="00783DA1" w:rsidRPr="00330DD3" w:rsidRDefault="00783DA1" w:rsidP="00774819">
            <w:pPr>
              <w:rPr>
                <w:i/>
                <w:color w:val="000000"/>
                <w:sz w:val="16"/>
                <w:szCs w:val="16"/>
              </w:rPr>
            </w:pPr>
            <w:r w:rsidRPr="00330DD3">
              <w:rPr>
                <w:i/>
                <w:color w:val="000000"/>
                <w:sz w:val="16"/>
                <w:szCs w:val="16"/>
              </w:rPr>
              <w:t>0.1799</w:t>
            </w:r>
          </w:p>
        </w:tc>
        <w:tc>
          <w:tcPr>
            <w:tcW w:w="993" w:type="dxa"/>
            <w:vAlign w:val="bottom"/>
          </w:tcPr>
          <w:p w:rsidR="00783DA1" w:rsidRPr="00330DD3" w:rsidRDefault="00783DA1">
            <w:pPr>
              <w:jc w:val="right"/>
              <w:rPr>
                <w:i/>
                <w:color w:val="000000"/>
                <w:sz w:val="16"/>
                <w:szCs w:val="16"/>
              </w:rPr>
            </w:pPr>
            <w:r w:rsidRPr="00330DD3">
              <w:rPr>
                <w:i/>
                <w:color w:val="000000"/>
                <w:sz w:val="16"/>
                <w:szCs w:val="16"/>
              </w:rPr>
              <w:t>0.0626</w:t>
            </w:r>
          </w:p>
        </w:tc>
        <w:tc>
          <w:tcPr>
            <w:tcW w:w="992" w:type="dxa"/>
          </w:tcPr>
          <w:p w:rsidR="00783DA1" w:rsidRPr="00330DD3" w:rsidRDefault="00783DA1" w:rsidP="005A138F">
            <w:pPr>
              <w:rPr>
                <w:i/>
                <w:color w:val="000000"/>
                <w:sz w:val="16"/>
                <w:szCs w:val="16"/>
              </w:rPr>
            </w:pPr>
            <w:r w:rsidRPr="00330DD3">
              <w:rPr>
                <w:i/>
                <w:color w:val="000000"/>
                <w:sz w:val="16"/>
                <w:szCs w:val="16"/>
              </w:rPr>
              <w:t>0.2557</w:t>
            </w:r>
          </w:p>
        </w:tc>
        <w:tc>
          <w:tcPr>
            <w:tcW w:w="973" w:type="dxa"/>
            <w:vAlign w:val="bottom"/>
          </w:tcPr>
          <w:p w:rsidR="00783DA1" w:rsidRPr="00330DD3" w:rsidRDefault="00783DA1">
            <w:pPr>
              <w:jc w:val="right"/>
              <w:rPr>
                <w:i/>
                <w:color w:val="000000"/>
                <w:sz w:val="16"/>
                <w:szCs w:val="16"/>
              </w:rPr>
            </w:pPr>
            <w:r w:rsidRPr="00330DD3">
              <w:rPr>
                <w:i/>
                <w:color w:val="000000"/>
                <w:sz w:val="16"/>
                <w:szCs w:val="16"/>
              </w:rPr>
              <w:t>0.0671</w:t>
            </w:r>
          </w:p>
        </w:tc>
        <w:tc>
          <w:tcPr>
            <w:tcW w:w="950" w:type="dxa"/>
          </w:tcPr>
          <w:p w:rsidR="00783DA1" w:rsidRPr="00330DD3" w:rsidRDefault="00783DA1" w:rsidP="00783DA1">
            <w:pPr>
              <w:rPr>
                <w:i/>
                <w:color w:val="000000"/>
                <w:sz w:val="16"/>
                <w:szCs w:val="16"/>
              </w:rPr>
            </w:pPr>
            <w:r w:rsidRPr="00330DD3">
              <w:rPr>
                <w:i/>
                <w:color w:val="000000"/>
                <w:sz w:val="16"/>
                <w:szCs w:val="16"/>
              </w:rPr>
              <w:t>0.2200</w:t>
            </w:r>
          </w:p>
        </w:tc>
      </w:tr>
      <w:tr w:rsidR="00783DA1" w:rsidRPr="00C15F52" w:rsidTr="00F1660B">
        <w:trPr>
          <w:trHeight w:val="20"/>
          <w:jc w:val="center"/>
        </w:trPr>
        <w:tc>
          <w:tcPr>
            <w:tcW w:w="1704" w:type="dxa"/>
            <w:noWrap/>
            <w:vAlign w:val="center"/>
          </w:tcPr>
          <w:p w:rsidR="00783DA1" w:rsidRPr="00330DD3" w:rsidRDefault="00783DA1" w:rsidP="00E04DA5">
            <w:pPr>
              <w:rPr>
                <w:rFonts w:cs="Times New Roman"/>
                <w:i/>
                <w:color w:val="000000"/>
                <w:sz w:val="16"/>
                <w:szCs w:val="16"/>
                <w:lang w:eastAsia="en-GB"/>
              </w:rPr>
            </w:pPr>
            <w:r w:rsidRPr="00330DD3">
              <w:rPr>
                <w:rFonts w:cs="Times New Roman"/>
                <w:i/>
                <w:color w:val="000000"/>
                <w:sz w:val="16"/>
                <w:szCs w:val="16"/>
                <w:lang w:eastAsia="en-GB"/>
              </w:rPr>
              <w:t>Durbin-Watson Stat</w:t>
            </w:r>
            <w:r w:rsidR="00A546EA" w:rsidRPr="00330DD3">
              <w:rPr>
                <w:rFonts w:cs="Times New Roman"/>
                <w:i/>
                <w:color w:val="000000"/>
                <w:sz w:val="16"/>
                <w:szCs w:val="16"/>
                <w:lang w:eastAsia="en-GB"/>
              </w:rPr>
              <w:t>.</w:t>
            </w:r>
          </w:p>
        </w:tc>
        <w:tc>
          <w:tcPr>
            <w:tcW w:w="1910" w:type="dxa"/>
            <w:gridSpan w:val="2"/>
            <w:noWrap/>
            <w:vAlign w:val="center"/>
          </w:tcPr>
          <w:p w:rsidR="00783DA1" w:rsidRPr="00330DD3" w:rsidRDefault="00783DA1" w:rsidP="004D18E9">
            <w:pPr>
              <w:jc w:val="center"/>
              <w:rPr>
                <w:i/>
                <w:color w:val="000000"/>
                <w:sz w:val="16"/>
                <w:szCs w:val="16"/>
              </w:rPr>
            </w:pPr>
            <w:r w:rsidRPr="00330DD3">
              <w:rPr>
                <w:i/>
                <w:color w:val="000000"/>
                <w:sz w:val="16"/>
                <w:szCs w:val="16"/>
              </w:rPr>
              <w:t>2.0147</w:t>
            </w:r>
          </w:p>
        </w:tc>
        <w:tc>
          <w:tcPr>
            <w:tcW w:w="1686" w:type="dxa"/>
            <w:gridSpan w:val="2"/>
            <w:noWrap/>
            <w:vAlign w:val="center"/>
          </w:tcPr>
          <w:p w:rsidR="00783DA1" w:rsidRPr="00330DD3" w:rsidRDefault="00783DA1" w:rsidP="00F1660B">
            <w:pPr>
              <w:jc w:val="center"/>
              <w:rPr>
                <w:i/>
                <w:color w:val="000000"/>
                <w:sz w:val="16"/>
                <w:szCs w:val="16"/>
              </w:rPr>
            </w:pPr>
            <w:r w:rsidRPr="00330DD3">
              <w:rPr>
                <w:i/>
                <w:color w:val="000000"/>
                <w:sz w:val="16"/>
                <w:szCs w:val="16"/>
              </w:rPr>
              <w:t>2.0153</w:t>
            </w:r>
          </w:p>
        </w:tc>
        <w:tc>
          <w:tcPr>
            <w:tcW w:w="1771" w:type="dxa"/>
            <w:gridSpan w:val="2"/>
            <w:noWrap/>
            <w:vAlign w:val="center"/>
          </w:tcPr>
          <w:p w:rsidR="00783DA1" w:rsidRPr="00330DD3" w:rsidRDefault="00783DA1" w:rsidP="00DD5F1A">
            <w:pPr>
              <w:jc w:val="center"/>
              <w:rPr>
                <w:i/>
                <w:color w:val="000000"/>
                <w:sz w:val="16"/>
                <w:szCs w:val="16"/>
              </w:rPr>
            </w:pPr>
            <w:r w:rsidRPr="00330DD3">
              <w:rPr>
                <w:i/>
                <w:color w:val="000000"/>
                <w:sz w:val="16"/>
                <w:szCs w:val="16"/>
              </w:rPr>
              <w:t>2.0162</w:t>
            </w:r>
          </w:p>
        </w:tc>
        <w:tc>
          <w:tcPr>
            <w:tcW w:w="1741" w:type="dxa"/>
            <w:gridSpan w:val="2"/>
            <w:tcBorders>
              <w:left w:val="nil"/>
            </w:tcBorders>
            <w:vAlign w:val="center"/>
          </w:tcPr>
          <w:p w:rsidR="00783DA1" w:rsidRPr="00330DD3" w:rsidRDefault="00783DA1" w:rsidP="0033504B">
            <w:pPr>
              <w:jc w:val="center"/>
              <w:rPr>
                <w:i/>
                <w:color w:val="000000"/>
                <w:sz w:val="16"/>
                <w:szCs w:val="16"/>
              </w:rPr>
            </w:pPr>
            <w:r w:rsidRPr="00330DD3">
              <w:rPr>
                <w:i/>
                <w:color w:val="000000"/>
                <w:sz w:val="16"/>
                <w:szCs w:val="16"/>
              </w:rPr>
              <w:t>2.0172</w:t>
            </w:r>
          </w:p>
        </w:tc>
        <w:tc>
          <w:tcPr>
            <w:tcW w:w="1771" w:type="dxa"/>
            <w:gridSpan w:val="2"/>
            <w:tcBorders>
              <w:left w:val="nil"/>
            </w:tcBorders>
            <w:vAlign w:val="center"/>
          </w:tcPr>
          <w:p w:rsidR="00783DA1" w:rsidRPr="00330DD3" w:rsidRDefault="00783DA1" w:rsidP="00A42766">
            <w:pPr>
              <w:jc w:val="center"/>
              <w:rPr>
                <w:i/>
                <w:color w:val="000000"/>
                <w:sz w:val="16"/>
                <w:szCs w:val="16"/>
              </w:rPr>
            </w:pPr>
            <w:r w:rsidRPr="00330DD3">
              <w:rPr>
                <w:i/>
                <w:color w:val="000000"/>
                <w:sz w:val="16"/>
                <w:szCs w:val="16"/>
              </w:rPr>
              <w:t>2.0150</w:t>
            </w:r>
          </w:p>
        </w:tc>
        <w:tc>
          <w:tcPr>
            <w:tcW w:w="1842" w:type="dxa"/>
            <w:gridSpan w:val="2"/>
            <w:tcBorders>
              <w:left w:val="nil"/>
            </w:tcBorders>
            <w:vAlign w:val="center"/>
          </w:tcPr>
          <w:p w:rsidR="00783DA1" w:rsidRPr="00330DD3" w:rsidRDefault="00783DA1" w:rsidP="00774819">
            <w:pPr>
              <w:jc w:val="center"/>
              <w:rPr>
                <w:i/>
                <w:color w:val="000000"/>
                <w:sz w:val="16"/>
                <w:szCs w:val="16"/>
              </w:rPr>
            </w:pPr>
            <w:r w:rsidRPr="00330DD3">
              <w:rPr>
                <w:i/>
                <w:color w:val="000000"/>
                <w:sz w:val="16"/>
                <w:szCs w:val="16"/>
              </w:rPr>
              <w:t>2.0151</w:t>
            </w:r>
          </w:p>
        </w:tc>
        <w:tc>
          <w:tcPr>
            <w:tcW w:w="1985" w:type="dxa"/>
            <w:gridSpan w:val="2"/>
            <w:tcBorders>
              <w:left w:val="nil"/>
            </w:tcBorders>
            <w:vAlign w:val="center"/>
          </w:tcPr>
          <w:p w:rsidR="00783DA1" w:rsidRPr="00330DD3" w:rsidRDefault="00783DA1" w:rsidP="005A138F">
            <w:pPr>
              <w:jc w:val="center"/>
              <w:rPr>
                <w:i/>
                <w:color w:val="000000"/>
                <w:sz w:val="16"/>
                <w:szCs w:val="16"/>
              </w:rPr>
            </w:pPr>
            <w:r w:rsidRPr="00330DD3">
              <w:rPr>
                <w:i/>
                <w:color w:val="000000"/>
                <w:sz w:val="16"/>
                <w:szCs w:val="16"/>
              </w:rPr>
              <w:t>2.0166</w:t>
            </w:r>
          </w:p>
        </w:tc>
        <w:tc>
          <w:tcPr>
            <w:tcW w:w="1923" w:type="dxa"/>
            <w:gridSpan w:val="2"/>
            <w:tcBorders>
              <w:left w:val="nil"/>
            </w:tcBorders>
            <w:vAlign w:val="center"/>
          </w:tcPr>
          <w:p w:rsidR="00783DA1" w:rsidRPr="00330DD3" w:rsidRDefault="00783DA1" w:rsidP="00783DA1">
            <w:pPr>
              <w:jc w:val="center"/>
              <w:rPr>
                <w:i/>
                <w:color w:val="000000"/>
                <w:sz w:val="16"/>
                <w:szCs w:val="16"/>
              </w:rPr>
            </w:pPr>
            <w:r w:rsidRPr="00330DD3">
              <w:rPr>
                <w:i/>
                <w:color w:val="000000"/>
                <w:sz w:val="16"/>
                <w:szCs w:val="16"/>
              </w:rPr>
              <w:t>2.0155</w:t>
            </w:r>
          </w:p>
        </w:tc>
      </w:tr>
      <w:tr w:rsidR="00783DA1" w:rsidRPr="00C15F52" w:rsidTr="00F1660B">
        <w:trPr>
          <w:trHeight w:val="20"/>
          <w:jc w:val="center"/>
        </w:trPr>
        <w:tc>
          <w:tcPr>
            <w:tcW w:w="1704" w:type="dxa"/>
            <w:noWrap/>
            <w:vAlign w:val="bottom"/>
          </w:tcPr>
          <w:p w:rsidR="00783DA1" w:rsidRPr="00330DD3" w:rsidRDefault="00783DA1" w:rsidP="00E04DA5">
            <w:pPr>
              <w:rPr>
                <w:rFonts w:cs="Times New Roman"/>
                <w:i/>
                <w:color w:val="000000"/>
                <w:sz w:val="16"/>
                <w:szCs w:val="16"/>
                <w:lang w:eastAsia="en-GB"/>
              </w:rPr>
            </w:pPr>
            <w:r w:rsidRPr="00330DD3">
              <w:rPr>
                <w:rFonts w:cs="Times New Roman"/>
                <w:i/>
                <w:iCs/>
                <w:color w:val="000000"/>
                <w:sz w:val="16"/>
                <w:szCs w:val="16"/>
                <w:lang w:eastAsia="en-GB"/>
              </w:rPr>
              <w:t>F</w:t>
            </w:r>
            <w:r w:rsidRPr="00330DD3">
              <w:rPr>
                <w:rFonts w:cs="Times New Roman"/>
                <w:i/>
                <w:color w:val="000000"/>
                <w:sz w:val="16"/>
                <w:szCs w:val="16"/>
                <w:lang w:eastAsia="en-GB"/>
              </w:rPr>
              <w:t>- value</w:t>
            </w:r>
          </w:p>
        </w:tc>
        <w:tc>
          <w:tcPr>
            <w:tcW w:w="1910" w:type="dxa"/>
            <w:gridSpan w:val="2"/>
            <w:noWrap/>
            <w:vAlign w:val="center"/>
          </w:tcPr>
          <w:p w:rsidR="00783DA1" w:rsidRPr="00330DD3" w:rsidRDefault="00783DA1" w:rsidP="004D18E9">
            <w:pPr>
              <w:jc w:val="center"/>
              <w:rPr>
                <w:i/>
                <w:color w:val="000000"/>
                <w:sz w:val="16"/>
                <w:szCs w:val="16"/>
              </w:rPr>
            </w:pPr>
            <w:r w:rsidRPr="00330DD3">
              <w:rPr>
                <w:i/>
                <w:color w:val="000000"/>
                <w:sz w:val="16"/>
                <w:szCs w:val="16"/>
              </w:rPr>
              <w:t xml:space="preserve">    8.9868</w:t>
            </w:r>
            <w:r w:rsidRPr="00330DD3">
              <w:rPr>
                <w:i/>
                <w:color w:val="000000"/>
                <w:sz w:val="16"/>
                <w:szCs w:val="16"/>
                <w:vertAlign w:val="superscript"/>
              </w:rPr>
              <w:t>***</w:t>
            </w:r>
          </w:p>
        </w:tc>
        <w:tc>
          <w:tcPr>
            <w:tcW w:w="1686" w:type="dxa"/>
            <w:gridSpan w:val="2"/>
            <w:noWrap/>
            <w:vAlign w:val="center"/>
          </w:tcPr>
          <w:p w:rsidR="00783DA1" w:rsidRPr="00330DD3" w:rsidRDefault="00783DA1" w:rsidP="00F1660B">
            <w:pPr>
              <w:jc w:val="center"/>
              <w:rPr>
                <w:i/>
                <w:color w:val="000000"/>
                <w:sz w:val="16"/>
                <w:szCs w:val="16"/>
              </w:rPr>
            </w:pPr>
            <w:r w:rsidRPr="00330DD3">
              <w:rPr>
                <w:i/>
                <w:color w:val="000000"/>
                <w:sz w:val="16"/>
                <w:szCs w:val="16"/>
              </w:rPr>
              <w:t xml:space="preserve"> 10.2196</w:t>
            </w:r>
            <w:r w:rsidRPr="00330DD3">
              <w:rPr>
                <w:i/>
                <w:color w:val="000000"/>
                <w:sz w:val="16"/>
                <w:szCs w:val="16"/>
                <w:vertAlign w:val="superscript"/>
              </w:rPr>
              <w:t>***</w:t>
            </w:r>
          </w:p>
        </w:tc>
        <w:tc>
          <w:tcPr>
            <w:tcW w:w="1771" w:type="dxa"/>
            <w:gridSpan w:val="2"/>
            <w:noWrap/>
            <w:vAlign w:val="center"/>
          </w:tcPr>
          <w:p w:rsidR="00783DA1" w:rsidRPr="00330DD3" w:rsidRDefault="00783DA1" w:rsidP="00DD5F1A">
            <w:pPr>
              <w:jc w:val="center"/>
              <w:rPr>
                <w:i/>
                <w:color w:val="000000"/>
                <w:sz w:val="16"/>
                <w:szCs w:val="16"/>
              </w:rPr>
            </w:pPr>
            <w:r w:rsidRPr="00330DD3">
              <w:rPr>
                <w:i/>
                <w:color w:val="000000"/>
                <w:sz w:val="16"/>
                <w:szCs w:val="16"/>
              </w:rPr>
              <w:t xml:space="preserve"> 10.2998</w:t>
            </w:r>
            <w:r w:rsidRPr="00330DD3">
              <w:rPr>
                <w:i/>
                <w:color w:val="000000"/>
                <w:sz w:val="16"/>
                <w:szCs w:val="16"/>
                <w:vertAlign w:val="superscript"/>
              </w:rPr>
              <w:t>***</w:t>
            </w:r>
          </w:p>
        </w:tc>
        <w:tc>
          <w:tcPr>
            <w:tcW w:w="1741" w:type="dxa"/>
            <w:gridSpan w:val="2"/>
            <w:tcBorders>
              <w:left w:val="nil"/>
            </w:tcBorders>
            <w:vAlign w:val="center"/>
          </w:tcPr>
          <w:p w:rsidR="00783DA1" w:rsidRPr="00330DD3" w:rsidRDefault="00783DA1" w:rsidP="0033504B">
            <w:pPr>
              <w:jc w:val="center"/>
              <w:rPr>
                <w:i/>
                <w:color w:val="000000"/>
                <w:sz w:val="16"/>
                <w:szCs w:val="16"/>
              </w:rPr>
            </w:pPr>
            <w:r w:rsidRPr="00330DD3">
              <w:rPr>
                <w:i/>
                <w:color w:val="000000"/>
                <w:sz w:val="16"/>
                <w:szCs w:val="16"/>
              </w:rPr>
              <w:t xml:space="preserve">    9.2323</w:t>
            </w:r>
            <w:r w:rsidRPr="00330DD3">
              <w:rPr>
                <w:i/>
                <w:color w:val="000000"/>
                <w:sz w:val="16"/>
                <w:szCs w:val="16"/>
                <w:vertAlign w:val="superscript"/>
              </w:rPr>
              <w:t>***</w:t>
            </w:r>
          </w:p>
        </w:tc>
        <w:tc>
          <w:tcPr>
            <w:tcW w:w="1771" w:type="dxa"/>
            <w:gridSpan w:val="2"/>
            <w:tcBorders>
              <w:left w:val="nil"/>
            </w:tcBorders>
          </w:tcPr>
          <w:p w:rsidR="00783DA1" w:rsidRPr="00330DD3" w:rsidRDefault="00783DA1" w:rsidP="00A42766">
            <w:pPr>
              <w:jc w:val="center"/>
              <w:rPr>
                <w:i/>
                <w:color w:val="000000"/>
                <w:sz w:val="16"/>
                <w:szCs w:val="16"/>
              </w:rPr>
            </w:pPr>
            <w:r w:rsidRPr="00330DD3">
              <w:rPr>
                <w:i/>
                <w:color w:val="000000"/>
                <w:sz w:val="16"/>
                <w:szCs w:val="16"/>
              </w:rPr>
              <w:t xml:space="preserve">    8.9489</w:t>
            </w:r>
            <w:r w:rsidRPr="00330DD3">
              <w:rPr>
                <w:i/>
                <w:color w:val="000000"/>
                <w:sz w:val="16"/>
                <w:szCs w:val="16"/>
                <w:vertAlign w:val="superscript"/>
              </w:rPr>
              <w:t>***</w:t>
            </w:r>
          </w:p>
        </w:tc>
        <w:tc>
          <w:tcPr>
            <w:tcW w:w="1842" w:type="dxa"/>
            <w:gridSpan w:val="2"/>
            <w:tcBorders>
              <w:left w:val="nil"/>
            </w:tcBorders>
          </w:tcPr>
          <w:p w:rsidR="00783DA1" w:rsidRPr="00330DD3" w:rsidRDefault="00783DA1" w:rsidP="00774819">
            <w:pPr>
              <w:jc w:val="center"/>
              <w:rPr>
                <w:i/>
                <w:color w:val="000000"/>
                <w:sz w:val="16"/>
                <w:szCs w:val="16"/>
              </w:rPr>
            </w:pPr>
            <w:r w:rsidRPr="00330DD3">
              <w:rPr>
                <w:i/>
                <w:color w:val="000000"/>
                <w:sz w:val="16"/>
                <w:szCs w:val="16"/>
              </w:rPr>
              <w:t xml:space="preserve">    9.0367</w:t>
            </w:r>
            <w:r w:rsidRPr="00330DD3">
              <w:rPr>
                <w:i/>
                <w:color w:val="000000"/>
                <w:sz w:val="16"/>
                <w:szCs w:val="16"/>
                <w:vertAlign w:val="superscript"/>
              </w:rPr>
              <w:t>***</w:t>
            </w:r>
          </w:p>
        </w:tc>
        <w:tc>
          <w:tcPr>
            <w:tcW w:w="1985" w:type="dxa"/>
            <w:gridSpan w:val="2"/>
            <w:tcBorders>
              <w:left w:val="nil"/>
            </w:tcBorders>
          </w:tcPr>
          <w:p w:rsidR="00783DA1" w:rsidRPr="00330DD3" w:rsidRDefault="00783DA1" w:rsidP="005A138F">
            <w:pPr>
              <w:jc w:val="center"/>
              <w:rPr>
                <w:i/>
                <w:color w:val="000000"/>
                <w:sz w:val="16"/>
                <w:szCs w:val="16"/>
              </w:rPr>
            </w:pPr>
            <w:r w:rsidRPr="00330DD3">
              <w:rPr>
                <w:i/>
                <w:color w:val="000000"/>
                <w:sz w:val="16"/>
                <w:szCs w:val="16"/>
              </w:rPr>
              <w:t xml:space="preserve">    8.8487</w:t>
            </w:r>
            <w:r w:rsidRPr="00330DD3">
              <w:rPr>
                <w:i/>
                <w:color w:val="000000"/>
                <w:sz w:val="16"/>
                <w:szCs w:val="16"/>
                <w:vertAlign w:val="superscript"/>
              </w:rPr>
              <w:t>***</w:t>
            </w:r>
          </w:p>
        </w:tc>
        <w:tc>
          <w:tcPr>
            <w:tcW w:w="1923" w:type="dxa"/>
            <w:gridSpan w:val="2"/>
            <w:tcBorders>
              <w:left w:val="nil"/>
            </w:tcBorders>
          </w:tcPr>
          <w:p w:rsidR="00783DA1" w:rsidRPr="00330DD3" w:rsidRDefault="00783DA1" w:rsidP="00783DA1">
            <w:pPr>
              <w:jc w:val="center"/>
              <w:rPr>
                <w:i/>
                <w:color w:val="000000"/>
                <w:sz w:val="16"/>
                <w:szCs w:val="16"/>
              </w:rPr>
            </w:pPr>
            <w:r w:rsidRPr="00330DD3">
              <w:rPr>
                <w:i/>
                <w:color w:val="000000"/>
                <w:sz w:val="16"/>
                <w:szCs w:val="16"/>
              </w:rPr>
              <w:t xml:space="preserve">    8.9164</w:t>
            </w:r>
            <w:r w:rsidRPr="00330DD3">
              <w:rPr>
                <w:i/>
                <w:color w:val="000000"/>
                <w:sz w:val="16"/>
                <w:szCs w:val="16"/>
                <w:vertAlign w:val="superscript"/>
              </w:rPr>
              <w:t>***</w:t>
            </w:r>
          </w:p>
        </w:tc>
      </w:tr>
      <w:tr w:rsidR="00783DA1" w:rsidRPr="00C15F52" w:rsidTr="00F1660B">
        <w:trPr>
          <w:trHeight w:val="20"/>
          <w:jc w:val="center"/>
        </w:trPr>
        <w:tc>
          <w:tcPr>
            <w:tcW w:w="1704" w:type="dxa"/>
            <w:noWrap/>
            <w:vAlign w:val="bottom"/>
          </w:tcPr>
          <w:p w:rsidR="00783DA1" w:rsidRPr="00330DD3" w:rsidRDefault="00783DA1" w:rsidP="00E04DA5">
            <w:pPr>
              <w:rPr>
                <w:rFonts w:cs="Times New Roman"/>
                <w:i/>
                <w:color w:val="000000"/>
                <w:sz w:val="16"/>
                <w:szCs w:val="16"/>
                <w:lang w:eastAsia="en-GB"/>
              </w:rPr>
            </w:pPr>
            <w:r w:rsidRPr="00330DD3">
              <w:rPr>
                <w:rFonts w:cs="Times New Roman"/>
                <w:i/>
                <w:color w:val="000000"/>
                <w:sz w:val="16"/>
                <w:szCs w:val="16"/>
                <w:lang w:eastAsia="en-GB"/>
              </w:rPr>
              <w:t xml:space="preserve">Adjusted </w:t>
            </w:r>
            <w:r w:rsidRPr="00330DD3">
              <w:rPr>
                <w:rFonts w:cs="Times New Roman"/>
                <w:i/>
                <w:sz w:val="16"/>
                <w:szCs w:val="16"/>
                <w:lang w:eastAsia="en-GB"/>
              </w:rPr>
              <w:t>R</w:t>
            </w:r>
            <w:r w:rsidRPr="00330DD3">
              <w:rPr>
                <w:rFonts w:cs="Times New Roman"/>
                <w:i/>
                <w:sz w:val="16"/>
                <w:szCs w:val="16"/>
                <w:vertAlign w:val="superscript"/>
                <w:lang w:eastAsia="en-GB"/>
              </w:rPr>
              <w:t>2</w:t>
            </w:r>
          </w:p>
        </w:tc>
        <w:tc>
          <w:tcPr>
            <w:tcW w:w="1910" w:type="dxa"/>
            <w:gridSpan w:val="2"/>
            <w:noWrap/>
            <w:vAlign w:val="center"/>
          </w:tcPr>
          <w:p w:rsidR="00783DA1" w:rsidRPr="00330DD3" w:rsidRDefault="00783DA1" w:rsidP="004D18E9">
            <w:pPr>
              <w:jc w:val="center"/>
              <w:rPr>
                <w:i/>
                <w:color w:val="000000"/>
                <w:sz w:val="16"/>
                <w:szCs w:val="16"/>
              </w:rPr>
            </w:pPr>
            <w:r w:rsidRPr="00330DD3">
              <w:rPr>
                <w:i/>
                <w:color w:val="000000"/>
                <w:sz w:val="16"/>
                <w:szCs w:val="16"/>
              </w:rPr>
              <w:t>0.1865</w:t>
            </w:r>
          </w:p>
        </w:tc>
        <w:tc>
          <w:tcPr>
            <w:tcW w:w="1686" w:type="dxa"/>
            <w:gridSpan w:val="2"/>
            <w:noWrap/>
            <w:vAlign w:val="center"/>
          </w:tcPr>
          <w:p w:rsidR="00783DA1" w:rsidRPr="00330DD3" w:rsidRDefault="00783DA1" w:rsidP="004D18E9">
            <w:pPr>
              <w:jc w:val="center"/>
              <w:rPr>
                <w:i/>
                <w:color w:val="000000"/>
                <w:sz w:val="16"/>
                <w:szCs w:val="16"/>
              </w:rPr>
            </w:pPr>
            <w:r w:rsidRPr="00330DD3">
              <w:rPr>
                <w:i/>
                <w:color w:val="000000"/>
                <w:sz w:val="16"/>
                <w:szCs w:val="16"/>
              </w:rPr>
              <w:t>0.1833</w:t>
            </w:r>
          </w:p>
        </w:tc>
        <w:tc>
          <w:tcPr>
            <w:tcW w:w="1771" w:type="dxa"/>
            <w:gridSpan w:val="2"/>
            <w:noWrap/>
            <w:vAlign w:val="center"/>
          </w:tcPr>
          <w:p w:rsidR="00783DA1" w:rsidRPr="00330DD3" w:rsidRDefault="00783DA1" w:rsidP="00DD5F1A">
            <w:pPr>
              <w:jc w:val="center"/>
              <w:rPr>
                <w:i/>
                <w:color w:val="000000"/>
                <w:sz w:val="16"/>
                <w:szCs w:val="16"/>
              </w:rPr>
            </w:pPr>
            <w:r w:rsidRPr="00330DD3">
              <w:rPr>
                <w:i/>
                <w:color w:val="000000"/>
                <w:sz w:val="16"/>
                <w:szCs w:val="16"/>
              </w:rPr>
              <w:t>0.1846</w:t>
            </w:r>
          </w:p>
        </w:tc>
        <w:tc>
          <w:tcPr>
            <w:tcW w:w="1741" w:type="dxa"/>
            <w:gridSpan w:val="2"/>
            <w:vAlign w:val="center"/>
          </w:tcPr>
          <w:p w:rsidR="00783DA1" w:rsidRPr="00330DD3" w:rsidRDefault="00783DA1" w:rsidP="0033504B">
            <w:pPr>
              <w:jc w:val="center"/>
              <w:rPr>
                <w:i/>
                <w:color w:val="000000"/>
                <w:sz w:val="16"/>
                <w:szCs w:val="16"/>
              </w:rPr>
            </w:pPr>
            <w:r w:rsidRPr="00330DD3">
              <w:rPr>
                <w:i/>
                <w:color w:val="000000"/>
                <w:sz w:val="16"/>
                <w:szCs w:val="16"/>
              </w:rPr>
              <w:t>0.1816</w:t>
            </w:r>
          </w:p>
        </w:tc>
        <w:tc>
          <w:tcPr>
            <w:tcW w:w="1771" w:type="dxa"/>
            <w:gridSpan w:val="2"/>
          </w:tcPr>
          <w:p w:rsidR="00783DA1" w:rsidRPr="00330DD3" w:rsidRDefault="00783DA1" w:rsidP="00A42766">
            <w:pPr>
              <w:jc w:val="center"/>
              <w:rPr>
                <w:i/>
                <w:color w:val="000000"/>
                <w:sz w:val="16"/>
                <w:szCs w:val="16"/>
              </w:rPr>
            </w:pPr>
            <w:r w:rsidRPr="00330DD3">
              <w:rPr>
                <w:i/>
                <w:color w:val="000000"/>
                <w:sz w:val="16"/>
                <w:szCs w:val="16"/>
              </w:rPr>
              <w:t>0.1857</w:t>
            </w:r>
          </w:p>
        </w:tc>
        <w:tc>
          <w:tcPr>
            <w:tcW w:w="1842" w:type="dxa"/>
            <w:gridSpan w:val="2"/>
          </w:tcPr>
          <w:p w:rsidR="00783DA1" w:rsidRPr="00330DD3" w:rsidRDefault="00783DA1" w:rsidP="00774819">
            <w:pPr>
              <w:jc w:val="center"/>
              <w:rPr>
                <w:i/>
                <w:color w:val="000000"/>
                <w:sz w:val="16"/>
                <w:szCs w:val="16"/>
              </w:rPr>
            </w:pPr>
            <w:r w:rsidRPr="00330DD3">
              <w:rPr>
                <w:i/>
                <w:color w:val="000000"/>
                <w:sz w:val="16"/>
                <w:szCs w:val="16"/>
              </w:rPr>
              <w:t>0.1874</w:t>
            </w:r>
          </w:p>
        </w:tc>
        <w:tc>
          <w:tcPr>
            <w:tcW w:w="1985" w:type="dxa"/>
            <w:gridSpan w:val="2"/>
          </w:tcPr>
          <w:p w:rsidR="00783DA1" w:rsidRPr="00330DD3" w:rsidRDefault="00783DA1" w:rsidP="005A138F">
            <w:pPr>
              <w:jc w:val="center"/>
              <w:rPr>
                <w:i/>
                <w:color w:val="000000"/>
                <w:sz w:val="16"/>
                <w:szCs w:val="16"/>
              </w:rPr>
            </w:pPr>
            <w:r w:rsidRPr="00330DD3">
              <w:rPr>
                <w:i/>
                <w:color w:val="000000"/>
                <w:sz w:val="16"/>
                <w:szCs w:val="16"/>
              </w:rPr>
              <w:t>0.1838</w:t>
            </w:r>
          </w:p>
        </w:tc>
        <w:tc>
          <w:tcPr>
            <w:tcW w:w="1923" w:type="dxa"/>
            <w:gridSpan w:val="2"/>
          </w:tcPr>
          <w:p w:rsidR="00783DA1" w:rsidRPr="00330DD3" w:rsidRDefault="00783DA1" w:rsidP="00783DA1">
            <w:pPr>
              <w:jc w:val="center"/>
              <w:rPr>
                <w:i/>
                <w:color w:val="000000"/>
                <w:sz w:val="16"/>
                <w:szCs w:val="16"/>
              </w:rPr>
            </w:pPr>
            <w:r w:rsidRPr="00330DD3">
              <w:rPr>
                <w:i/>
                <w:color w:val="000000"/>
                <w:sz w:val="16"/>
                <w:szCs w:val="16"/>
              </w:rPr>
              <w:t>0.1851</w:t>
            </w:r>
          </w:p>
        </w:tc>
      </w:tr>
      <w:tr w:rsidR="00783DA1" w:rsidRPr="00C15F52" w:rsidTr="00F1660B">
        <w:trPr>
          <w:trHeight w:val="20"/>
          <w:jc w:val="center"/>
        </w:trPr>
        <w:tc>
          <w:tcPr>
            <w:tcW w:w="1704" w:type="dxa"/>
            <w:tcBorders>
              <w:bottom w:val="single" w:sz="4" w:space="0" w:color="auto"/>
            </w:tcBorders>
            <w:noWrap/>
            <w:vAlign w:val="bottom"/>
          </w:tcPr>
          <w:p w:rsidR="00783DA1" w:rsidRPr="00330DD3" w:rsidRDefault="00783DA1" w:rsidP="00E04DA5">
            <w:pPr>
              <w:rPr>
                <w:rFonts w:cs="Times New Roman"/>
                <w:i/>
                <w:color w:val="000000"/>
                <w:sz w:val="16"/>
                <w:szCs w:val="16"/>
                <w:lang w:eastAsia="en-GB"/>
              </w:rPr>
            </w:pPr>
            <w:r w:rsidRPr="00330DD3">
              <w:rPr>
                <w:rFonts w:cs="Times New Roman"/>
                <w:i/>
                <w:color w:val="000000"/>
                <w:sz w:val="16"/>
                <w:szCs w:val="16"/>
                <w:lang w:eastAsia="en-GB"/>
              </w:rPr>
              <w:t>No. of observations</w:t>
            </w:r>
          </w:p>
        </w:tc>
        <w:tc>
          <w:tcPr>
            <w:tcW w:w="1910" w:type="dxa"/>
            <w:gridSpan w:val="2"/>
            <w:tcBorders>
              <w:bottom w:val="single" w:sz="4" w:space="0" w:color="auto"/>
            </w:tcBorders>
            <w:noWrap/>
            <w:vAlign w:val="center"/>
          </w:tcPr>
          <w:p w:rsidR="00783DA1" w:rsidRPr="00330DD3" w:rsidRDefault="00783DA1" w:rsidP="00E04DA5">
            <w:pPr>
              <w:jc w:val="center"/>
              <w:rPr>
                <w:rFonts w:cs="Times New Roman"/>
                <w:i/>
                <w:color w:val="000000"/>
                <w:sz w:val="16"/>
                <w:szCs w:val="16"/>
                <w:lang w:eastAsia="en-GB"/>
              </w:rPr>
            </w:pPr>
            <w:r w:rsidRPr="00330DD3">
              <w:rPr>
                <w:rFonts w:cs="Times New Roman"/>
                <w:i/>
                <w:color w:val="000000"/>
                <w:sz w:val="16"/>
                <w:szCs w:val="16"/>
                <w:lang w:eastAsia="en-GB"/>
              </w:rPr>
              <w:t>1152</w:t>
            </w:r>
          </w:p>
        </w:tc>
        <w:tc>
          <w:tcPr>
            <w:tcW w:w="1686" w:type="dxa"/>
            <w:gridSpan w:val="2"/>
            <w:tcBorders>
              <w:bottom w:val="single" w:sz="4" w:space="0" w:color="auto"/>
            </w:tcBorders>
            <w:noWrap/>
            <w:vAlign w:val="center"/>
          </w:tcPr>
          <w:p w:rsidR="00783DA1" w:rsidRPr="00330DD3" w:rsidRDefault="00783DA1" w:rsidP="00E04DA5">
            <w:pPr>
              <w:jc w:val="center"/>
              <w:rPr>
                <w:rFonts w:cs="Times New Roman"/>
                <w:i/>
                <w:color w:val="000000"/>
                <w:sz w:val="16"/>
                <w:szCs w:val="16"/>
                <w:lang w:eastAsia="en-GB"/>
              </w:rPr>
            </w:pPr>
            <w:r w:rsidRPr="00330DD3">
              <w:rPr>
                <w:rFonts w:cs="Times New Roman"/>
                <w:i/>
                <w:color w:val="000000"/>
                <w:sz w:val="16"/>
                <w:szCs w:val="16"/>
                <w:lang w:eastAsia="en-GB"/>
              </w:rPr>
              <w:t>1152</w:t>
            </w:r>
          </w:p>
        </w:tc>
        <w:tc>
          <w:tcPr>
            <w:tcW w:w="1771" w:type="dxa"/>
            <w:gridSpan w:val="2"/>
            <w:tcBorders>
              <w:bottom w:val="single" w:sz="4" w:space="0" w:color="auto"/>
            </w:tcBorders>
            <w:noWrap/>
            <w:vAlign w:val="center"/>
          </w:tcPr>
          <w:p w:rsidR="00783DA1" w:rsidRPr="00330DD3" w:rsidRDefault="00783DA1" w:rsidP="00E04DA5">
            <w:pPr>
              <w:jc w:val="center"/>
              <w:rPr>
                <w:rFonts w:cs="Times New Roman"/>
                <w:i/>
                <w:color w:val="000000"/>
                <w:sz w:val="16"/>
                <w:szCs w:val="16"/>
                <w:lang w:eastAsia="en-GB"/>
              </w:rPr>
            </w:pPr>
            <w:r w:rsidRPr="00330DD3">
              <w:rPr>
                <w:rFonts w:cs="Times New Roman"/>
                <w:i/>
                <w:color w:val="000000"/>
                <w:sz w:val="16"/>
                <w:szCs w:val="16"/>
                <w:lang w:eastAsia="en-GB"/>
              </w:rPr>
              <w:t>1152</w:t>
            </w:r>
          </w:p>
        </w:tc>
        <w:tc>
          <w:tcPr>
            <w:tcW w:w="1741" w:type="dxa"/>
            <w:gridSpan w:val="2"/>
            <w:tcBorders>
              <w:bottom w:val="single" w:sz="4" w:space="0" w:color="auto"/>
            </w:tcBorders>
            <w:vAlign w:val="center"/>
          </w:tcPr>
          <w:p w:rsidR="00783DA1" w:rsidRPr="00330DD3" w:rsidRDefault="00783DA1" w:rsidP="00E04DA5">
            <w:pPr>
              <w:jc w:val="center"/>
              <w:rPr>
                <w:rFonts w:cs="Times New Roman"/>
                <w:i/>
                <w:color w:val="000000"/>
                <w:sz w:val="16"/>
                <w:szCs w:val="16"/>
                <w:lang w:eastAsia="en-GB"/>
              </w:rPr>
            </w:pPr>
            <w:r w:rsidRPr="00330DD3">
              <w:rPr>
                <w:rFonts w:cs="Times New Roman"/>
                <w:i/>
                <w:color w:val="000000"/>
                <w:sz w:val="16"/>
                <w:szCs w:val="16"/>
                <w:lang w:eastAsia="en-GB"/>
              </w:rPr>
              <w:t>1152</w:t>
            </w:r>
          </w:p>
        </w:tc>
        <w:tc>
          <w:tcPr>
            <w:tcW w:w="1771" w:type="dxa"/>
            <w:gridSpan w:val="2"/>
            <w:tcBorders>
              <w:bottom w:val="single" w:sz="4" w:space="0" w:color="auto"/>
            </w:tcBorders>
          </w:tcPr>
          <w:p w:rsidR="00783DA1" w:rsidRPr="00330DD3" w:rsidRDefault="00783DA1" w:rsidP="00E04DA5">
            <w:pPr>
              <w:jc w:val="center"/>
              <w:rPr>
                <w:rFonts w:cs="Times New Roman"/>
                <w:i/>
                <w:color w:val="000000"/>
                <w:sz w:val="16"/>
                <w:szCs w:val="16"/>
                <w:lang w:eastAsia="en-GB"/>
              </w:rPr>
            </w:pPr>
            <w:r w:rsidRPr="00330DD3">
              <w:rPr>
                <w:rFonts w:cs="Times New Roman"/>
                <w:i/>
                <w:color w:val="000000"/>
                <w:sz w:val="16"/>
                <w:szCs w:val="16"/>
                <w:lang w:eastAsia="en-GB"/>
              </w:rPr>
              <w:t>1152</w:t>
            </w:r>
          </w:p>
        </w:tc>
        <w:tc>
          <w:tcPr>
            <w:tcW w:w="1842" w:type="dxa"/>
            <w:gridSpan w:val="2"/>
            <w:tcBorders>
              <w:bottom w:val="single" w:sz="4" w:space="0" w:color="auto"/>
            </w:tcBorders>
          </w:tcPr>
          <w:p w:rsidR="00783DA1" w:rsidRPr="00330DD3" w:rsidRDefault="00783DA1" w:rsidP="00E04DA5">
            <w:pPr>
              <w:jc w:val="center"/>
              <w:rPr>
                <w:rFonts w:cs="Times New Roman"/>
                <w:i/>
                <w:color w:val="000000"/>
                <w:sz w:val="16"/>
                <w:szCs w:val="16"/>
                <w:lang w:eastAsia="en-GB"/>
              </w:rPr>
            </w:pPr>
            <w:r w:rsidRPr="00330DD3">
              <w:rPr>
                <w:rFonts w:cs="Times New Roman"/>
                <w:i/>
                <w:color w:val="000000"/>
                <w:sz w:val="16"/>
                <w:szCs w:val="16"/>
                <w:lang w:eastAsia="en-GB"/>
              </w:rPr>
              <w:t>1152</w:t>
            </w:r>
          </w:p>
        </w:tc>
        <w:tc>
          <w:tcPr>
            <w:tcW w:w="1985" w:type="dxa"/>
            <w:gridSpan w:val="2"/>
            <w:tcBorders>
              <w:bottom w:val="single" w:sz="4" w:space="0" w:color="auto"/>
            </w:tcBorders>
          </w:tcPr>
          <w:p w:rsidR="00783DA1" w:rsidRPr="00330DD3" w:rsidRDefault="00783DA1" w:rsidP="00E04DA5">
            <w:pPr>
              <w:jc w:val="center"/>
              <w:rPr>
                <w:rFonts w:cs="Times New Roman"/>
                <w:i/>
                <w:color w:val="000000"/>
                <w:sz w:val="16"/>
                <w:szCs w:val="16"/>
                <w:lang w:eastAsia="en-GB"/>
              </w:rPr>
            </w:pPr>
            <w:r w:rsidRPr="00330DD3">
              <w:rPr>
                <w:rFonts w:cs="Times New Roman"/>
                <w:i/>
                <w:color w:val="000000"/>
                <w:sz w:val="16"/>
                <w:szCs w:val="16"/>
                <w:lang w:eastAsia="en-GB"/>
              </w:rPr>
              <w:t>1152</w:t>
            </w:r>
          </w:p>
        </w:tc>
        <w:tc>
          <w:tcPr>
            <w:tcW w:w="1923" w:type="dxa"/>
            <w:gridSpan w:val="2"/>
            <w:tcBorders>
              <w:bottom w:val="single" w:sz="4" w:space="0" w:color="auto"/>
            </w:tcBorders>
          </w:tcPr>
          <w:p w:rsidR="00783DA1" w:rsidRPr="00330DD3" w:rsidRDefault="00783DA1" w:rsidP="00E04DA5">
            <w:pPr>
              <w:jc w:val="center"/>
              <w:rPr>
                <w:rFonts w:cs="Times New Roman"/>
                <w:i/>
                <w:color w:val="000000"/>
                <w:sz w:val="16"/>
                <w:szCs w:val="16"/>
                <w:lang w:eastAsia="en-GB"/>
              </w:rPr>
            </w:pPr>
            <w:r w:rsidRPr="00330DD3">
              <w:rPr>
                <w:rFonts w:cs="Times New Roman"/>
                <w:i/>
                <w:color w:val="000000"/>
                <w:sz w:val="16"/>
                <w:szCs w:val="16"/>
                <w:lang w:eastAsia="en-GB"/>
              </w:rPr>
              <w:t>1152</w:t>
            </w:r>
          </w:p>
        </w:tc>
      </w:tr>
      <w:tr w:rsidR="00783DA1" w:rsidRPr="00C15F52" w:rsidTr="004E5B8B">
        <w:trPr>
          <w:trHeight w:val="20"/>
          <w:jc w:val="center"/>
        </w:trPr>
        <w:tc>
          <w:tcPr>
            <w:tcW w:w="16333" w:type="dxa"/>
            <w:gridSpan w:val="17"/>
            <w:tcBorders>
              <w:top w:val="single" w:sz="4" w:space="0" w:color="auto"/>
              <w:bottom w:val="nil"/>
            </w:tcBorders>
            <w:noWrap/>
            <w:vAlign w:val="bottom"/>
          </w:tcPr>
          <w:p w:rsidR="00783DA1" w:rsidRPr="00330DD3" w:rsidRDefault="00112DBD" w:rsidP="00B14676">
            <w:pPr>
              <w:jc w:val="both"/>
              <w:rPr>
                <w:rFonts w:cs="Times New Roman"/>
                <w:i/>
                <w:sz w:val="16"/>
                <w:szCs w:val="16"/>
              </w:rPr>
            </w:pPr>
            <w:r w:rsidRPr="00330DD3">
              <w:rPr>
                <w:rFonts w:cs="Times New Roman"/>
                <w:i/>
                <w:iCs/>
                <w:sz w:val="16"/>
                <w:szCs w:val="16"/>
              </w:rPr>
              <w:t>Notes</w:t>
            </w:r>
            <w:r w:rsidRPr="00330DD3">
              <w:rPr>
                <w:rFonts w:cs="Times New Roman"/>
                <w:i/>
                <w:sz w:val="16"/>
                <w:szCs w:val="16"/>
              </w:rPr>
              <w:t xml:space="preserve">: </w:t>
            </w:r>
            <w:r w:rsidRPr="00330DD3">
              <w:rPr>
                <w:rFonts w:eastAsiaTheme="minorEastAsia" w:cs="Times New Roman"/>
                <w:i/>
                <w:sz w:val="16"/>
                <w:szCs w:val="16"/>
              </w:rPr>
              <w:t xml:space="preserve">OCGI denotes the Omani corporate governance index. </w:t>
            </w:r>
            <w:r w:rsidRPr="00330DD3">
              <w:rPr>
                <w:rFonts w:eastAsiaTheme="minorEastAsia" w:cs="Times New Roman"/>
                <w:i/>
                <w:iCs/>
                <w:sz w:val="16"/>
                <w:szCs w:val="16"/>
              </w:rPr>
              <w:t>IGC</w:t>
            </w:r>
            <w:r w:rsidRPr="00330DD3">
              <w:rPr>
                <w:rFonts w:eastAsiaTheme="minorEastAsia" w:cs="Times New Roman"/>
                <w:i/>
                <w:sz w:val="16"/>
                <w:szCs w:val="16"/>
              </w:rPr>
              <w:t xml:space="preserve">  denotes</w:t>
            </w:r>
            <w:r w:rsidRPr="00330DD3">
              <w:rPr>
                <w:rFonts w:eastAsiaTheme="minorEastAsia" w:cs="Times New Roman"/>
                <w:i/>
                <w:iCs/>
                <w:sz w:val="16"/>
                <w:szCs w:val="16"/>
              </w:rPr>
              <w:t xml:space="preserve">  Islamic governance committee</w:t>
            </w:r>
            <w:r w:rsidRPr="00330DD3">
              <w:rPr>
                <w:rFonts w:eastAsiaTheme="minorEastAsia" w:cs="Times New Roman"/>
                <w:i/>
                <w:sz w:val="16"/>
                <w:szCs w:val="16"/>
              </w:rPr>
              <w:t xml:space="preserve">, </w:t>
            </w:r>
            <w:r w:rsidRPr="00330DD3">
              <w:rPr>
                <w:rFonts w:eastAsiaTheme="minorEastAsia" w:cs="Times New Roman"/>
                <w:i/>
                <w:iCs/>
                <w:sz w:val="16"/>
                <w:szCs w:val="16"/>
              </w:rPr>
              <w:t>BSIZ</w:t>
            </w:r>
            <w:r w:rsidRPr="00330DD3">
              <w:rPr>
                <w:rFonts w:cs="Times New Roman"/>
                <w:i/>
                <w:sz w:val="16"/>
                <w:szCs w:val="16"/>
              </w:rPr>
              <w:t xml:space="preserve"> </w:t>
            </w:r>
            <w:r w:rsidRPr="00330DD3">
              <w:rPr>
                <w:rFonts w:eastAsiaTheme="minorEastAsia" w:cs="Times New Roman"/>
                <w:i/>
                <w:sz w:val="16"/>
                <w:szCs w:val="16"/>
              </w:rPr>
              <w:t>denotes</w:t>
            </w:r>
            <w:r w:rsidRPr="00330DD3">
              <w:rPr>
                <w:rFonts w:cs="Times New Roman"/>
                <w:i/>
                <w:sz w:val="16"/>
                <w:szCs w:val="16"/>
              </w:rPr>
              <w:t xml:space="preserve"> </w:t>
            </w:r>
            <w:r w:rsidRPr="00330DD3">
              <w:rPr>
                <w:rFonts w:eastAsiaTheme="minorEastAsia" w:cs="Times New Roman"/>
                <w:i/>
                <w:sz w:val="16"/>
                <w:szCs w:val="16"/>
              </w:rPr>
              <w:t xml:space="preserve">board size. </w:t>
            </w:r>
            <w:r w:rsidRPr="00330DD3">
              <w:rPr>
                <w:rFonts w:eastAsiaTheme="minorEastAsia" w:cs="Times New Roman"/>
                <w:i/>
                <w:iCs/>
                <w:sz w:val="16"/>
                <w:szCs w:val="16"/>
              </w:rPr>
              <w:t>BIG4</w:t>
            </w:r>
            <w:r w:rsidRPr="00330DD3">
              <w:rPr>
                <w:rFonts w:eastAsiaTheme="minorEastAsia" w:cs="Times New Roman"/>
                <w:i/>
                <w:sz w:val="16"/>
                <w:szCs w:val="16"/>
              </w:rPr>
              <w:t xml:space="preserve"> denotes audit firm size. </w:t>
            </w:r>
            <w:r w:rsidRPr="00330DD3">
              <w:rPr>
                <w:rFonts w:cs="Times New Roman"/>
                <w:i/>
                <w:iCs/>
                <w:sz w:val="16"/>
                <w:szCs w:val="16"/>
              </w:rPr>
              <w:t xml:space="preserve">BLKOWN, GOVOWN, INSOWN </w:t>
            </w:r>
            <w:r w:rsidRPr="00330DD3">
              <w:rPr>
                <w:rFonts w:cs="Times New Roman"/>
                <w:i/>
                <w:sz w:val="16"/>
                <w:szCs w:val="16"/>
              </w:rPr>
              <w:t>and</w:t>
            </w:r>
            <w:r w:rsidRPr="00330DD3">
              <w:rPr>
                <w:rFonts w:cs="Times New Roman"/>
                <w:i/>
                <w:iCs/>
                <w:sz w:val="16"/>
                <w:szCs w:val="16"/>
              </w:rPr>
              <w:t xml:space="preserve"> FOROWN </w:t>
            </w:r>
            <w:r w:rsidRPr="00330DD3">
              <w:rPr>
                <w:rFonts w:eastAsiaTheme="minorEastAsia" w:cs="Times New Roman"/>
                <w:i/>
                <w:sz w:val="16"/>
                <w:szCs w:val="16"/>
              </w:rPr>
              <w:t xml:space="preserve">represent block ownership, government ownership, institutional ownership and foreign ownership structures, respectively. </w:t>
            </w:r>
            <w:r w:rsidRPr="00330DD3">
              <w:rPr>
                <w:rFonts w:cs="Times New Roman"/>
                <w:i/>
                <w:iCs/>
                <w:sz w:val="16"/>
                <w:szCs w:val="16"/>
              </w:rPr>
              <w:t>LNTA</w:t>
            </w:r>
            <w:r w:rsidRPr="00330DD3">
              <w:rPr>
                <w:rFonts w:cs="Times New Roman"/>
                <w:i/>
                <w:sz w:val="16"/>
                <w:szCs w:val="16"/>
              </w:rPr>
              <w:t xml:space="preserve"> </w:t>
            </w:r>
            <w:r w:rsidRPr="00330DD3">
              <w:rPr>
                <w:rFonts w:eastAsiaTheme="minorEastAsia" w:cs="Times New Roman"/>
                <w:i/>
                <w:sz w:val="16"/>
                <w:szCs w:val="16"/>
              </w:rPr>
              <w:t xml:space="preserve">denotes firm size. </w:t>
            </w:r>
            <w:r w:rsidRPr="00330DD3">
              <w:rPr>
                <w:rFonts w:cs="Times New Roman"/>
                <w:i/>
                <w:iCs/>
                <w:sz w:val="16"/>
                <w:szCs w:val="16"/>
              </w:rPr>
              <w:t>ROA</w:t>
            </w:r>
            <w:r w:rsidRPr="00330DD3">
              <w:rPr>
                <w:rFonts w:cs="Times New Roman"/>
                <w:i/>
                <w:sz w:val="16"/>
                <w:szCs w:val="16"/>
              </w:rPr>
              <w:t xml:space="preserve"> </w:t>
            </w:r>
            <w:r w:rsidRPr="00330DD3">
              <w:rPr>
                <w:rFonts w:eastAsiaTheme="minorEastAsia" w:cs="Times New Roman"/>
                <w:i/>
                <w:sz w:val="16"/>
                <w:szCs w:val="16"/>
              </w:rPr>
              <w:t xml:space="preserve">denotes firm profitability. </w:t>
            </w:r>
            <w:r w:rsidRPr="00330DD3">
              <w:rPr>
                <w:rFonts w:cs="Times New Roman"/>
                <w:i/>
                <w:iCs/>
                <w:sz w:val="16"/>
                <w:szCs w:val="16"/>
              </w:rPr>
              <w:t>GROWTH</w:t>
            </w:r>
            <w:r w:rsidRPr="00330DD3">
              <w:rPr>
                <w:rFonts w:cs="Times New Roman"/>
                <w:i/>
                <w:sz w:val="16"/>
                <w:szCs w:val="16"/>
              </w:rPr>
              <w:t xml:space="preserve"> </w:t>
            </w:r>
            <w:r w:rsidRPr="00330DD3">
              <w:rPr>
                <w:rFonts w:eastAsiaTheme="minorEastAsia" w:cs="Times New Roman"/>
                <w:i/>
                <w:sz w:val="16"/>
                <w:szCs w:val="16"/>
              </w:rPr>
              <w:t xml:space="preserve">denotes firm growth. </w:t>
            </w:r>
            <w:r w:rsidRPr="00330DD3">
              <w:rPr>
                <w:rFonts w:cs="Times New Roman"/>
                <w:i/>
                <w:iCs/>
                <w:sz w:val="16"/>
                <w:szCs w:val="16"/>
              </w:rPr>
              <w:t>LVRG</w:t>
            </w:r>
            <w:r w:rsidRPr="00330DD3">
              <w:rPr>
                <w:rFonts w:cs="Times New Roman"/>
                <w:i/>
                <w:sz w:val="16"/>
                <w:szCs w:val="16"/>
              </w:rPr>
              <w:t xml:space="preserve"> </w:t>
            </w:r>
            <w:r w:rsidRPr="00330DD3">
              <w:rPr>
                <w:rFonts w:eastAsiaTheme="minorEastAsia" w:cs="Times New Roman"/>
                <w:i/>
                <w:sz w:val="16"/>
                <w:szCs w:val="16"/>
              </w:rPr>
              <w:t xml:space="preserve">denotes firm leverage. Industry dummies represent dummy variables that are used to capture the basic materials sector, consumer goods sector, consumer service sector, financial sector, health care sector, industrial sector, utility sector and </w:t>
            </w:r>
            <w:r w:rsidRPr="00330DD3">
              <w:rPr>
                <w:rFonts w:eastAsia="Times New Roman" w:cs="Times New Roman"/>
                <w:i/>
                <w:sz w:val="16"/>
                <w:szCs w:val="16"/>
                <w:lang w:eastAsia="en-GB"/>
              </w:rPr>
              <w:t>telecommunications</w:t>
            </w:r>
            <w:r w:rsidRPr="00330DD3">
              <w:rPr>
                <w:rFonts w:eastAsiaTheme="minorEastAsia" w:cs="Times New Roman"/>
                <w:i/>
                <w:sz w:val="16"/>
                <w:szCs w:val="16"/>
              </w:rPr>
              <w:t xml:space="preserve"> sector. Year dummies represent dummy variables that are used to capture year effects (2001-2011). </w:t>
            </w:r>
            <w:r w:rsidRPr="00330DD3">
              <w:rPr>
                <w:rFonts w:cs="Times New Roman"/>
                <w:i/>
                <w:sz w:val="16"/>
                <w:szCs w:val="16"/>
              </w:rPr>
              <w:t xml:space="preserve">The asterisks </w:t>
            </w:r>
            <w:r w:rsidRPr="00330DD3">
              <w:rPr>
                <w:rFonts w:cs="Times New Roman"/>
                <w:i/>
                <w:sz w:val="16"/>
                <w:szCs w:val="16"/>
                <w:vertAlign w:val="superscript"/>
              </w:rPr>
              <w:t>***</w:t>
            </w:r>
            <w:r w:rsidRPr="00330DD3">
              <w:rPr>
                <w:rFonts w:cs="Times New Roman"/>
                <w:i/>
                <w:sz w:val="16"/>
                <w:szCs w:val="16"/>
              </w:rPr>
              <w:t xml:space="preserve">, </w:t>
            </w:r>
            <w:r w:rsidRPr="00330DD3">
              <w:rPr>
                <w:rFonts w:cs="Times New Roman"/>
                <w:i/>
                <w:sz w:val="16"/>
                <w:szCs w:val="16"/>
                <w:vertAlign w:val="superscript"/>
              </w:rPr>
              <w:t>**</w:t>
            </w:r>
            <w:r w:rsidRPr="00330DD3">
              <w:rPr>
                <w:rFonts w:cs="Times New Roman"/>
                <w:i/>
                <w:sz w:val="16"/>
                <w:szCs w:val="16"/>
              </w:rPr>
              <w:t xml:space="preserve">, </w:t>
            </w:r>
            <w:r w:rsidRPr="00330DD3">
              <w:rPr>
                <w:rFonts w:cs="Times New Roman"/>
                <w:i/>
                <w:sz w:val="16"/>
                <w:szCs w:val="16"/>
                <w:vertAlign w:val="superscript"/>
              </w:rPr>
              <w:t>*</w:t>
            </w:r>
            <w:r w:rsidRPr="00330DD3">
              <w:rPr>
                <w:rFonts w:cs="Times New Roman"/>
                <w:i/>
                <w:sz w:val="16"/>
                <w:szCs w:val="16"/>
              </w:rPr>
              <w:t xml:space="preserve"> indicate significance at the 1, 5 and 10% levels, respectively. Adj. </w:t>
            </w:r>
            <w:r w:rsidRPr="00330DD3">
              <w:rPr>
                <w:rFonts w:cs="Times New Roman"/>
                <w:i/>
                <w:iCs/>
                <w:sz w:val="16"/>
                <w:szCs w:val="16"/>
              </w:rPr>
              <w:t>R</w:t>
            </w:r>
            <w:r w:rsidRPr="00330DD3">
              <w:rPr>
                <w:rFonts w:cs="Times New Roman"/>
                <w:i/>
                <w:iCs/>
                <w:sz w:val="16"/>
                <w:szCs w:val="16"/>
                <w:vertAlign w:val="superscript"/>
              </w:rPr>
              <w:t>2</w:t>
            </w:r>
            <w:r w:rsidRPr="00330DD3">
              <w:rPr>
                <w:rFonts w:cs="Times New Roman"/>
                <w:i/>
                <w:sz w:val="16"/>
                <w:szCs w:val="16"/>
              </w:rPr>
              <w:t xml:space="preserve"> </w:t>
            </w:r>
            <w:r w:rsidRPr="00330DD3">
              <w:rPr>
                <w:rFonts w:eastAsiaTheme="minorEastAsia" w:cs="Times New Roman"/>
                <w:i/>
                <w:sz w:val="16"/>
                <w:szCs w:val="16"/>
              </w:rPr>
              <w:t xml:space="preserve">denotes adjusted </w:t>
            </w:r>
            <w:r w:rsidRPr="00330DD3">
              <w:rPr>
                <w:rFonts w:eastAsiaTheme="minorEastAsia" w:cs="Times New Roman"/>
                <w:i/>
                <w:iCs/>
                <w:sz w:val="16"/>
                <w:szCs w:val="16"/>
              </w:rPr>
              <w:t>R</w:t>
            </w:r>
            <w:r w:rsidRPr="00330DD3">
              <w:rPr>
                <w:rFonts w:eastAsiaTheme="minorEastAsia" w:cs="Times New Roman"/>
                <w:i/>
                <w:sz w:val="16"/>
                <w:szCs w:val="16"/>
              </w:rPr>
              <w:t xml:space="preserve"> square. </w:t>
            </w:r>
            <w:r w:rsidRPr="00330DD3">
              <w:rPr>
                <w:rFonts w:eastAsiaTheme="minorEastAsia" w:cs="Times New Roman"/>
                <w:i/>
                <w:iCs/>
                <w:sz w:val="16"/>
                <w:szCs w:val="16"/>
              </w:rPr>
              <w:t>F</w:t>
            </w:r>
            <w:r w:rsidRPr="00330DD3">
              <w:rPr>
                <w:rFonts w:eastAsiaTheme="minorEastAsia" w:cs="Times New Roman"/>
                <w:i/>
                <w:sz w:val="16"/>
                <w:szCs w:val="16"/>
              </w:rPr>
              <w:t xml:space="preserve">-Stat denotes </w:t>
            </w:r>
            <w:r w:rsidRPr="00330DD3">
              <w:rPr>
                <w:rFonts w:cs="Times New Roman"/>
                <w:i/>
                <w:sz w:val="16"/>
                <w:szCs w:val="16"/>
              </w:rPr>
              <w:t xml:space="preserve">the </w:t>
            </w:r>
            <w:r w:rsidRPr="00330DD3">
              <w:rPr>
                <w:rFonts w:cs="Times New Roman"/>
                <w:i/>
                <w:iCs/>
                <w:sz w:val="16"/>
                <w:szCs w:val="16"/>
              </w:rPr>
              <w:t>F</w:t>
            </w:r>
            <w:r w:rsidRPr="00330DD3">
              <w:rPr>
                <w:rFonts w:cs="Times New Roman"/>
                <w:i/>
                <w:sz w:val="16"/>
                <w:szCs w:val="16"/>
              </w:rPr>
              <w:t>-statistics.</w:t>
            </w:r>
          </w:p>
        </w:tc>
      </w:tr>
    </w:tbl>
    <w:p w:rsidR="00610A52" w:rsidRPr="00C15F52" w:rsidRDefault="00610A52" w:rsidP="00610A52">
      <w:pPr>
        <w:pStyle w:val="BodyText"/>
        <w:rPr>
          <w:rFonts w:cs="Times New Roman"/>
        </w:rPr>
      </w:pPr>
    </w:p>
    <w:p w:rsidR="00FD3F29" w:rsidRPr="00C15F52" w:rsidRDefault="00FD3F29" w:rsidP="00610A52">
      <w:pPr>
        <w:pStyle w:val="BodyText"/>
        <w:rPr>
          <w:rFonts w:cs="Times New Roman"/>
        </w:rPr>
        <w:sectPr w:rsidR="00FD3F29" w:rsidRPr="00C15F52" w:rsidSect="00330DD3">
          <w:pgSz w:w="16838" w:h="11906" w:orient="landscape" w:code="9"/>
          <w:pgMar w:top="1021" w:right="1021" w:bottom="1021" w:left="1021" w:header="510" w:footer="510" w:gutter="0"/>
          <w:cols w:space="708"/>
          <w:docGrid w:linePitch="360"/>
        </w:sectPr>
      </w:pPr>
    </w:p>
    <w:tbl>
      <w:tblPr>
        <w:tblW w:w="13735" w:type="dxa"/>
        <w:jc w:val="center"/>
        <w:tblLook w:val="00A0" w:firstRow="1" w:lastRow="0" w:firstColumn="1" w:lastColumn="0" w:noHBand="0" w:noVBand="0"/>
      </w:tblPr>
      <w:tblGrid>
        <w:gridCol w:w="1579"/>
        <w:gridCol w:w="775"/>
        <w:gridCol w:w="889"/>
        <w:gridCol w:w="876"/>
        <w:gridCol w:w="1009"/>
        <w:gridCol w:w="903"/>
        <w:gridCol w:w="891"/>
        <w:gridCol w:w="817"/>
        <w:gridCol w:w="896"/>
        <w:gridCol w:w="845"/>
        <w:gridCol w:w="896"/>
        <w:gridCol w:w="783"/>
        <w:gridCol w:w="896"/>
        <w:gridCol w:w="813"/>
        <w:gridCol w:w="867"/>
      </w:tblGrid>
      <w:tr w:rsidR="00FD3F29" w:rsidRPr="00C15F52" w:rsidTr="00B055BB">
        <w:trPr>
          <w:trHeight w:val="242"/>
          <w:jc w:val="center"/>
        </w:trPr>
        <w:tc>
          <w:tcPr>
            <w:tcW w:w="13735" w:type="dxa"/>
            <w:gridSpan w:val="15"/>
            <w:tcBorders>
              <w:top w:val="nil"/>
              <w:bottom w:val="single" w:sz="2" w:space="0" w:color="auto"/>
            </w:tcBorders>
          </w:tcPr>
          <w:p w:rsidR="008551FA" w:rsidRDefault="008551FA" w:rsidP="00FD3F29">
            <w:pPr>
              <w:rPr>
                <w:rFonts w:cs="Times New Roman"/>
                <w:b/>
                <w:bCs/>
                <w:sz w:val="20"/>
                <w:szCs w:val="20"/>
              </w:rPr>
            </w:pPr>
            <w:r>
              <w:rPr>
                <w:rFonts w:cs="Times New Roman"/>
                <w:b/>
                <w:bCs/>
                <w:sz w:val="20"/>
                <w:szCs w:val="20"/>
              </w:rPr>
              <w:t>Table 7</w:t>
            </w:r>
          </w:p>
          <w:p w:rsidR="00FD3F29" w:rsidRPr="005A79E1" w:rsidRDefault="00AF6496" w:rsidP="00FD3F29">
            <w:pPr>
              <w:rPr>
                <w:rFonts w:cs="Times New Roman"/>
                <w:b/>
                <w:bCs/>
                <w:sz w:val="20"/>
                <w:szCs w:val="20"/>
              </w:rPr>
            </w:pPr>
            <w:r w:rsidRPr="005A79E1">
              <w:rPr>
                <w:rFonts w:cs="Times New Roman"/>
                <w:b/>
                <w:bCs/>
                <w:sz w:val="20"/>
                <w:szCs w:val="20"/>
              </w:rPr>
              <w:t xml:space="preserve"> </w:t>
            </w:r>
            <w:r w:rsidRPr="005A79E1">
              <w:rPr>
                <w:rFonts w:cs="Times New Roman"/>
                <w:b/>
                <w:sz w:val="20"/>
                <w:szCs w:val="20"/>
              </w:rPr>
              <w:t>Robustness tests of the effect</w:t>
            </w:r>
            <w:r w:rsidR="009E7006">
              <w:rPr>
                <w:rFonts w:cs="Times New Roman"/>
                <w:b/>
                <w:sz w:val="20"/>
                <w:szCs w:val="20"/>
              </w:rPr>
              <w:t>s</w:t>
            </w:r>
            <w:r w:rsidRPr="005A79E1">
              <w:rPr>
                <w:rFonts w:cs="Times New Roman"/>
                <w:b/>
                <w:sz w:val="20"/>
                <w:szCs w:val="20"/>
              </w:rPr>
              <w:t xml:space="preserve"> of corporate </w:t>
            </w:r>
            <w:r w:rsidR="009E7006">
              <w:rPr>
                <w:rFonts w:cs="Times New Roman"/>
                <w:b/>
                <w:sz w:val="20"/>
                <w:szCs w:val="20"/>
              </w:rPr>
              <w:t xml:space="preserve">and Islamic </w:t>
            </w:r>
            <w:r w:rsidRPr="005A79E1">
              <w:rPr>
                <w:rFonts w:cs="Times New Roman"/>
                <w:b/>
                <w:sz w:val="20"/>
                <w:szCs w:val="20"/>
              </w:rPr>
              <w:t xml:space="preserve">governance </w:t>
            </w:r>
            <w:r w:rsidR="009E7006">
              <w:rPr>
                <w:rFonts w:cs="Times New Roman"/>
                <w:b/>
                <w:sz w:val="20"/>
                <w:szCs w:val="20"/>
              </w:rPr>
              <w:t xml:space="preserve">mechanisms </w:t>
            </w:r>
            <w:r w:rsidRPr="005A79E1">
              <w:rPr>
                <w:rFonts w:cs="Times New Roman"/>
                <w:b/>
                <w:sz w:val="20"/>
                <w:szCs w:val="20"/>
              </w:rPr>
              <w:t xml:space="preserve">on earnings managements </w:t>
            </w:r>
          </w:p>
        </w:tc>
      </w:tr>
      <w:tr w:rsidR="00FD3F29" w:rsidRPr="00C15F52" w:rsidTr="00B055BB">
        <w:trPr>
          <w:trHeight w:val="242"/>
          <w:jc w:val="center"/>
        </w:trPr>
        <w:tc>
          <w:tcPr>
            <w:tcW w:w="13735" w:type="dxa"/>
            <w:gridSpan w:val="15"/>
            <w:tcBorders>
              <w:top w:val="nil"/>
              <w:bottom w:val="single" w:sz="2" w:space="0" w:color="auto"/>
            </w:tcBorders>
          </w:tcPr>
          <w:p w:rsidR="00FD3F29" w:rsidRPr="00C15F52" w:rsidRDefault="00AF6496" w:rsidP="00FD3F29">
            <w:pPr>
              <w:rPr>
                <w:rFonts w:cs="Times New Roman"/>
                <w:sz w:val="16"/>
                <w:szCs w:val="16"/>
              </w:rPr>
            </w:pPr>
            <w:r>
              <w:rPr>
                <w:rFonts w:cs="Times New Roman"/>
                <w:sz w:val="16"/>
                <w:szCs w:val="16"/>
              </w:rPr>
              <w:t xml:space="preserve">                                      Dependent variable</w:t>
            </w:r>
          </w:p>
        </w:tc>
      </w:tr>
      <w:tr w:rsidR="00FD3F29" w:rsidRPr="00C15F52" w:rsidTr="00B055BB">
        <w:trPr>
          <w:trHeight w:val="302"/>
          <w:jc w:val="center"/>
        </w:trPr>
        <w:tc>
          <w:tcPr>
            <w:tcW w:w="1579" w:type="dxa"/>
            <w:tcBorders>
              <w:top w:val="single" w:sz="2" w:space="0" w:color="auto"/>
              <w:bottom w:val="single" w:sz="4" w:space="0" w:color="auto"/>
            </w:tcBorders>
            <w:noWrap/>
          </w:tcPr>
          <w:p w:rsidR="00FD3F29" w:rsidRPr="00C15F52" w:rsidRDefault="00AF6496" w:rsidP="00A1251F">
            <w:pPr>
              <w:rPr>
                <w:rFonts w:cs="Times New Roman"/>
                <w:iCs/>
                <w:color w:val="000000"/>
                <w:sz w:val="16"/>
                <w:szCs w:val="16"/>
                <w:lang w:eastAsia="en-GB"/>
              </w:rPr>
            </w:pPr>
            <w:r>
              <w:rPr>
                <w:rFonts w:cs="Times New Roman"/>
                <w:i/>
                <w:color w:val="000000"/>
                <w:sz w:val="16"/>
                <w:szCs w:val="16"/>
                <w:lang w:eastAsia="en-GB"/>
              </w:rPr>
              <w:t> Model</w:t>
            </w:r>
          </w:p>
        </w:tc>
        <w:tc>
          <w:tcPr>
            <w:tcW w:w="1664" w:type="dxa"/>
            <w:gridSpan w:val="2"/>
            <w:tcBorders>
              <w:top w:val="single" w:sz="2" w:space="0" w:color="auto"/>
              <w:bottom w:val="single" w:sz="2" w:space="0" w:color="auto"/>
            </w:tcBorders>
          </w:tcPr>
          <w:p w:rsidR="00FD3F29" w:rsidRPr="00C15F52" w:rsidRDefault="00AF6496" w:rsidP="00FD3F29">
            <w:pPr>
              <w:jc w:val="center"/>
              <w:rPr>
                <w:rFonts w:cs="Times New Roman"/>
                <w:i/>
                <w:color w:val="000000"/>
                <w:sz w:val="16"/>
                <w:szCs w:val="16"/>
                <w:lang w:eastAsia="en-GB"/>
              </w:rPr>
            </w:pPr>
            <w:r>
              <w:rPr>
                <w:rFonts w:cs="Times New Roman"/>
                <w:i/>
                <w:color w:val="000000"/>
                <w:sz w:val="16"/>
                <w:szCs w:val="16"/>
                <w:lang w:eastAsia="en-GB"/>
              </w:rPr>
              <w:t>Main Model</w:t>
            </w:r>
          </w:p>
          <w:p w:rsidR="0089693D" w:rsidRPr="00C15F52" w:rsidRDefault="00AF6496" w:rsidP="00FD3F29">
            <w:pPr>
              <w:jc w:val="center"/>
              <w:rPr>
                <w:rFonts w:cs="Times New Roman"/>
                <w:i/>
                <w:color w:val="000000"/>
                <w:sz w:val="16"/>
                <w:szCs w:val="16"/>
                <w:lang w:eastAsia="en-GB"/>
              </w:rPr>
            </w:pPr>
            <w:r>
              <w:rPr>
                <w:rFonts w:cs="Times New Roman"/>
                <w:iCs/>
                <w:color w:val="000000"/>
                <w:sz w:val="16"/>
                <w:szCs w:val="16"/>
                <w:lang w:eastAsia="en-GB"/>
              </w:rPr>
              <w:t>(1)</w:t>
            </w:r>
          </w:p>
        </w:tc>
        <w:tc>
          <w:tcPr>
            <w:tcW w:w="1885" w:type="dxa"/>
            <w:gridSpan w:val="2"/>
            <w:tcBorders>
              <w:top w:val="single" w:sz="2" w:space="0" w:color="auto"/>
              <w:bottom w:val="single" w:sz="2" w:space="0" w:color="auto"/>
            </w:tcBorders>
            <w:noWrap/>
            <w:vAlign w:val="bottom"/>
          </w:tcPr>
          <w:p w:rsidR="00FD3F29" w:rsidRPr="00C15F52" w:rsidRDefault="00AF6496" w:rsidP="00FD3F29">
            <w:pPr>
              <w:jc w:val="center"/>
              <w:rPr>
                <w:rFonts w:cs="Times New Roman"/>
                <w:i/>
                <w:color w:val="000000"/>
                <w:sz w:val="16"/>
                <w:szCs w:val="16"/>
                <w:lang w:eastAsia="en-GB"/>
              </w:rPr>
            </w:pPr>
            <w:r>
              <w:rPr>
                <w:rFonts w:cs="Times New Roman"/>
                <w:i/>
                <w:color w:val="000000"/>
                <w:sz w:val="16"/>
                <w:szCs w:val="16"/>
                <w:lang w:eastAsia="en-GB"/>
              </w:rPr>
              <w:t>Weighted-OCGI</w:t>
            </w:r>
          </w:p>
          <w:p w:rsidR="00FD3F29" w:rsidRPr="00C15F52" w:rsidRDefault="00AF6496" w:rsidP="00FD3F29">
            <w:pPr>
              <w:jc w:val="center"/>
              <w:rPr>
                <w:rFonts w:cs="Times New Roman"/>
                <w:iCs/>
                <w:color w:val="000000"/>
                <w:sz w:val="16"/>
                <w:szCs w:val="16"/>
                <w:lang w:eastAsia="en-GB"/>
              </w:rPr>
            </w:pPr>
            <w:r>
              <w:rPr>
                <w:rFonts w:cs="Times New Roman"/>
                <w:iCs/>
                <w:color w:val="000000"/>
                <w:sz w:val="16"/>
                <w:szCs w:val="16"/>
                <w:lang w:eastAsia="en-GB"/>
              </w:rPr>
              <w:t>(2)</w:t>
            </w:r>
          </w:p>
        </w:tc>
        <w:tc>
          <w:tcPr>
            <w:tcW w:w="1794" w:type="dxa"/>
            <w:gridSpan w:val="2"/>
            <w:tcBorders>
              <w:top w:val="single" w:sz="2" w:space="0" w:color="auto"/>
              <w:bottom w:val="single" w:sz="2" w:space="0" w:color="auto"/>
            </w:tcBorders>
            <w:vAlign w:val="bottom"/>
          </w:tcPr>
          <w:p w:rsidR="00FD3F29" w:rsidRPr="00C15F52" w:rsidRDefault="00AF6496" w:rsidP="00FD3F29">
            <w:pPr>
              <w:jc w:val="center"/>
              <w:rPr>
                <w:rFonts w:cs="Times New Roman"/>
                <w:i/>
                <w:iCs/>
                <w:sz w:val="16"/>
                <w:szCs w:val="16"/>
              </w:rPr>
            </w:pPr>
            <w:r>
              <w:rPr>
                <w:rFonts w:cs="Times New Roman"/>
                <w:i/>
                <w:iCs/>
                <w:sz w:val="16"/>
                <w:szCs w:val="16"/>
              </w:rPr>
              <w:t xml:space="preserve">Kothari Model </w:t>
            </w:r>
          </w:p>
          <w:p w:rsidR="00FD3F29" w:rsidRPr="00C15F52" w:rsidRDefault="00AF6496" w:rsidP="00FD3F29">
            <w:pPr>
              <w:jc w:val="center"/>
              <w:rPr>
                <w:rFonts w:cs="Times New Roman"/>
                <w:color w:val="000000"/>
                <w:sz w:val="16"/>
                <w:szCs w:val="16"/>
                <w:lang w:eastAsia="en-GB"/>
              </w:rPr>
            </w:pPr>
            <w:r>
              <w:rPr>
                <w:rFonts w:cs="Times New Roman"/>
                <w:sz w:val="16"/>
                <w:szCs w:val="16"/>
              </w:rPr>
              <w:t>(3)</w:t>
            </w:r>
          </w:p>
        </w:tc>
        <w:tc>
          <w:tcPr>
            <w:tcW w:w="1713" w:type="dxa"/>
            <w:gridSpan w:val="2"/>
            <w:tcBorders>
              <w:top w:val="single" w:sz="2" w:space="0" w:color="auto"/>
              <w:bottom w:val="single" w:sz="2" w:space="0" w:color="auto"/>
            </w:tcBorders>
            <w:vAlign w:val="bottom"/>
          </w:tcPr>
          <w:p w:rsidR="00FD3F29" w:rsidRPr="00C15F52" w:rsidRDefault="00AF6496" w:rsidP="00FD3F29">
            <w:pPr>
              <w:jc w:val="center"/>
              <w:rPr>
                <w:rFonts w:cs="Times New Roman"/>
                <w:i/>
                <w:iCs/>
                <w:color w:val="000000"/>
                <w:sz w:val="16"/>
                <w:szCs w:val="16"/>
                <w:lang w:eastAsia="en-GB"/>
              </w:rPr>
            </w:pPr>
            <w:r>
              <w:rPr>
                <w:rFonts w:cs="Times New Roman"/>
                <w:i/>
                <w:iCs/>
                <w:color w:val="000000"/>
                <w:sz w:val="16"/>
                <w:szCs w:val="16"/>
                <w:lang w:eastAsia="en-GB"/>
              </w:rPr>
              <w:t>Non-financial</w:t>
            </w:r>
          </w:p>
          <w:p w:rsidR="00FD3F29" w:rsidRPr="00C15F52" w:rsidRDefault="00AF6496" w:rsidP="00FD3F29">
            <w:pPr>
              <w:jc w:val="center"/>
              <w:rPr>
                <w:rFonts w:cs="Times New Roman"/>
                <w:color w:val="000000"/>
                <w:sz w:val="16"/>
                <w:szCs w:val="16"/>
                <w:lang w:eastAsia="en-GB"/>
              </w:rPr>
            </w:pPr>
            <w:r>
              <w:rPr>
                <w:rFonts w:cs="Times New Roman"/>
                <w:color w:val="000000"/>
                <w:sz w:val="16"/>
                <w:szCs w:val="16"/>
                <w:lang w:eastAsia="en-GB"/>
              </w:rPr>
              <w:t>(4)</w:t>
            </w:r>
          </w:p>
        </w:tc>
        <w:tc>
          <w:tcPr>
            <w:tcW w:w="1741" w:type="dxa"/>
            <w:gridSpan w:val="2"/>
            <w:tcBorders>
              <w:top w:val="single" w:sz="2" w:space="0" w:color="auto"/>
              <w:bottom w:val="single" w:sz="2" w:space="0" w:color="auto"/>
            </w:tcBorders>
            <w:vAlign w:val="bottom"/>
          </w:tcPr>
          <w:p w:rsidR="00FD3F29" w:rsidRPr="00C15F52" w:rsidRDefault="00DD130D" w:rsidP="00FD3F29">
            <w:pPr>
              <w:jc w:val="center"/>
              <w:rPr>
                <w:rFonts w:cs="Times New Roman"/>
                <w:i/>
                <w:color w:val="000000"/>
                <w:sz w:val="16"/>
                <w:szCs w:val="16"/>
                <w:lang w:eastAsia="en-GB"/>
              </w:rPr>
            </w:pPr>
            <w:r>
              <w:rPr>
                <w:rFonts w:cs="Times New Roman"/>
                <w:i/>
                <w:color w:val="000000"/>
                <w:sz w:val="16"/>
                <w:szCs w:val="16"/>
                <w:lang w:eastAsia="en-GB"/>
              </w:rPr>
              <w:t>Pre 2003</w:t>
            </w:r>
          </w:p>
          <w:p w:rsidR="00FD3F29" w:rsidRPr="00C15F52" w:rsidRDefault="00AF6496" w:rsidP="00FD3F29">
            <w:pPr>
              <w:jc w:val="center"/>
              <w:rPr>
                <w:rFonts w:cs="Times New Roman"/>
                <w:iCs/>
                <w:color w:val="000000"/>
                <w:sz w:val="16"/>
                <w:szCs w:val="16"/>
                <w:lang w:eastAsia="en-GB"/>
              </w:rPr>
            </w:pPr>
            <w:r>
              <w:rPr>
                <w:rFonts w:cs="Times New Roman"/>
                <w:iCs/>
                <w:color w:val="000000"/>
                <w:sz w:val="16"/>
                <w:szCs w:val="16"/>
                <w:lang w:eastAsia="en-GB"/>
              </w:rPr>
              <w:t>(5)</w:t>
            </w:r>
          </w:p>
        </w:tc>
        <w:tc>
          <w:tcPr>
            <w:tcW w:w="1679" w:type="dxa"/>
            <w:gridSpan w:val="2"/>
            <w:tcBorders>
              <w:top w:val="single" w:sz="2" w:space="0" w:color="auto"/>
              <w:bottom w:val="single" w:sz="2" w:space="0" w:color="auto"/>
            </w:tcBorders>
            <w:vAlign w:val="bottom"/>
          </w:tcPr>
          <w:p w:rsidR="00DD130D" w:rsidRPr="00C15F52" w:rsidRDefault="00DD130D" w:rsidP="00DD130D">
            <w:pPr>
              <w:jc w:val="center"/>
              <w:rPr>
                <w:rFonts w:cs="Times New Roman"/>
                <w:i/>
                <w:color w:val="000000"/>
                <w:sz w:val="16"/>
                <w:szCs w:val="16"/>
                <w:lang w:eastAsia="en-GB"/>
              </w:rPr>
            </w:pPr>
            <w:r>
              <w:rPr>
                <w:rFonts w:cs="Times New Roman"/>
                <w:i/>
                <w:color w:val="000000"/>
                <w:sz w:val="16"/>
                <w:szCs w:val="16"/>
                <w:lang w:eastAsia="en-GB"/>
              </w:rPr>
              <w:t>Post 2003</w:t>
            </w:r>
          </w:p>
          <w:p w:rsidR="00FD3F29" w:rsidRPr="00C15F52" w:rsidRDefault="00DD130D" w:rsidP="00DD130D">
            <w:pPr>
              <w:jc w:val="center"/>
              <w:rPr>
                <w:rFonts w:cs="Times New Roman"/>
                <w:color w:val="000000"/>
                <w:sz w:val="16"/>
                <w:szCs w:val="16"/>
                <w:lang w:eastAsia="en-GB"/>
              </w:rPr>
            </w:pPr>
            <w:r>
              <w:rPr>
                <w:rFonts w:cs="Times New Roman"/>
                <w:sz w:val="16"/>
                <w:szCs w:val="16"/>
              </w:rPr>
              <w:t xml:space="preserve"> </w:t>
            </w:r>
            <w:r w:rsidR="00AF6496">
              <w:rPr>
                <w:rFonts w:cs="Times New Roman"/>
                <w:sz w:val="16"/>
                <w:szCs w:val="16"/>
              </w:rPr>
              <w:t>(6)</w:t>
            </w:r>
          </w:p>
        </w:tc>
        <w:tc>
          <w:tcPr>
            <w:tcW w:w="1680" w:type="dxa"/>
            <w:gridSpan w:val="2"/>
            <w:tcBorders>
              <w:top w:val="single" w:sz="2" w:space="0" w:color="auto"/>
              <w:bottom w:val="single" w:sz="2" w:space="0" w:color="auto"/>
            </w:tcBorders>
            <w:vAlign w:val="bottom"/>
          </w:tcPr>
          <w:p w:rsidR="00FD3F29" w:rsidRPr="00C15F52" w:rsidRDefault="00AF6496" w:rsidP="00FD3F29">
            <w:pPr>
              <w:jc w:val="center"/>
              <w:rPr>
                <w:rFonts w:cs="Times New Roman"/>
                <w:i/>
                <w:iCs/>
                <w:sz w:val="16"/>
                <w:szCs w:val="16"/>
              </w:rPr>
            </w:pPr>
            <w:r>
              <w:rPr>
                <w:rFonts w:cs="Times New Roman"/>
                <w:i/>
                <w:iCs/>
                <w:sz w:val="16"/>
                <w:szCs w:val="16"/>
              </w:rPr>
              <w:t>2SLS</w:t>
            </w:r>
          </w:p>
          <w:p w:rsidR="00FD3F29" w:rsidRPr="00C15F52" w:rsidRDefault="00AF6496" w:rsidP="00FD3F29">
            <w:pPr>
              <w:jc w:val="center"/>
              <w:rPr>
                <w:rFonts w:cs="Times New Roman"/>
                <w:color w:val="000000"/>
                <w:sz w:val="16"/>
                <w:szCs w:val="16"/>
                <w:lang w:eastAsia="en-GB"/>
              </w:rPr>
            </w:pPr>
            <w:r>
              <w:rPr>
                <w:rFonts w:cs="Times New Roman"/>
                <w:sz w:val="16"/>
                <w:szCs w:val="16"/>
              </w:rPr>
              <w:t>(7)</w:t>
            </w:r>
          </w:p>
        </w:tc>
      </w:tr>
      <w:tr w:rsidR="00FD3F29" w:rsidRPr="00C15F52" w:rsidTr="00B055BB">
        <w:trPr>
          <w:trHeight w:val="133"/>
          <w:jc w:val="center"/>
        </w:trPr>
        <w:tc>
          <w:tcPr>
            <w:tcW w:w="1579" w:type="dxa"/>
            <w:tcBorders>
              <w:top w:val="single" w:sz="4" w:space="0" w:color="auto"/>
              <w:bottom w:val="single" w:sz="12" w:space="0" w:color="auto"/>
            </w:tcBorders>
            <w:noWrap/>
            <w:vAlign w:val="bottom"/>
          </w:tcPr>
          <w:p w:rsidR="00FD3F29" w:rsidRPr="00C15F52" w:rsidRDefault="00AF6496" w:rsidP="00FD3F29">
            <w:pPr>
              <w:rPr>
                <w:rFonts w:cs="Times New Roman"/>
                <w:color w:val="000000"/>
                <w:sz w:val="16"/>
                <w:szCs w:val="16"/>
                <w:lang w:eastAsia="en-GB"/>
              </w:rPr>
            </w:pPr>
            <w:r>
              <w:rPr>
                <w:rFonts w:cs="Times New Roman"/>
                <w:sz w:val="16"/>
                <w:szCs w:val="16"/>
                <w:lang w:eastAsia="en-GB"/>
              </w:rPr>
              <w:t>Independent Variable</w:t>
            </w:r>
          </w:p>
        </w:tc>
        <w:tc>
          <w:tcPr>
            <w:tcW w:w="775" w:type="dxa"/>
            <w:tcBorders>
              <w:top w:val="single" w:sz="2" w:space="0" w:color="auto"/>
              <w:bottom w:val="single" w:sz="12" w:space="0" w:color="auto"/>
            </w:tcBorders>
            <w:vAlign w:val="center"/>
          </w:tcPr>
          <w:p w:rsidR="00FD3F29" w:rsidRPr="00C15F52" w:rsidRDefault="00AF6496" w:rsidP="00676F9F">
            <w:pPr>
              <w:rPr>
                <w:rFonts w:cs="Times New Roman"/>
                <w:b/>
                <w:bCs/>
                <w:color w:val="000000"/>
                <w:sz w:val="16"/>
                <w:szCs w:val="16"/>
                <w:lang w:eastAsia="en-GB"/>
              </w:rPr>
            </w:pPr>
            <w:r>
              <w:rPr>
                <w:rFonts w:cs="Times New Roman"/>
                <w:color w:val="000000"/>
                <w:sz w:val="16"/>
                <w:szCs w:val="16"/>
                <w:lang w:eastAsia="en-GB"/>
              </w:rPr>
              <w:t>Coeff</w:t>
            </w:r>
            <w:r>
              <w:rPr>
                <w:rFonts w:cs="Times New Roman"/>
                <w:b/>
                <w:bCs/>
                <w:color w:val="000000"/>
                <w:sz w:val="16"/>
                <w:szCs w:val="16"/>
                <w:lang w:eastAsia="en-GB"/>
              </w:rPr>
              <w:t>.</w:t>
            </w:r>
          </w:p>
        </w:tc>
        <w:tc>
          <w:tcPr>
            <w:tcW w:w="889" w:type="dxa"/>
            <w:tcBorders>
              <w:top w:val="single" w:sz="2" w:space="0" w:color="auto"/>
              <w:bottom w:val="single" w:sz="12" w:space="0" w:color="auto"/>
            </w:tcBorders>
            <w:vAlign w:val="center"/>
          </w:tcPr>
          <w:p w:rsidR="00FD3F29" w:rsidRPr="00C15F52" w:rsidRDefault="00AF6496" w:rsidP="00FD3F29">
            <w:pPr>
              <w:rPr>
                <w:rFonts w:cs="Times New Roman"/>
                <w:color w:val="000000"/>
                <w:sz w:val="16"/>
                <w:szCs w:val="16"/>
                <w:lang w:eastAsia="en-GB"/>
              </w:rPr>
            </w:pPr>
            <w:r>
              <w:rPr>
                <w:rFonts w:cs="Times New Roman"/>
                <w:i/>
                <w:iCs/>
                <w:color w:val="000000"/>
                <w:sz w:val="16"/>
                <w:szCs w:val="16"/>
                <w:lang w:eastAsia="en-GB"/>
              </w:rPr>
              <w:t>P</w:t>
            </w:r>
            <w:r>
              <w:rPr>
                <w:rFonts w:cs="Times New Roman"/>
                <w:color w:val="000000"/>
                <w:sz w:val="16"/>
                <w:szCs w:val="16"/>
                <w:lang w:eastAsia="en-GB"/>
              </w:rPr>
              <w:t>-values</w:t>
            </w:r>
          </w:p>
        </w:tc>
        <w:tc>
          <w:tcPr>
            <w:tcW w:w="876" w:type="dxa"/>
            <w:tcBorders>
              <w:top w:val="single" w:sz="2" w:space="0" w:color="auto"/>
              <w:bottom w:val="single" w:sz="12" w:space="0" w:color="auto"/>
            </w:tcBorders>
            <w:noWrap/>
            <w:vAlign w:val="center"/>
          </w:tcPr>
          <w:p w:rsidR="00FD3F29" w:rsidRPr="00C15F52" w:rsidRDefault="00AF6496" w:rsidP="00676F9F">
            <w:pPr>
              <w:rPr>
                <w:rFonts w:cs="Times New Roman"/>
                <w:b/>
                <w:bCs/>
                <w:color w:val="000000"/>
                <w:sz w:val="16"/>
                <w:szCs w:val="16"/>
                <w:lang w:eastAsia="en-GB"/>
              </w:rPr>
            </w:pPr>
            <w:r>
              <w:rPr>
                <w:rFonts w:cs="Times New Roman"/>
                <w:color w:val="000000"/>
                <w:sz w:val="16"/>
                <w:szCs w:val="16"/>
                <w:lang w:eastAsia="en-GB"/>
              </w:rPr>
              <w:t>Coeff</w:t>
            </w:r>
            <w:r>
              <w:rPr>
                <w:rFonts w:cs="Times New Roman"/>
                <w:b/>
                <w:bCs/>
                <w:color w:val="000000"/>
                <w:sz w:val="16"/>
                <w:szCs w:val="16"/>
                <w:lang w:eastAsia="en-GB"/>
              </w:rPr>
              <w:t>.</w:t>
            </w:r>
          </w:p>
        </w:tc>
        <w:tc>
          <w:tcPr>
            <w:tcW w:w="1009" w:type="dxa"/>
            <w:tcBorders>
              <w:top w:val="single" w:sz="2" w:space="0" w:color="auto"/>
              <w:bottom w:val="single" w:sz="12" w:space="0" w:color="auto"/>
            </w:tcBorders>
            <w:noWrap/>
            <w:vAlign w:val="center"/>
          </w:tcPr>
          <w:p w:rsidR="00FD3F29" w:rsidRPr="00C15F52" w:rsidRDefault="00AF6496" w:rsidP="00FD3F29">
            <w:pPr>
              <w:rPr>
                <w:rFonts w:cs="Times New Roman"/>
                <w:color w:val="000000"/>
                <w:sz w:val="16"/>
                <w:szCs w:val="16"/>
                <w:lang w:eastAsia="en-GB"/>
              </w:rPr>
            </w:pPr>
            <w:r>
              <w:rPr>
                <w:rFonts w:cs="Times New Roman"/>
                <w:i/>
                <w:iCs/>
                <w:color w:val="000000"/>
                <w:sz w:val="16"/>
                <w:szCs w:val="16"/>
                <w:lang w:eastAsia="en-GB"/>
              </w:rPr>
              <w:t>P</w:t>
            </w:r>
            <w:r>
              <w:rPr>
                <w:rFonts w:cs="Times New Roman"/>
                <w:color w:val="000000"/>
                <w:sz w:val="16"/>
                <w:szCs w:val="16"/>
                <w:lang w:eastAsia="en-GB"/>
              </w:rPr>
              <w:t>-values</w:t>
            </w:r>
          </w:p>
        </w:tc>
        <w:tc>
          <w:tcPr>
            <w:tcW w:w="903" w:type="dxa"/>
            <w:tcBorders>
              <w:top w:val="single" w:sz="2" w:space="0" w:color="auto"/>
              <w:bottom w:val="single" w:sz="12" w:space="0" w:color="auto"/>
            </w:tcBorders>
            <w:noWrap/>
            <w:vAlign w:val="center"/>
          </w:tcPr>
          <w:p w:rsidR="00FD3F29" w:rsidRPr="00C15F52" w:rsidRDefault="00AF6496" w:rsidP="00676F9F">
            <w:pPr>
              <w:rPr>
                <w:rFonts w:cs="Times New Roman"/>
                <w:b/>
                <w:bCs/>
                <w:color w:val="000000"/>
                <w:sz w:val="16"/>
                <w:szCs w:val="16"/>
                <w:lang w:eastAsia="en-GB"/>
              </w:rPr>
            </w:pPr>
            <w:r>
              <w:rPr>
                <w:rFonts w:cs="Times New Roman"/>
                <w:color w:val="000000"/>
                <w:sz w:val="16"/>
                <w:szCs w:val="16"/>
                <w:lang w:eastAsia="en-GB"/>
              </w:rPr>
              <w:t>Coeff</w:t>
            </w:r>
            <w:r>
              <w:rPr>
                <w:rFonts w:cs="Times New Roman"/>
                <w:b/>
                <w:bCs/>
                <w:color w:val="000000"/>
                <w:sz w:val="16"/>
                <w:szCs w:val="16"/>
                <w:lang w:eastAsia="en-GB"/>
              </w:rPr>
              <w:t>.</w:t>
            </w:r>
          </w:p>
        </w:tc>
        <w:tc>
          <w:tcPr>
            <w:tcW w:w="891" w:type="dxa"/>
            <w:tcBorders>
              <w:top w:val="single" w:sz="2" w:space="0" w:color="auto"/>
              <w:bottom w:val="single" w:sz="12" w:space="0" w:color="auto"/>
            </w:tcBorders>
            <w:noWrap/>
            <w:vAlign w:val="center"/>
          </w:tcPr>
          <w:p w:rsidR="00FD3F29" w:rsidRPr="00C15F52" w:rsidRDefault="00AF6496" w:rsidP="00676F9F">
            <w:pPr>
              <w:rPr>
                <w:rFonts w:cs="Times New Roman"/>
                <w:color w:val="000000"/>
                <w:sz w:val="16"/>
                <w:szCs w:val="16"/>
                <w:lang w:eastAsia="en-GB"/>
              </w:rPr>
            </w:pPr>
            <w:r>
              <w:rPr>
                <w:rFonts w:cs="Times New Roman"/>
                <w:i/>
                <w:iCs/>
                <w:color w:val="000000"/>
                <w:sz w:val="16"/>
                <w:szCs w:val="16"/>
                <w:lang w:eastAsia="en-GB"/>
              </w:rPr>
              <w:t>P</w:t>
            </w:r>
            <w:r>
              <w:rPr>
                <w:rFonts w:cs="Times New Roman"/>
                <w:color w:val="000000"/>
                <w:sz w:val="16"/>
                <w:szCs w:val="16"/>
                <w:lang w:eastAsia="en-GB"/>
              </w:rPr>
              <w:t>-values</w:t>
            </w:r>
          </w:p>
        </w:tc>
        <w:tc>
          <w:tcPr>
            <w:tcW w:w="817" w:type="dxa"/>
            <w:tcBorders>
              <w:top w:val="single" w:sz="2" w:space="0" w:color="auto"/>
              <w:bottom w:val="single" w:sz="12" w:space="0" w:color="auto"/>
            </w:tcBorders>
            <w:noWrap/>
            <w:vAlign w:val="center"/>
          </w:tcPr>
          <w:p w:rsidR="00FD3F29" w:rsidRPr="00C15F52" w:rsidRDefault="00AF6496" w:rsidP="00676F9F">
            <w:pPr>
              <w:rPr>
                <w:rFonts w:cs="Times New Roman"/>
                <w:b/>
                <w:bCs/>
                <w:color w:val="000000"/>
                <w:sz w:val="16"/>
                <w:szCs w:val="16"/>
                <w:lang w:eastAsia="en-GB"/>
              </w:rPr>
            </w:pPr>
            <w:r>
              <w:rPr>
                <w:rFonts w:cs="Times New Roman"/>
                <w:color w:val="000000"/>
                <w:sz w:val="16"/>
                <w:szCs w:val="16"/>
                <w:lang w:eastAsia="en-GB"/>
              </w:rPr>
              <w:t>Coeff</w:t>
            </w:r>
            <w:r>
              <w:rPr>
                <w:rFonts w:cs="Times New Roman"/>
                <w:b/>
                <w:bCs/>
                <w:color w:val="000000"/>
                <w:sz w:val="16"/>
                <w:szCs w:val="16"/>
                <w:lang w:eastAsia="en-GB"/>
              </w:rPr>
              <w:t>.</w:t>
            </w:r>
          </w:p>
        </w:tc>
        <w:tc>
          <w:tcPr>
            <w:tcW w:w="896" w:type="dxa"/>
            <w:tcBorders>
              <w:top w:val="single" w:sz="2" w:space="0" w:color="auto"/>
              <w:bottom w:val="single" w:sz="12" w:space="0" w:color="auto"/>
            </w:tcBorders>
            <w:vAlign w:val="center"/>
          </w:tcPr>
          <w:p w:rsidR="00FD3F29" w:rsidRPr="00C15F52" w:rsidRDefault="00AF6496" w:rsidP="00676F9F">
            <w:pPr>
              <w:rPr>
                <w:rFonts w:cs="Times New Roman"/>
                <w:color w:val="000000"/>
                <w:sz w:val="16"/>
                <w:szCs w:val="16"/>
                <w:lang w:eastAsia="en-GB"/>
              </w:rPr>
            </w:pPr>
            <w:r>
              <w:rPr>
                <w:rFonts w:cs="Times New Roman"/>
                <w:i/>
                <w:iCs/>
                <w:color w:val="000000"/>
                <w:sz w:val="16"/>
                <w:szCs w:val="16"/>
                <w:lang w:eastAsia="en-GB"/>
              </w:rPr>
              <w:t>P</w:t>
            </w:r>
            <w:r>
              <w:rPr>
                <w:rFonts w:cs="Times New Roman"/>
                <w:color w:val="000000"/>
                <w:sz w:val="16"/>
                <w:szCs w:val="16"/>
                <w:lang w:eastAsia="en-GB"/>
              </w:rPr>
              <w:t>-values</w:t>
            </w:r>
          </w:p>
        </w:tc>
        <w:tc>
          <w:tcPr>
            <w:tcW w:w="845" w:type="dxa"/>
            <w:tcBorders>
              <w:top w:val="single" w:sz="2" w:space="0" w:color="auto"/>
              <w:left w:val="nil"/>
              <w:bottom w:val="single" w:sz="12" w:space="0" w:color="auto"/>
            </w:tcBorders>
            <w:vAlign w:val="center"/>
          </w:tcPr>
          <w:p w:rsidR="00FD3F29" w:rsidRPr="00C15F52" w:rsidRDefault="00AF6496" w:rsidP="00676F9F">
            <w:pPr>
              <w:rPr>
                <w:rFonts w:cs="Times New Roman"/>
                <w:b/>
                <w:bCs/>
                <w:color w:val="000000"/>
                <w:sz w:val="16"/>
                <w:szCs w:val="16"/>
                <w:lang w:eastAsia="en-GB"/>
              </w:rPr>
            </w:pPr>
            <w:r>
              <w:rPr>
                <w:rFonts w:cs="Times New Roman"/>
                <w:color w:val="000000"/>
                <w:sz w:val="16"/>
                <w:szCs w:val="16"/>
                <w:lang w:eastAsia="en-GB"/>
              </w:rPr>
              <w:t>Coeff</w:t>
            </w:r>
            <w:r>
              <w:rPr>
                <w:rFonts w:cs="Times New Roman"/>
                <w:b/>
                <w:bCs/>
                <w:color w:val="000000"/>
                <w:sz w:val="16"/>
                <w:szCs w:val="16"/>
                <w:lang w:eastAsia="en-GB"/>
              </w:rPr>
              <w:t>.</w:t>
            </w:r>
          </w:p>
        </w:tc>
        <w:tc>
          <w:tcPr>
            <w:tcW w:w="896" w:type="dxa"/>
            <w:tcBorders>
              <w:top w:val="single" w:sz="2" w:space="0" w:color="auto"/>
              <w:bottom w:val="single" w:sz="12" w:space="0" w:color="auto"/>
            </w:tcBorders>
            <w:noWrap/>
            <w:vAlign w:val="center"/>
          </w:tcPr>
          <w:p w:rsidR="00FD3F29" w:rsidRPr="00C15F52" w:rsidRDefault="00AF6496" w:rsidP="00676F9F">
            <w:pPr>
              <w:rPr>
                <w:rFonts w:cs="Times New Roman"/>
                <w:color w:val="000000"/>
                <w:sz w:val="16"/>
                <w:szCs w:val="16"/>
                <w:lang w:eastAsia="en-GB"/>
              </w:rPr>
            </w:pPr>
            <w:r>
              <w:rPr>
                <w:rFonts w:cs="Times New Roman"/>
                <w:i/>
                <w:iCs/>
                <w:color w:val="000000"/>
                <w:sz w:val="16"/>
                <w:szCs w:val="16"/>
                <w:lang w:eastAsia="en-GB"/>
              </w:rPr>
              <w:t>P</w:t>
            </w:r>
            <w:r>
              <w:rPr>
                <w:rFonts w:cs="Times New Roman"/>
                <w:color w:val="000000"/>
                <w:sz w:val="16"/>
                <w:szCs w:val="16"/>
                <w:lang w:eastAsia="en-GB"/>
              </w:rPr>
              <w:t>-values</w:t>
            </w:r>
          </w:p>
        </w:tc>
        <w:tc>
          <w:tcPr>
            <w:tcW w:w="783" w:type="dxa"/>
            <w:tcBorders>
              <w:top w:val="single" w:sz="2" w:space="0" w:color="auto"/>
              <w:bottom w:val="single" w:sz="12" w:space="0" w:color="auto"/>
            </w:tcBorders>
            <w:vAlign w:val="center"/>
          </w:tcPr>
          <w:p w:rsidR="00FD3F29" w:rsidRPr="00C15F52" w:rsidRDefault="00AF6496" w:rsidP="00676F9F">
            <w:pPr>
              <w:rPr>
                <w:rFonts w:cs="Times New Roman"/>
                <w:color w:val="000000"/>
                <w:sz w:val="16"/>
                <w:szCs w:val="16"/>
                <w:lang w:eastAsia="en-GB"/>
              </w:rPr>
            </w:pPr>
            <w:r>
              <w:rPr>
                <w:rFonts w:cs="Times New Roman"/>
                <w:color w:val="000000"/>
                <w:sz w:val="16"/>
                <w:szCs w:val="16"/>
                <w:lang w:eastAsia="en-GB"/>
              </w:rPr>
              <w:t>Coeff</w:t>
            </w:r>
            <w:r>
              <w:rPr>
                <w:rFonts w:cs="Times New Roman"/>
                <w:b/>
                <w:bCs/>
                <w:color w:val="000000"/>
                <w:sz w:val="16"/>
                <w:szCs w:val="16"/>
                <w:lang w:eastAsia="en-GB"/>
              </w:rPr>
              <w:t>.</w:t>
            </w:r>
          </w:p>
        </w:tc>
        <w:tc>
          <w:tcPr>
            <w:tcW w:w="896" w:type="dxa"/>
            <w:tcBorders>
              <w:top w:val="single" w:sz="2" w:space="0" w:color="auto"/>
              <w:bottom w:val="single" w:sz="12" w:space="0" w:color="auto"/>
            </w:tcBorders>
            <w:vAlign w:val="center"/>
          </w:tcPr>
          <w:p w:rsidR="00FD3F29" w:rsidRPr="00C15F52" w:rsidRDefault="00AF6496" w:rsidP="00676F9F">
            <w:pPr>
              <w:rPr>
                <w:rFonts w:cs="Times New Roman"/>
                <w:color w:val="000000"/>
                <w:sz w:val="16"/>
                <w:szCs w:val="16"/>
                <w:lang w:eastAsia="en-GB"/>
              </w:rPr>
            </w:pPr>
            <w:r>
              <w:rPr>
                <w:rFonts w:cs="Times New Roman"/>
                <w:i/>
                <w:iCs/>
                <w:color w:val="000000"/>
                <w:sz w:val="16"/>
                <w:szCs w:val="16"/>
                <w:lang w:eastAsia="en-GB"/>
              </w:rPr>
              <w:t>P</w:t>
            </w:r>
            <w:r>
              <w:rPr>
                <w:rFonts w:cs="Times New Roman"/>
                <w:color w:val="000000"/>
                <w:sz w:val="16"/>
                <w:szCs w:val="16"/>
                <w:lang w:eastAsia="en-GB"/>
              </w:rPr>
              <w:t>-values</w:t>
            </w:r>
          </w:p>
        </w:tc>
        <w:tc>
          <w:tcPr>
            <w:tcW w:w="813" w:type="dxa"/>
            <w:tcBorders>
              <w:top w:val="single" w:sz="2" w:space="0" w:color="auto"/>
              <w:bottom w:val="single" w:sz="12" w:space="0" w:color="auto"/>
            </w:tcBorders>
            <w:vAlign w:val="center"/>
          </w:tcPr>
          <w:p w:rsidR="00FD3F29" w:rsidRPr="00C15F52" w:rsidRDefault="00AF6496" w:rsidP="00676F9F">
            <w:pPr>
              <w:rPr>
                <w:rFonts w:cs="Times New Roman"/>
                <w:color w:val="000000"/>
                <w:sz w:val="16"/>
                <w:szCs w:val="16"/>
                <w:lang w:eastAsia="en-GB"/>
              </w:rPr>
            </w:pPr>
            <w:r>
              <w:rPr>
                <w:rFonts w:cs="Times New Roman"/>
                <w:color w:val="000000"/>
                <w:sz w:val="16"/>
                <w:szCs w:val="16"/>
                <w:lang w:eastAsia="en-GB"/>
              </w:rPr>
              <w:t>Coeff</w:t>
            </w:r>
            <w:r>
              <w:rPr>
                <w:rFonts w:cs="Times New Roman"/>
                <w:b/>
                <w:bCs/>
                <w:color w:val="000000"/>
                <w:sz w:val="16"/>
                <w:szCs w:val="16"/>
                <w:lang w:eastAsia="en-GB"/>
              </w:rPr>
              <w:t>.</w:t>
            </w:r>
          </w:p>
        </w:tc>
        <w:tc>
          <w:tcPr>
            <w:tcW w:w="867" w:type="dxa"/>
            <w:tcBorders>
              <w:top w:val="single" w:sz="2" w:space="0" w:color="auto"/>
              <w:bottom w:val="single" w:sz="12" w:space="0" w:color="auto"/>
            </w:tcBorders>
            <w:vAlign w:val="center"/>
          </w:tcPr>
          <w:p w:rsidR="00FD3F29" w:rsidRPr="00C15F52" w:rsidRDefault="00AF6496" w:rsidP="00676F9F">
            <w:pPr>
              <w:rPr>
                <w:rFonts w:cs="Times New Roman"/>
                <w:color w:val="000000"/>
                <w:sz w:val="16"/>
                <w:szCs w:val="16"/>
                <w:lang w:eastAsia="en-GB"/>
              </w:rPr>
            </w:pPr>
            <w:r>
              <w:rPr>
                <w:rFonts w:cs="Times New Roman"/>
                <w:i/>
                <w:iCs/>
                <w:color w:val="000000"/>
                <w:sz w:val="16"/>
                <w:szCs w:val="16"/>
                <w:lang w:eastAsia="en-GB"/>
              </w:rPr>
              <w:t>P</w:t>
            </w:r>
            <w:r>
              <w:rPr>
                <w:rFonts w:cs="Times New Roman"/>
                <w:color w:val="000000"/>
                <w:sz w:val="16"/>
                <w:szCs w:val="16"/>
                <w:lang w:eastAsia="en-GB"/>
              </w:rPr>
              <w:t>-values</w:t>
            </w:r>
          </w:p>
        </w:tc>
      </w:tr>
      <w:tr w:rsidR="00FC1C5C" w:rsidRPr="00C15F52" w:rsidTr="00B055BB">
        <w:trPr>
          <w:trHeight w:val="230"/>
          <w:jc w:val="center"/>
        </w:trPr>
        <w:tc>
          <w:tcPr>
            <w:tcW w:w="1579" w:type="dxa"/>
            <w:noWrap/>
            <w:vAlign w:val="bottom"/>
          </w:tcPr>
          <w:p w:rsidR="00FC1C5C" w:rsidRPr="00C15F52" w:rsidRDefault="00FC1C5C" w:rsidP="00F73526">
            <w:pPr>
              <w:rPr>
                <w:rFonts w:cs="Times New Roman"/>
                <w:sz w:val="16"/>
                <w:szCs w:val="16"/>
              </w:rPr>
            </w:pPr>
            <w:r>
              <w:rPr>
                <w:rFonts w:cs="Times New Roman"/>
                <w:sz w:val="16"/>
                <w:szCs w:val="16"/>
              </w:rPr>
              <w:t xml:space="preserve">   OCGI</w:t>
            </w:r>
          </w:p>
        </w:tc>
        <w:tc>
          <w:tcPr>
            <w:tcW w:w="775" w:type="dxa"/>
            <w:vAlign w:val="bottom"/>
          </w:tcPr>
          <w:p w:rsidR="00FC1C5C" w:rsidRPr="00D365F1" w:rsidRDefault="00FC1C5C" w:rsidP="00FC1C5C">
            <w:pPr>
              <w:jc w:val="right"/>
              <w:rPr>
                <w:rFonts w:ascii="Calibri" w:hAnsi="Calibri" w:cs="Calibri"/>
                <w:color w:val="000000"/>
                <w:sz w:val="16"/>
                <w:szCs w:val="16"/>
              </w:rPr>
            </w:pPr>
            <w:r w:rsidRPr="00D365F1">
              <w:rPr>
                <w:rFonts w:ascii="Calibri" w:hAnsi="Calibri" w:cs="Calibri"/>
                <w:color w:val="000000"/>
                <w:sz w:val="16"/>
                <w:szCs w:val="16"/>
              </w:rPr>
              <w:t>-0.0005</w:t>
            </w:r>
          </w:p>
        </w:tc>
        <w:tc>
          <w:tcPr>
            <w:tcW w:w="889" w:type="dxa"/>
            <w:vAlign w:val="bottom"/>
          </w:tcPr>
          <w:p w:rsidR="00FC1C5C" w:rsidRDefault="00FC1C5C" w:rsidP="00FC1C5C">
            <w:pPr>
              <w:rPr>
                <w:color w:val="000000"/>
                <w:sz w:val="16"/>
                <w:szCs w:val="16"/>
              </w:rPr>
            </w:pPr>
            <w:r>
              <w:rPr>
                <w:color w:val="000000"/>
                <w:sz w:val="16"/>
                <w:szCs w:val="16"/>
              </w:rPr>
              <w:t>0.0749</w:t>
            </w:r>
            <w:r w:rsidRPr="00D365F1">
              <w:rPr>
                <w:color w:val="000000"/>
                <w:sz w:val="16"/>
                <w:szCs w:val="16"/>
                <w:vertAlign w:val="superscript"/>
              </w:rPr>
              <w:t>*</w:t>
            </w:r>
          </w:p>
        </w:tc>
        <w:tc>
          <w:tcPr>
            <w:tcW w:w="876" w:type="dxa"/>
            <w:noWrap/>
            <w:vAlign w:val="bottom"/>
          </w:tcPr>
          <w:p w:rsidR="00FC1C5C" w:rsidRDefault="00FC1C5C">
            <w:pPr>
              <w:jc w:val="right"/>
              <w:rPr>
                <w:color w:val="000000"/>
                <w:sz w:val="16"/>
                <w:szCs w:val="16"/>
              </w:rPr>
            </w:pPr>
            <w:r>
              <w:rPr>
                <w:color w:val="000000"/>
                <w:sz w:val="16"/>
                <w:szCs w:val="16"/>
              </w:rPr>
              <w:t>-0.0006</w:t>
            </w:r>
          </w:p>
        </w:tc>
        <w:tc>
          <w:tcPr>
            <w:tcW w:w="1009" w:type="dxa"/>
            <w:noWrap/>
            <w:vAlign w:val="bottom"/>
          </w:tcPr>
          <w:p w:rsidR="00FC1C5C" w:rsidRDefault="00FC1C5C" w:rsidP="0030462B">
            <w:pPr>
              <w:rPr>
                <w:color w:val="000000"/>
                <w:sz w:val="16"/>
                <w:szCs w:val="16"/>
              </w:rPr>
            </w:pPr>
            <w:r>
              <w:rPr>
                <w:color w:val="000000"/>
                <w:sz w:val="16"/>
                <w:szCs w:val="16"/>
              </w:rPr>
              <w:t>0.0442</w:t>
            </w:r>
            <w:r w:rsidRPr="00E20E99">
              <w:rPr>
                <w:color w:val="000000"/>
                <w:sz w:val="16"/>
                <w:szCs w:val="16"/>
                <w:vertAlign w:val="superscript"/>
              </w:rPr>
              <w:t>**</w:t>
            </w:r>
          </w:p>
        </w:tc>
        <w:tc>
          <w:tcPr>
            <w:tcW w:w="903" w:type="dxa"/>
            <w:noWrap/>
            <w:vAlign w:val="bottom"/>
          </w:tcPr>
          <w:p w:rsidR="00FC1C5C" w:rsidRPr="00C15F52" w:rsidRDefault="00FC1C5C" w:rsidP="00FC1C5C">
            <w:pPr>
              <w:jc w:val="right"/>
              <w:rPr>
                <w:rFonts w:cs="Times New Roman"/>
                <w:color w:val="000000"/>
                <w:sz w:val="16"/>
                <w:szCs w:val="16"/>
              </w:rPr>
            </w:pPr>
            <w:r>
              <w:rPr>
                <w:color w:val="000000"/>
                <w:sz w:val="16"/>
                <w:szCs w:val="16"/>
              </w:rPr>
              <w:t>-0.0005</w:t>
            </w:r>
          </w:p>
        </w:tc>
        <w:tc>
          <w:tcPr>
            <w:tcW w:w="891" w:type="dxa"/>
            <w:noWrap/>
            <w:vAlign w:val="bottom"/>
          </w:tcPr>
          <w:p w:rsidR="00FC1C5C" w:rsidRDefault="00FC1C5C" w:rsidP="00FC1C5C">
            <w:pPr>
              <w:rPr>
                <w:color w:val="000000"/>
                <w:sz w:val="16"/>
                <w:szCs w:val="16"/>
              </w:rPr>
            </w:pPr>
            <w:r>
              <w:rPr>
                <w:color w:val="000000"/>
                <w:sz w:val="16"/>
                <w:szCs w:val="16"/>
              </w:rPr>
              <w:t>0.0844</w:t>
            </w:r>
            <w:r w:rsidRPr="00FC1C5C">
              <w:rPr>
                <w:color w:val="000000"/>
                <w:sz w:val="16"/>
                <w:szCs w:val="16"/>
                <w:vertAlign w:val="superscript"/>
              </w:rPr>
              <w:t>*</w:t>
            </w:r>
          </w:p>
        </w:tc>
        <w:tc>
          <w:tcPr>
            <w:tcW w:w="817" w:type="dxa"/>
            <w:noWrap/>
            <w:vAlign w:val="bottom"/>
          </w:tcPr>
          <w:p w:rsidR="00FC1C5C" w:rsidRDefault="008310B6" w:rsidP="008310B6">
            <w:pPr>
              <w:rPr>
                <w:color w:val="000000"/>
                <w:sz w:val="16"/>
                <w:szCs w:val="16"/>
              </w:rPr>
            </w:pPr>
            <w:r>
              <w:rPr>
                <w:color w:val="000000"/>
                <w:sz w:val="16"/>
                <w:szCs w:val="16"/>
              </w:rPr>
              <w:t>-0.0009</w:t>
            </w:r>
          </w:p>
        </w:tc>
        <w:tc>
          <w:tcPr>
            <w:tcW w:w="896" w:type="dxa"/>
            <w:vAlign w:val="bottom"/>
          </w:tcPr>
          <w:p w:rsidR="00FC1C5C" w:rsidRPr="008310B6" w:rsidRDefault="008310B6" w:rsidP="005F6480">
            <w:pPr>
              <w:rPr>
                <w:color w:val="000000"/>
                <w:sz w:val="16"/>
                <w:szCs w:val="16"/>
              </w:rPr>
            </w:pPr>
            <w:r>
              <w:rPr>
                <w:color w:val="000000"/>
                <w:sz w:val="16"/>
                <w:szCs w:val="16"/>
              </w:rPr>
              <w:t>0.0014</w:t>
            </w:r>
            <w:r w:rsidR="00B877DC" w:rsidRPr="00B877DC">
              <w:rPr>
                <w:color w:val="000000"/>
                <w:sz w:val="16"/>
                <w:szCs w:val="16"/>
                <w:vertAlign w:val="superscript"/>
              </w:rPr>
              <w:t>***</w:t>
            </w:r>
          </w:p>
        </w:tc>
        <w:tc>
          <w:tcPr>
            <w:tcW w:w="845" w:type="dxa"/>
            <w:tcBorders>
              <w:left w:val="nil"/>
            </w:tcBorders>
            <w:vAlign w:val="bottom"/>
          </w:tcPr>
          <w:p w:rsidR="00FC1C5C" w:rsidRPr="00395DB2" w:rsidRDefault="00395DB2" w:rsidP="005F6480">
            <w:pPr>
              <w:rPr>
                <w:color w:val="000000"/>
                <w:sz w:val="16"/>
                <w:szCs w:val="16"/>
              </w:rPr>
            </w:pPr>
            <w:r>
              <w:rPr>
                <w:color w:val="000000"/>
                <w:sz w:val="16"/>
                <w:szCs w:val="16"/>
              </w:rPr>
              <w:t>-0.0008</w:t>
            </w:r>
          </w:p>
        </w:tc>
        <w:tc>
          <w:tcPr>
            <w:tcW w:w="896" w:type="dxa"/>
            <w:noWrap/>
            <w:vAlign w:val="bottom"/>
          </w:tcPr>
          <w:p w:rsidR="00FC1C5C" w:rsidRPr="005F6480" w:rsidRDefault="005F6480" w:rsidP="005F6480">
            <w:pPr>
              <w:rPr>
                <w:color w:val="000000"/>
                <w:sz w:val="16"/>
                <w:szCs w:val="16"/>
              </w:rPr>
            </w:pPr>
            <w:r>
              <w:rPr>
                <w:color w:val="000000"/>
                <w:sz w:val="16"/>
                <w:szCs w:val="16"/>
              </w:rPr>
              <w:t>0.1161</w:t>
            </w:r>
          </w:p>
        </w:tc>
        <w:tc>
          <w:tcPr>
            <w:tcW w:w="783" w:type="dxa"/>
            <w:vAlign w:val="bottom"/>
          </w:tcPr>
          <w:p w:rsidR="00FC1C5C" w:rsidRPr="00395DB2" w:rsidRDefault="00395DB2" w:rsidP="005F6480">
            <w:pPr>
              <w:rPr>
                <w:color w:val="000000"/>
                <w:sz w:val="16"/>
                <w:szCs w:val="16"/>
              </w:rPr>
            </w:pPr>
            <w:r>
              <w:rPr>
                <w:color w:val="000000"/>
                <w:sz w:val="16"/>
                <w:szCs w:val="16"/>
              </w:rPr>
              <w:t>-0.0004</w:t>
            </w:r>
          </w:p>
        </w:tc>
        <w:tc>
          <w:tcPr>
            <w:tcW w:w="896" w:type="dxa"/>
            <w:vAlign w:val="bottom"/>
          </w:tcPr>
          <w:p w:rsidR="00FC1C5C" w:rsidRPr="00395DB2" w:rsidRDefault="00395DB2" w:rsidP="005F6480">
            <w:pPr>
              <w:rPr>
                <w:color w:val="000000"/>
                <w:sz w:val="16"/>
                <w:szCs w:val="16"/>
              </w:rPr>
            </w:pPr>
            <w:r>
              <w:rPr>
                <w:color w:val="000000"/>
                <w:sz w:val="16"/>
                <w:szCs w:val="16"/>
              </w:rPr>
              <w:t>0.0950</w:t>
            </w:r>
            <w:r w:rsidRPr="00B055BB">
              <w:rPr>
                <w:color w:val="000000"/>
                <w:sz w:val="16"/>
                <w:szCs w:val="16"/>
                <w:vertAlign w:val="superscript"/>
              </w:rPr>
              <w:t>*</w:t>
            </w:r>
          </w:p>
        </w:tc>
        <w:tc>
          <w:tcPr>
            <w:tcW w:w="813" w:type="dxa"/>
            <w:vAlign w:val="bottom"/>
          </w:tcPr>
          <w:p w:rsidR="00FC1C5C" w:rsidRPr="00C15F52" w:rsidRDefault="00B055BB" w:rsidP="00B055BB">
            <w:pPr>
              <w:jc w:val="center"/>
              <w:rPr>
                <w:rFonts w:cs="Times New Roman"/>
                <w:color w:val="000000"/>
                <w:sz w:val="16"/>
                <w:szCs w:val="16"/>
              </w:rPr>
            </w:pPr>
            <w:r>
              <w:rPr>
                <w:rFonts w:cs="Times New Roman"/>
                <w:color w:val="000000"/>
                <w:sz w:val="16"/>
                <w:szCs w:val="16"/>
              </w:rPr>
              <w:t>-</w:t>
            </w:r>
          </w:p>
        </w:tc>
        <w:tc>
          <w:tcPr>
            <w:tcW w:w="867" w:type="dxa"/>
            <w:vAlign w:val="bottom"/>
          </w:tcPr>
          <w:p w:rsidR="00FC1C5C" w:rsidRPr="00C15F52" w:rsidRDefault="00B055BB" w:rsidP="00B055BB">
            <w:pPr>
              <w:rPr>
                <w:rFonts w:cs="Times New Roman"/>
                <w:color w:val="000000"/>
                <w:sz w:val="16"/>
                <w:szCs w:val="16"/>
              </w:rPr>
            </w:pPr>
            <w:r>
              <w:rPr>
                <w:rFonts w:cs="Times New Roman"/>
                <w:color w:val="000000"/>
                <w:sz w:val="16"/>
                <w:szCs w:val="16"/>
              </w:rPr>
              <w:t xml:space="preserve">     -</w:t>
            </w:r>
          </w:p>
        </w:tc>
      </w:tr>
      <w:tr w:rsidR="00FC1C5C" w:rsidRPr="00C15F52" w:rsidTr="00B055BB">
        <w:trPr>
          <w:trHeight w:val="230"/>
          <w:jc w:val="center"/>
        </w:trPr>
        <w:tc>
          <w:tcPr>
            <w:tcW w:w="1579" w:type="dxa"/>
            <w:noWrap/>
            <w:vAlign w:val="bottom"/>
          </w:tcPr>
          <w:p w:rsidR="00FC1C5C" w:rsidRPr="00C15F52" w:rsidRDefault="00FC1C5C" w:rsidP="00F73526">
            <w:pPr>
              <w:rPr>
                <w:rFonts w:cs="Times New Roman"/>
                <w:sz w:val="16"/>
                <w:szCs w:val="16"/>
              </w:rPr>
            </w:pPr>
            <w:r>
              <w:rPr>
                <w:rFonts w:cs="Times New Roman"/>
                <w:sz w:val="16"/>
                <w:szCs w:val="16"/>
              </w:rPr>
              <w:t xml:space="preserve">   P_OCGI</w:t>
            </w:r>
          </w:p>
        </w:tc>
        <w:tc>
          <w:tcPr>
            <w:tcW w:w="775" w:type="dxa"/>
            <w:vAlign w:val="bottom"/>
          </w:tcPr>
          <w:p w:rsidR="00FC1C5C" w:rsidRPr="00C15F52" w:rsidRDefault="00FC1C5C" w:rsidP="00B877DC">
            <w:pPr>
              <w:jc w:val="center"/>
              <w:rPr>
                <w:rFonts w:cs="Times New Roman"/>
                <w:color w:val="000000"/>
                <w:sz w:val="16"/>
                <w:szCs w:val="16"/>
              </w:rPr>
            </w:pPr>
            <w:r>
              <w:rPr>
                <w:rFonts w:cs="Times New Roman"/>
                <w:color w:val="000000"/>
                <w:sz w:val="16"/>
                <w:szCs w:val="16"/>
              </w:rPr>
              <w:t>-</w:t>
            </w:r>
          </w:p>
        </w:tc>
        <w:tc>
          <w:tcPr>
            <w:tcW w:w="889" w:type="dxa"/>
            <w:vAlign w:val="bottom"/>
          </w:tcPr>
          <w:p w:rsidR="00FC1C5C" w:rsidRPr="00C15F52" w:rsidRDefault="00FC1C5C" w:rsidP="00B877DC">
            <w:pPr>
              <w:jc w:val="center"/>
              <w:rPr>
                <w:rFonts w:cs="Times New Roman"/>
                <w:color w:val="000000"/>
                <w:sz w:val="16"/>
                <w:szCs w:val="16"/>
              </w:rPr>
            </w:pPr>
            <w:r>
              <w:rPr>
                <w:rFonts w:cs="Times New Roman"/>
                <w:color w:val="000000"/>
                <w:sz w:val="16"/>
                <w:szCs w:val="16"/>
              </w:rPr>
              <w:t>-</w:t>
            </w:r>
          </w:p>
        </w:tc>
        <w:tc>
          <w:tcPr>
            <w:tcW w:w="876" w:type="dxa"/>
            <w:noWrap/>
            <w:vAlign w:val="bottom"/>
          </w:tcPr>
          <w:p w:rsidR="00FC1C5C" w:rsidRPr="00C15F52" w:rsidRDefault="00671F35" w:rsidP="00B877DC">
            <w:pPr>
              <w:jc w:val="center"/>
              <w:rPr>
                <w:rFonts w:cs="Times New Roman"/>
                <w:color w:val="000000"/>
                <w:sz w:val="16"/>
                <w:szCs w:val="16"/>
              </w:rPr>
            </w:pPr>
            <w:r>
              <w:rPr>
                <w:rFonts w:cs="Times New Roman"/>
                <w:color w:val="000000"/>
                <w:sz w:val="16"/>
                <w:szCs w:val="16"/>
              </w:rPr>
              <w:t xml:space="preserve"> </w:t>
            </w:r>
            <w:r w:rsidR="00FC1C5C">
              <w:rPr>
                <w:rFonts w:cs="Times New Roman"/>
                <w:color w:val="000000"/>
                <w:sz w:val="16"/>
                <w:szCs w:val="16"/>
              </w:rPr>
              <w:t>-</w:t>
            </w:r>
          </w:p>
        </w:tc>
        <w:tc>
          <w:tcPr>
            <w:tcW w:w="1009" w:type="dxa"/>
            <w:noWrap/>
            <w:vAlign w:val="bottom"/>
          </w:tcPr>
          <w:p w:rsidR="00FC1C5C" w:rsidRPr="00C15F52" w:rsidRDefault="00671F35" w:rsidP="00671F35">
            <w:pPr>
              <w:rPr>
                <w:rFonts w:cs="Times New Roman"/>
                <w:color w:val="000000"/>
                <w:sz w:val="16"/>
                <w:szCs w:val="16"/>
              </w:rPr>
            </w:pPr>
            <w:r>
              <w:rPr>
                <w:rFonts w:cs="Times New Roman"/>
                <w:color w:val="000000"/>
                <w:sz w:val="16"/>
                <w:szCs w:val="16"/>
              </w:rPr>
              <w:t xml:space="preserve">   </w:t>
            </w:r>
            <w:r w:rsidR="00FC1C5C">
              <w:rPr>
                <w:rFonts w:cs="Times New Roman"/>
                <w:color w:val="000000"/>
                <w:sz w:val="16"/>
                <w:szCs w:val="16"/>
              </w:rPr>
              <w:t>-</w:t>
            </w:r>
          </w:p>
        </w:tc>
        <w:tc>
          <w:tcPr>
            <w:tcW w:w="903" w:type="dxa"/>
            <w:noWrap/>
            <w:vAlign w:val="bottom"/>
          </w:tcPr>
          <w:p w:rsidR="00FC1C5C" w:rsidRDefault="00671F35" w:rsidP="00B877DC">
            <w:pPr>
              <w:jc w:val="center"/>
              <w:rPr>
                <w:color w:val="000000"/>
                <w:sz w:val="16"/>
                <w:szCs w:val="16"/>
              </w:rPr>
            </w:pPr>
            <w:r>
              <w:rPr>
                <w:rFonts w:cs="Times New Roman"/>
                <w:color w:val="000000"/>
                <w:sz w:val="16"/>
                <w:szCs w:val="16"/>
              </w:rPr>
              <w:t xml:space="preserve">  </w:t>
            </w:r>
            <w:r w:rsidR="00FC1C5C">
              <w:rPr>
                <w:rFonts w:cs="Times New Roman"/>
                <w:color w:val="000000"/>
                <w:sz w:val="16"/>
                <w:szCs w:val="16"/>
              </w:rPr>
              <w:t>-</w:t>
            </w:r>
          </w:p>
        </w:tc>
        <w:tc>
          <w:tcPr>
            <w:tcW w:w="891" w:type="dxa"/>
            <w:noWrap/>
            <w:vAlign w:val="bottom"/>
          </w:tcPr>
          <w:p w:rsidR="00FC1C5C" w:rsidRPr="00C15F52" w:rsidRDefault="00671F35" w:rsidP="00671F35">
            <w:pPr>
              <w:rPr>
                <w:rFonts w:cs="Times New Roman"/>
                <w:color w:val="000000"/>
                <w:sz w:val="16"/>
                <w:szCs w:val="16"/>
              </w:rPr>
            </w:pPr>
            <w:r>
              <w:rPr>
                <w:rFonts w:cs="Times New Roman"/>
                <w:color w:val="000000"/>
                <w:sz w:val="16"/>
                <w:szCs w:val="16"/>
              </w:rPr>
              <w:t xml:space="preserve">    </w:t>
            </w:r>
            <w:r w:rsidR="00FC1C5C">
              <w:rPr>
                <w:rFonts w:cs="Times New Roman"/>
                <w:color w:val="000000"/>
                <w:sz w:val="16"/>
                <w:szCs w:val="16"/>
              </w:rPr>
              <w:t>-</w:t>
            </w:r>
          </w:p>
        </w:tc>
        <w:tc>
          <w:tcPr>
            <w:tcW w:w="817" w:type="dxa"/>
            <w:noWrap/>
            <w:vAlign w:val="bottom"/>
          </w:tcPr>
          <w:p w:rsidR="00FC1C5C" w:rsidRPr="00C15F52" w:rsidRDefault="00FC1C5C" w:rsidP="00B877DC">
            <w:pPr>
              <w:jc w:val="center"/>
              <w:rPr>
                <w:rFonts w:cs="Times New Roman"/>
                <w:color w:val="000000"/>
                <w:sz w:val="16"/>
                <w:szCs w:val="16"/>
              </w:rPr>
            </w:pPr>
            <w:r>
              <w:rPr>
                <w:rFonts w:cs="Times New Roman"/>
                <w:color w:val="000000"/>
                <w:sz w:val="16"/>
                <w:szCs w:val="16"/>
              </w:rPr>
              <w:t>-</w:t>
            </w:r>
          </w:p>
        </w:tc>
        <w:tc>
          <w:tcPr>
            <w:tcW w:w="896" w:type="dxa"/>
            <w:vAlign w:val="bottom"/>
          </w:tcPr>
          <w:p w:rsidR="00FC1C5C" w:rsidRPr="00C15F52" w:rsidRDefault="00FA6116" w:rsidP="00FA6116">
            <w:pPr>
              <w:rPr>
                <w:rFonts w:cs="Times New Roman"/>
                <w:color w:val="000000"/>
                <w:sz w:val="16"/>
                <w:szCs w:val="16"/>
              </w:rPr>
            </w:pPr>
            <w:r>
              <w:rPr>
                <w:rFonts w:cs="Times New Roman"/>
                <w:color w:val="000000"/>
                <w:sz w:val="16"/>
                <w:szCs w:val="16"/>
              </w:rPr>
              <w:t xml:space="preserve">     </w:t>
            </w:r>
            <w:r w:rsidR="00FC1C5C">
              <w:rPr>
                <w:rFonts w:cs="Times New Roman"/>
                <w:color w:val="000000"/>
                <w:sz w:val="16"/>
                <w:szCs w:val="16"/>
              </w:rPr>
              <w:t>-</w:t>
            </w:r>
          </w:p>
        </w:tc>
        <w:tc>
          <w:tcPr>
            <w:tcW w:w="845" w:type="dxa"/>
            <w:tcBorders>
              <w:left w:val="nil"/>
            </w:tcBorders>
            <w:vAlign w:val="bottom"/>
          </w:tcPr>
          <w:p w:rsidR="00FC1C5C" w:rsidRPr="00C15F52" w:rsidRDefault="00FC1C5C" w:rsidP="00B877DC">
            <w:pPr>
              <w:jc w:val="center"/>
              <w:rPr>
                <w:rFonts w:cs="Times New Roman"/>
                <w:color w:val="000000"/>
                <w:sz w:val="16"/>
                <w:szCs w:val="16"/>
              </w:rPr>
            </w:pPr>
            <w:r>
              <w:rPr>
                <w:rFonts w:cs="Times New Roman"/>
                <w:color w:val="000000"/>
                <w:sz w:val="16"/>
                <w:szCs w:val="16"/>
              </w:rPr>
              <w:t>-</w:t>
            </w:r>
          </w:p>
        </w:tc>
        <w:tc>
          <w:tcPr>
            <w:tcW w:w="896" w:type="dxa"/>
            <w:noWrap/>
            <w:vAlign w:val="bottom"/>
          </w:tcPr>
          <w:p w:rsidR="00FC1C5C" w:rsidRPr="00C15F52" w:rsidRDefault="00FC1C5C" w:rsidP="00B877DC">
            <w:pPr>
              <w:jc w:val="center"/>
              <w:rPr>
                <w:rFonts w:cs="Times New Roman"/>
                <w:color w:val="000000"/>
                <w:sz w:val="16"/>
                <w:szCs w:val="16"/>
              </w:rPr>
            </w:pPr>
            <w:r>
              <w:rPr>
                <w:rFonts w:cs="Times New Roman"/>
                <w:color w:val="000000"/>
                <w:sz w:val="16"/>
                <w:szCs w:val="16"/>
              </w:rPr>
              <w:t>-</w:t>
            </w:r>
          </w:p>
        </w:tc>
        <w:tc>
          <w:tcPr>
            <w:tcW w:w="783" w:type="dxa"/>
            <w:vAlign w:val="bottom"/>
          </w:tcPr>
          <w:p w:rsidR="00FC1C5C" w:rsidRPr="00C15F52" w:rsidRDefault="00FC1C5C" w:rsidP="00B877DC">
            <w:pPr>
              <w:jc w:val="center"/>
              <w:rPr>
                <w:rFonts w:cs="Times New Roman"/>
                <w:color w:val="000000"/>
                <w:sz w:val="16"/>
                <w:szCs w:val="16"/>
              </w:rPr>
            </w:pPr>
            <w:r>
              <w:rPr>
                <w:rFonts w:cs="Times New Roman"/>
                <w:color w:val="000000"/>
                <w:sz w:val="16"/>
                <w:szCs w:val="16"/>
              </w:rPr>
              <w:t>-</w:t>
            </w:r>
          </w:p>
        </w:tc>
        <w:tc>
          <w:tcPr>
            <w:tcW w:w="896" w:type="dxa"/>
            <w:vAlign w:val="bottom"/>
          </w:tcPr>
          <w:p w:rsidR="00FC1C5C" w:rsidRPr="00C15F52" w:rsidRDefault="00671F35" w:rsidP="00671F35">
            <w:pPr>
              <w:rPr>
                <w:rFonts w:cs="Times New Roman"/>
                <w:color w:val="000000"/>
                <w:sz w:val="16"/>
                <w:szCs w:val="16"/>
              </w:rPr>
            </w:pPr>
            <w:r>
              <w:rPr>
                <w:rFonts w:cs="Times New Roman"/>
                <w:color w:val="000000"/>
                <w:sz w:val="16"/>
                <w:szCs w:val="16"/>
              </w:rPr>
              <w:t xml:space="preserve">     </w:t>
            </w:r>
            <w:r w:rsidR="00FC1C5C">
              <w:rPr>
                <w:rFonts w:cs="Times New Roman"/>
                <w:color w:val="000000"/>
                <w:sz w:val="16"/>
                <w:szCs w:val="16"/>
              </w:rPr>
              <w:t>-</w:t>
            </w:r>
          </w:p>
        </w:tc>
        <w:tc>
          <w:tcPr>
            <w:tcW w:w="813" w:type="dxa"/>
            <w:vAlign w:val="bottom"/>
          </w:tcPr>
          <w:p w:rsidR="00FC1C5C" w:rsidRDefault="00FC1C5C">
            <w:pPr>
              <w:jc w:val="right"/>
              <w:rPr>
                <w:color w:val="000000"/>
                <w:sz w:val="16"/>
                <w:szCs w:val="16"/>
              </w:rPr>
            </w:pPr>
            <w:r>
              <w:rPr>
                <w:color w:val="000000"/>
                <w:sz w:val="16"/>
                <w:szCs w:val="16"/>
              </w:rPr>
              <w:t>-0.0302</w:t>
            </w:r>
          </w:p>
        </w:tc>
        <w:tc>
          <w:tcPr>
            <w:tcW w:w="867" w:type="dxa"/>
            <w:vAlign w:val="bottom"/>
          </w:tcPr>
          <w:p w:rsidR="00FC1C5C" w:rsidRDefault="00FC1C5C" w:rsidP="00A546EA">
            <w:pPr>
              <w:rPr>
                <w:color w:val="000000"/>
                <w:sz w:val="16"/>
                <w:szCs w:val="16"/>
              </w:rPr>
            </w:pPr>
            <w:r>
              <w:rPr>
                <w:color w:val="000000"/>
                <w:sz w:val="16"/>
                <w:szCs w:val="16"/>
              </w:rPr>
              <w:t>0.0843</w:t>
            </w:r>
            <w:r w:rsidRPr="00A546EA">
              <w:rPr>
                <w:color w:val="000000"/>
                <w:sz w:val="16"/>
                <w:szCs w:val="16"/>
                <w:vertAlign w:val="superscript"/>
              </w:rPr>
              <w:t>*</w:t>
            </w:r>
          </w:p>
        </w:tc>
      </w:tr>
      <w:tr w:rsidR="005F6480" w:rsidRPr="00C15F52" w:rsidTr="00B055BB">
        <w:trPr>
          <w:trHeight w:val="230"/>
          <w:jc w:val="center"/>
        </w:trPr>
        <w:tc>
          <w:tcPr>
            <w:tcW w:w="1579" w:type="dxa"/>
            <w:noWrap/>
            <w:vAlign w:val="bottom"/>
          </w:tcPr>
          <w:p w:rsidR="005F6480" w:rsidRDefault="005F6480" w:rsidP="00F73526">
            <w:pPr>
              <w:rPr>
                <w:rFonts w:cs="Times New Roman"/>
                <w:sz w:val="16"/>
                <w:szCs w:val="16"/>
              </w:rPr>
            </w:pPr>
            <w:r>
              <w:rPr>
                <w:rFonts w:cs="Times New Roman"/>
                <w:sz w:val="16"/>
                <w:szCs w:val="16"/>
              </w:rPr>
              <w:t xml:space="preserve">   </w:t>
            </w:r>
            <w:r w:rsidR="00BB565D">
              <w:rPr>
                <w:rFonts w:cs="Times New Roman"/>
                <w:sz w:val="16"/>
                <w:szCs w:val="16"/>
              </w:rPr>
              <w:t>I</w:t>
            </w:r>
            <w:r w:rsidR="005F1FAA">
              <w:rPr>
                <w:rFonts w:cs="Times New Roman"/>
                <w:sz w:val="16"/>
                <w:szCs w:val="16"/>
              </w:rPr>
              <w:t>GC</w:t>
            </w:r>
          </w:p>
        </w:tc>
        <w:tc>
          <w:tcPr>
            <w:tcW w:w="775" w:type="dxa"/>
            <w:vAlign w:val="bottom"/>
          </w:tcPr>
          <w:p w:rsidR="005F6480" w:rsidRPr="00D365F1" w:rsidRDefault="005F6480" w:rsidP="00FC1C5C">
            <w:pPr>
              <w:jc w:val="right"/>
              <w:rPr>
                <w:rFonts w:ascii="Calibri" w:hAnsi="Calibri" w:cs="Calibri"/>
                <w:color w:val="000000"/>
                <w:sz w:val="16"/>
                <w:szCs w:val="16"/>
              </w:rPr>
            </w:pPr>
            <w:r w:rsidRPr="00D365F1">
              <w:rPr>
                <w:rFonts w:ascii="Calibri" w:hAnsi="Calibri" w:cs="Calibri"/>
                <w:color w:val="000000"/>
                <w:sz w:val="16"/>
                <w:szCs w:val="16"/>
              </w:rPr>
              <w:t>-0.0601</w:t>
            </w:r>
          </w:p>
        </w:tc>
        <w:tc>
          <w:tcPr>
            <w:tcW w:w="889" w:type="dxa"/>
            <w:vAlign w:val="bottom"/>
          </w:tcPr>
          <w:p w:rsidR="005F6480" w:rsidRDefault="005F6480" w:rsidP="00FC1C5C">
            <w:pPr>
              <w:rPr>
                <w:color w:val="000000"/>
                <w:sz w:val="16"/>
                <w:szCs w:val="16"/>
              </w:rPr>
            </w:pPr>
            <w:r>
              <w:rPr>
                <w:color w:val="000000"/>
                <w:sz w:val="16"/>
                <w:szCs w:val="16"/>
              </w:rPr>
              <w:t>0.0012</w:t>
            </w:r>
            <w:r w:rsidRPr="00D365F1">
              <w:rPr>
                <w:color w:val="000000"/>
                <w:sz w:val="16"/>
                <w:szCs w:val="16"/>
                <w:vertAlign w:val="superscript"/>
              </w:rPr>
              <w:t>***</w:t>
            </w:r>
          </w:p>
        </w:tc>
        <w:tc>
          <w:tcPr>
            <w:tcW w:w="876" w:type="dxa"/>
            <w:noWrap/>
            <w:vAlign w:val="bottom"/>
          </w:tcPr>
          <w:p w:rsidR="005F6480" w:rsidRDefault="005F6480">
            <w:pPr>
              <w:jc w:val="right"/>
              <w:rPr>
                <w:color w:val="000000"/>
                <w:sz w:val="16"/>
                <w:szCs w:val="16"/>
              </w:rPr>
            </w:pPr>
            <w:r>
              <w:rPr>
                <w:color w:val="000000"/>
                <w:sz w:val="16"/>
                <w:szCs w:val="16"/>
              </w:rPr>
              <w:t>-0.0610</w:t>
            </w:r>
          </w:p>
        </w:tc>
        <w:tc>
          <w:tcPr>
            <w:tcW w:w="1009" w:type="dxa"/>
            <w:noWrap/>
            <w:vAlign w:val="bottom"/>
          </w:tcPr>
          <w:p w:rsidR="005F6480" w:rsidRDefault="005F6480" w:rsidP="0030462B">
            <w:pPr>
              <w:rPr>
                <w:color w:val="000000"/>
                <w:sz w:val="16"/>
                <w:szCs w:val="16"/>
              </w:rPr>
            </w:pPr>
            <w:r>
              <w:rPr>
                <w:color w:val="000000"/>
                <w:sz w:val="16"/>
                <w:szCs w:val="16"/>
              </w:rPr>
              <w:t>0.0009</w:t>
            </w:r>
            <w:r w:rsidRPr="00E20E99">
              <w:rPr>
                <w:color w:val="000000"/>
                <w:sz w:val="16"/>
                <w:szCs w:val="16"/>
                <w:vertAlign w:val="superscript"/>
              </w:rPr>
              <w:t>***</w:t>
            </w:r>
          </w:p>
        </w:tc>
        <w:tc>
          <w:tcPr>
            <w:tcW w:w="903" w:type="dxa"/>
            <w:noWrap/>
            <w:vAlign w:val="bottom"/>
          </w:tcPr>
          <w:p w:rsidR="005F6480" w:rsidRDefault="005F6480">
            <w:pPr>
              <w:jc w:val="right"/>
              <w:rPr>
                <w:color w:val="000000"/>
                <w:sz w:val="16"/>
                <w:szCs w:val="16"/>
              </w:rPr>
            </w:pPr>
            <w:r>
              <w:rPr>
                <w:color w:val="000000"/>
                <w:sz w:val="16"/>
                <w:szCs w:val="16"/>
              </w:rPr>
              <w:t>-0.0625</w:t>
            </w:r>
          </w:p>
        </w:tc>
        <w:tc>
          <w:tcPr>
            <w:tcW w:w="891" w:type="dxa"/>
            <w:noWrap/>
            <w:vAlign w:val="bottom"/>
          </w:tcPr>
          <w:p w:rsidR="005F6480" w:rsidRDefault="005F6480" w:rsidP="00FC1C5C">
            <w:pPr>
              <w:rPr>
                <w:color w:val="000000"/>
                <w:sz w:val="16"/>
                <w:szCs w:val="16"/>
              </w:rPr>
            </w:pPr>
            <w:r>
              <w:rPr>
                <w:color w:val="000000"/>
                <w:sz w:val="16"/>
                <w:szCs w:val="16"/>
              </w:rPr>
              <w:t>0.0007</w:t>
            </w:r>
            <w:r w:rsidRPr="00FC1C5C">
              <w:rPr>
                <w:color w:val="000000"/>
                <w:sz w:val="16"/>
                <w:szCs w:val="16"/>
                <w:vertAlign w:val="superscript"/>
              </w:rPr>
              <w:t>***</w:t>
            </w:r>
          </w:p>
        </w:tc>
        <w:tc>
          <w:tcPr>
            <w:tcW w:w="817" w:type="dxa"/>
            <w:noWrap/>
            <w:vAlign w:val="bottom"/>
          </w:tcPr>
          <w:p w:rsidR="005F6480" w:rsidRDefault="005F6480" w:rsidP="00B877DC">
            <w:pPr>
              <w:jc w:val="center"/>
              <w:rPr>
                <w:color w:val="000000"/>
                <w:sz w:val="16"/>
                <w:szCs w:val="16"/>
              </w:rPr>
            </w:pPr>
            <w:r>
              <w:rPr>
                <w:rFonts w:cs="Times New Roman"/>
                <w:color w:val="000000"/>
                <w:sz w:val="16"/>
                <w:szCs w:val="16"/>
              </w:rPr>
              <w:t>-</w:t>
            </w:r>
          </w:p>
        </w:tc>
        <w:tc>
          <w:tcPr>
            <w:tcW w:w="896" w:type="dxa"/>
            <w:vAlign w:val="bottom"/>
          </w:tcPr>
          <w:p w:rsidR="005F6480" w:rsidRDefault="00FA6116" w:rsidP="00FA6116">
            <w:pPr>
              <w:rPr>
                <w:rFonts w:cs="Times New Roman"/>
                <w:color w:val="000000"/>
                <w:sz w:val="16"/>
                <w:szCs w:val="16"/>
              </w:rPr>
            </w:pPr>
            <w:r>
              <w:rPr>
                <w:rFonts w:cs="Times New Roman"/>
                <w:color w:val="000000"/>
                <w:sz w:val="16"/>
                <w:szCs w:val="16"/>
              </w:rPr>
              <w:t xml:space="preserve">     </w:t>
            </w:r>
            <w:r w:rsidR="005F6480">
              <w:rPr>
                <w:rFonts w:cs="Times New Roman"/>
                <w:color w:val="000000"/>
                <w:sz w:val="16"/>
                <w:szCs w:val="16"/>
              </w:rPr>
              <w:t>-</w:t>
            </w:r>
          </w:p>
        </w:tc>
        <w:tc>
          <w:tcPr>
            <w:tcW w:w="845" w:type="dxa"/>
            <w:tcBorders>
              <w:left w:val="nil"/>
            </w:tcBorders>
            <w:vAlign w:val="bottom"/>
          </w:tcPr>
          <w:p w:rsidR="005F6480" w:rsidRDefault="005F6480">
            <w:pPr>
              <w:jc w:val="right"/>
              <w:rPr>
                <w:color w:val="000000"/>
                <w:sz w:val="16"/>
                <w:szCs w:val="16"/>
              </w:rPr>
            </w:pPr>
            <w:r>
              <w:rPr>
                <w:color w:val="000000"/>
                <w:sz w:val="16"/>
                <w:szCs w:val="16"/>
              </w:rPr>
              <w:t>-0.0548</w:t>
            </w:r>
          </w:p>
        </w:tc>
        <w:tc>
          <w:tcPr>
            <w:tcW w:w="896" w:type="dxa"/>
            <w:noWrap/>
            <w:vAlign w:val="bottom"/>
          </w:tcPr>
          <w:p w:rsidR="005F6480" w:rsidRDefault="005F6480" w:rsidP="005F6480">
            <w:pPr>
              <w:rPr>
                <w:color w:val="000000"/>
                <w:sz w:val="16"/>
                <w:szCs w:val="16"/>
              </w:rPr>
            </w:pPr>
            <w:r>
              <w:rPr>
                <w:color w:val="000000"/>
                <w:sz w:val="16"/>
                <w:szCs w:val="16"/>
              </w:rPr>
              <w:t>0.0425</w:t>
            </w:r>
            <w:r w:rsidRPr="005F6480">
              <w:rPr>
                <w:color w:val="000000"/>
                <w:sz w:val="16"/>
                <w:szCs w:val="16"/>
                <w:vertAlign w:val="superscript"/>
              </w:rPr>
              <w:t>**</w:t>
            </w:r>
          </w:p>
        </w:tc>
        <w:tc>
          <w:tcPr>
            <w:tcW w:w="783" w:type="dxa"/>
            <w:vAlign w:val="bottom"/>
          </w:tcPr>
          <w:p w:rsidR="005F6480" w:rsidRDefault="005F6480">
            <w:pPr>
              <w:jc w:val="right"/>
              <w:rPr>
                <w:color w:val="000000"/>
                <w:sz w:val="16"/>
                <w:szCs w:val="16"/>
              </w:rPr>
            </w:pPr>
            <w:r>
              <w:rPr>
                <w:color w:val="000000"/>
                <w:sz w:val="16"/>
                <w:szCs w:val="16"/>
              </w:rPr>
              <w:t>-0.0622</w:t>
            </w:r>
          </w:p>
        </w:tc>
        <w:tc>
          <w:tcPr>
            <w:tcW w:w="896" w:type="dxa"/>
            <w:vAlign w:val="bottom"/>
          </w:tcPr>
          <w:p w:rsidR="005F6480" w:rsidRDefault="005F6480" w:rsidP="00395DB2">
            <w:pPr>
              <w:rPr>
                <w:color w:val="000000"/>
                <w:sz w:val="16"/>
                <w:szCs w:val="16"/>
              </w:rPr>
            </w:pPr>
            <w:r>
              <w:rPr>
                <w:color w:val="000000"/>
                <w:sz w:val="16"/>
                <w:szCs w:val="16"/>
              </w:rPr>
              <w:t>0.0417</w:t>
            </w:r>
            <w:r w:rsidRPr="00395DB2">
              <w:rPr>
                <w:color w:val="000000"/>
                <w:sz w:val="16"/>
                <w:szCs w:val="16"/>
                <w:vertAlign w:val="superscript"/>
              </w:rPr>
              <w:t>**</w:t>
            </w:r>
          </w:p>
        </w:tc>
        <w:tc>
          <w:tcPr>
            <w:tcW w:w="813" w:type="dxa"/>
            <w:vAlign w:val="bottom"/>
          </w:tcPr>
          <w:p w:rsidR="005F6480" w:rsidRDefault="005F6480">
            <w:pPr>
              <w:jc w:val="right"/>
              <w:rPr>
                <w:color w:val="000000"/>
                <w:sz w:val="16"/>
                <w:szCs w:val="16"/>
              </w:rPr>
            </w:pPr>
            <w:r>
              <w:rPr>
                <w:color w:val="000000"/>
                <w:sz w:val="16"/>
                <w:szCs w:val="16"/>
              </w:rPr>
              <w:t>-0.0549</w:t>
            </w:r>
          </w:p>
        </w:tc>
        <w:tc>
          <w:tcPr>
            <w:tcW w:w="867" w:type="dxa"/>
            <w:vAlign w:val="bottom"/>
          </w:tcPr>
          <w:p w:rsidR="005F6480" w:rsidRDefault="005F6480" w:rsidP="00A546EA">
            <w:pPr>
              <w:rPr>
                <w:color w:val="000000"/>
                <w:sz w:val="16"/>
                <w:szCs w:val="16"/>
              </w:rPr>
            </w:pPr>
            <w:r>
              <w:rPr>
                <w:color w:val="000000"/>
                <w:sz w:val="16"/>
                <w:szCs w:val="16"/>
              </w:rPr>
              <w:t>0.0530</w:t>
            </w:r>
            <w:r w:rsidRPr="00A546EA">
              <w:rPr>
                <w:color w:val="000000"/>
                <w:sz w:val="16"/>
                <w:szCs w:val="16"/>
                <w:vertAlign w:val="superscript"/>
              </w:rPr>
              <w:t>*</w:t>
            </w:r>
          </w:p>
        </w:tc>
      </w:tr>
      <w:tr w:rsidR="005F6480" w:rsidRPr="00C15F52" w:rsidTr="00B055BB">
        <w:trPr>
          <w:trHeight w:val="253"/>
          <w:jc w:val="center"/>
        </w:trPr>
        <w:tc>
          <w:tcPr>
            <w:tcW w:w="1579" w:type="dxa"/>
            <w:noWrap/>
            <w:vAlign w:val="bottom"/>
          </w:tcPr>
          <w:p w:rsidR="005F6480" w:rsidRPr="00C15F52" w:rsidRDefault="005F6480" w:rsidP="00F73526">
            <w:pPr>
              <w:rPr>
                <w:rFonts w:cs="Times New Roman"/>
                <w:sz w:val="16"/>
                <w:szCs w:val="16"/>
              </w:rPr>
            </w:pPr>
            <w:r>
              <w:rPr>
                <w:rFonts w:eastAsiaTheme="minorEastAsia" w:cs="Times New Roman"/>
                <w:sz w:val="16"/>
                <w:szCs w:val="16"/>
              </w:rPr>
              <w:t xml:space="preserve">   </w:t>
            </w:r>
            <w:r>
              <w:rPr>
                <w:rFonts w:cs="Times New Roman"/>
                <w:sz w:val="16"/>
                <w:szCs w:val="16"/>
              </w:rPr>
              <w:t>BSIZE</w:t>
            </w:r>
          </w:p>
        </w:tc>
        <w:tc>
          <w:tcPr>
            <w:tcW w:w="775" w:type="dxa"/>
            <w:vAlign w:val="bottom"/>
          </w:tcPr>
          <w:p w:rsidR="005F6480" w:rsidRPr="00D365F1" w:rsidRDefault="005F6480" w:rsidP="00FC1C5C">
            <w:pPr>
              <w:jc w:val="right"/>
              <w:rPr>
                <w:rFonts w:ascii="Calibri" w:hAnsi="Calibri" w:cs="Calibri"/>
                <w:color w:val="000000"/>
                <w:sz w:val="16"/>
                <w:szCs w:val="16"/>
              </w:rPr>
            </w:pPr>
            <w:r w:rsidRPr="00D365F1">
              <w:rPr>
                <w:rFonts w:ascii="Calibri" w:hAnsi="Calibri" w:cs="Calibri"/>
                <w:color w:val="000000"/>
                <w:sz w:val="16"/>
                <w:szCs w:val="16"/>
              </w:rPr>
              <w:t>0.0175</w:t>
            </w:r>
          </w:p>
        </w:tc>
        <w:tc>
          <w:tcPr>
            <w:tcW w:w="889" w:type="dxa"/>
            <w:vAlign w:val="bottom"/>
          </w:tcPr>
          <w:p w:rsidR="005F6480" w:rsidRDefault="005F6480" w:rsidP="00FC1C5C">
            <w:pPr>
              <w:rPr>
                <w:color w:val="000000"/>
                <w:sz w:val="16"/>
                <w:szCs w:val="16"/>
              </w:rPr>
            </w:pPr>
            <w:r>
              <w:rPr>
                <w:color w:val="000000"/>
                <w:sz w:val="16"/>
                <w:szCs w:val="16"/>
              </w:rPr>
              <w:t>0.2158</w:t>
            </w:r>
          </w:p>
        </w:tc>
        <w:tc>
          <w:tcPr>
            <w:tcW w:w="876" w:type="dxa"/>
            <w:noWrap/>
            <w:vAlign w:val="bottom"/>
          </w:tcPr>
          <w:p w:rsidR="005F6480" w:rsidRDefault="005F6480">
            <w:pPr>
              <w:jc w:val="right"/>
              <w:rPr>
                <w:color w:val="000000"/>
                <w:sz w:val="16"/>
                <w:szCs w:val="16"/>
              </w:rPr>
            </w:pPr>
            <w:r>
              <w:rPr>
                <w:color w:val="000000"/>
                <w:sz w:val="16"/>
                <w:szCs w:val="16"/>
              </w:rPr>
              <w:t>0.0177</w:t>
            </w:r>
          </w:p>
        </w:tc>
        <w:tc>
          <w:tcPr>
            <w:tcW w:w="1009" w:type="dxa"/>
            <w:noWrap/>
            <w:vAlign w:val="bottom"/>
          </w:tcPr>
          <w:p w:rsidR="005F6480" w:rsidRDefault="005F6480" w:rsidP="0030462B">
            <w:pPr>
              <w:rPr>
                <w:color w:val="000000"/>
                <w:sz w:val="16"/>
                <w:szCs w:val="16"/>
              </w:rPr>
            </w:pPr>
            <w:r>
              <w:rPr>
                <w:color w:val="000000"/>
                <w:sz w:val="16"/>
                <w:szCs w:val="16"/>
              </w:rPr>
              <w:t>0.2100</w:t>
            </w:r>
          </w:p>
        </w:tc>
        <w:tc>
          <w:tcPr>
            <w:tcW w:w="903" w:type="dxa"/>
            <w:noWrap/>
            <w:vAlign w:val="bottom"/>
          </w:tcPr>
          <w:p w:rsidR="005F6480" w:rsidRDefault="005F6480">
            <w:pPr>
              <w:jc w:val="right"/>
              <w:rPr>
                <w:color w:val="000000"/>
                <w:sz w:val="16"/>
                <w:szCs w:val="16"/>
              </w:rPr>
            </w:pPr>
            <w:r>
              <w:rPr>
                <w:color w:val="000000"/>
                <w:sz w:val="16"/>
                <w:szCs w:val="16"/>
              </w:rPr>
              <w:t>0.0155</w:t>
            </w:r>
          </w:p>
        </w:tc>
        <w:tc>
          <w:tcPr>
            <w:tcW w:w="891" w:type="dxa"/>
            <w:noWrap/>
            <w:vAlign w:val="bottom"/>
          </w:tcPr>
          <w:p w:rsidR="005F6480" w:rsidRDefault="005F6480" w:rsidP="00FC1C5C">
            <w:pPr>
              <w:rPr>
                <w:color w:val="000000"/>
                <w:sz w:val="16"/>
                <w:szCs w:val="16"/>
              </w:rPr>
            </w:pPr>
            <w:r>
              <w:rPr>
                <w:color w:val="000000"/>
                <w:sz w:val="16"/>
                <w:szCs w:val="16"/>
              </w:rPr>
              <w:t>0.2710</w:t>
            </w:r>
          </w:p>
        </w:tc>
        <w:tc>
          <w:tcPr>
            <w:tcW w:w="817" w:type="dxa"/>
            <w:noWrap/>
            <w:vAlign w:val="bottom"/>
          </w:tcPr>
          <w:p w:rsidR="005F6480" w:rsidRDefault="005F6480" w:rsidP="008310B6">
            <w:pPr>
              <w:jc w:val="right"/>
              <w:rPr>
                <w:color w:val="000000"/>
                <w:sz w:val="16"/>
                <w:szCs w:val="16"/>
              </w:rPr>
            </w:pPr>
            <w:r>
              <w:rPr>
                <w:color w:val="000000"/>
                <w:sz w:val="16"/>
                <w:szCs w:val="16"/>
              </w:rPr>
              <w:t>0.0323</w:t>
            </w:r>
          </w:p>
        </w:tc>
        <w:tc>
          <w:tcPr>
            <w:tcW w:w="896" w:type="dxa"/>
            <w:vAlign w:val="bottom"/>
          </w:tcPr>
          <w:p w:rsidR="005F6480" w:rsidRDefault="005F6480" w:rsidP="00B877DC">
            <w:pPr>
              <w:rPr>
                <w:color w:val="000000"/>
                <w:sz w:val="16"/>
                <w:szCs w:val="16"/>
              </w:rPr>
            </w:pPr>
            <w:r>
              <w:rPr>
                <w:color w:val="000000"/>
                <w:sz w:val="16"/>
                <w:szCs w:val="16"/>
              </w:rPr>
              <w:t>0.0393</w:t>
            </w:r>
            <w:r w:rsidRPr="00B877DC">
              <w:rPr>
                <w:color w:val="000000"/>
                <w:sz w:val="16"/>
                <w:szCs w:val="16"/>
                <w:vertAlign w:val="superscript"/>
              </w:rPr>
              <w:t>**</w:t>
            </w:r>
          </w:p>
        </w:tc>
        <w:tc>
          <w:tcPr>
            <w:tcW w:w="845" w:type="dxa"/>
            <w:tcBorders>
              <w:left w:val="nil"/>
            </w:tcBorders>
            <w:vAlign w:val="bottom"/>
          </w:tcPr>
          <w:p w:rsidR="005F6480" w:rsidRDefault="005F6480">
            <w:pPr>
              <w:jc w:val="right"/>
              <w:rPr>
                <w:color w:val="000000"/>
                <w:sz w:val="16"/>
                <w:szCs w:val="16"/>
              </w:rPr>
            </w:pPr>
            <w:r>
              <w:rPr>
                <w:color w:val="000000"/>
                <w:sz w:val="16"/>
                <w:szCs w:val="16"/>
              </w:rPr>
              <w:t>0.0526</w:t>
            </w:r>
          </w:p>
        </w:tc>
        <w:tc>
          <w:tcPr>
            <w:tcW w:w="896" w:type="dxa"/>
            <w:noWrap/>
            <w:vAlign w:val="bottom"/>
          </w:tcPr>
          <w:p w:rsidR="005F6480" w:rsidRDefault="005F6480" w:rsidP="005F6480">
            <w:pPr>
              <w:rPr>
                <w:color w:val="000000"/>
                <w:sz w:val="16"/>
                <w:szCs w:val="16"/>
              </w:rPr>
            </w:pPr>
            <w:r>
              <w:rPr>
                <w:color w:val="000000"/>
                <w:sz w:val="16"/>
                <w:szCs w:val="16"/>
              </w:rPr>
              <w:t>0.0800</w:t>
            </w:r>
            <w:r w:rsidRPr="005F6480">
              <w:rPr>
                <w:color w:val="000000"/>
                <w:sz w:val="16"/>
                <w:szCs w:val="16"/>
                <w:vertAlign w:val="superscript"/>
              </w:rPr>
              <w:t>*</w:t>
            </w:r>
          </w:p>
        </w:tc>
        <w:tc>
          <w:tcPr>
            <w:tcW w:w="783" w:type="dxa"/>
            <w:vAlign w:val="bottom"/>
          </w:tcPr>
          <w:p w:rsidR="005F6480" w:rsidRDefault="005F6480">
            <w:pPr>
              <w:jc w:val="right"/>
              <w:rPr>
                <w:color w:val="000000"/>
                <w:sz w:val="16"/>
                <w:szCs w:val="16"/>
              </w:rPr>
            </w:pPr>
            <w:r>
              <w:rPr>
                <w:color w:val="000000"/>
                <w:sz w:val="16"/>
                <w:szCs w:val="16"/>
              </w:rPr>
              <w:t>0.0116</w:t>
            </w:r>
          </w:p>
        </w:tc>
        <w:tc>
          <w:tcPr>
            <w:tcW w:w="896" w:type="dxa"/>
            <w:vAlign w:val="bottom"/>
          </w:tcPr>
          <w:p w:rsidR="005F6480" w:rsidRDefault="005F6480" w:rsidP="00395DB2">
            <w:pPr>
              <w:rPr>
                <w:color w:val="000000"/>
                <w:sz w:val="16"/>
                <w:szCs w:val="16"/>
              </w:rPr>
            </w:pPr>
            <w:r>
              <w:rPr>
                <w:color w:val="000000"/>
                <w:sz w:val="16"/>
                <w:szCs w:val="16"/>
              </w:rPr>
              <w:t>0.4607</w:t>
            </w:r>
          </w:p>
        </w:tc>
        <w:tc>
          <w:tcPr>
            <w:tcW w:w="813" w:type="dxa"/>
            <w:vAlign w:val="bottom"/>
          </w:tcPr>
          <w:p w:rsidR="005F6480" w:rsidRDefault="005F6480">
            <w:pPr>
              <w:jc w:val="right"/>
              <w:rPr>
                <w:color w:val="000000"/>
                <w:sz w:val="16"/>
                <w:szCs w:val="16"/>
              </w:rPr>
            </w:pPr>
            <w:r>
              <w:rPr>
                <w:color w:val="000000"/>
                <w:sz w:val="16"/>
                <w:szCs w:val="16"/>
              </w:rPr>
              <w:t>0.0162</w:t>
            </w:r>
          </w:p>
        </w:tc>
        <w:tc>
          <w:tcPr>
            <w:tcW w:w="867" w:type="dxa"/>
            <w:vAlign w:val="bottom"/>
          </w:tcPr>
          <w:p w:rsidR="005F6480" w:rsidRDefault="005F6480" w:rsidP="00A546EA">
            <w:pPr>
              <w:rPr>
                <w:color w:val="000000"/>
                <w:sz w:val="16"/>
                <w:szCs w:val="16"/>
              </w:rPr>
            </w:pPr>
            <w:r>
              <w:rPr>
                <w:color w:val="000000"/>
                <w:sz w:val="16"/>
                <w:szCs w:val="16"/>
              </w:rPr>
              <w:t>0.2715</w:t>
            </w:r>
          </w:p>
        </w:tc>
      </w:tr>
      <w:tr w:rsidR="005F6480" w:rsidRPr="00C15F52" w:rsidTr="00B055BB">
        <w:trPr>
          <w:trHeight w:val="284"/>
          <w:jc w:val="center"/>
        </w:trPr>
        <w:tc>
          <w:tcPr>
            <w:tcW w:w="1579" w:type="dxa"/>
            <w:noWrap/>
            <w:vAlign w:val="bottom"/>
          </w:tcPr>
          <w:p w:rsidR="005F6480" w:rsidRPr="00C15F52" w:rsidRDefault="005F6480" w:rsidP="00F73526">
            <w:pPr>
              <w:rPr>
                <w:rFonts w:cs="Times New Roman"/>
                <w:sz w:val="16"/>
                <w:szCs w:val="16"/>
              </w:rPr>
            </w:pPr>
            <w:r>
              <w:rPr>
                <w:rFonts w:eastAsiaTheme="minorEastAsia" w:cs="Times New Roman"/>
                <w:sz w:val="16"/>
                <w:szCs w:val="16"/>
              </w:rPr>
              <w:t xml:space="preserve">   </w:t>
            </w:r>
            <w:r>
              <w:rPr>
                <w:rFonts w:cs="Times New Roman"/>
                <w:sz w:val="16"/>
                <w:szCs w:val="16"/>
              </w:rPr>
              <w:t>BIG4</w:t>
            </w:r>
          </w:p>
        </w:tc>
        <w:tc>
          <w:tcPr>
            <w:tcW w:w="775" w:type="dxa"/>
            <w:vAlign w:val="bottom"/>
          </w:tcPr>
          <w:p w:rsidR="005F6480" w:rsidRPr="00D365F1" w:rsidRDefault="005F6480" w:rsidP="00FC1C5C">
            <w:pPr>
              <w:jc w:val="right"/>
              <w:rPr>
                <w:rFonts w:ascii="Calibri" w:hAnsi="Calibri" w:cs="Calibri"/>
                <w:color w:val="000000"/>
                <w:sz w:val="16"/>
                <w:szCs w:val="16"/>
              </w:rPr>
            </w:pPr>
            <w:r w:rsidRPr="00D365F1">
              <w:rPr>
                <w:rFonts w:ascii="Calibri" w:hAnsi="Calibri" w:cs="Calibri"/>
                <w:color w:val="000000"/>
                <w:sz w:val="16"/>
                <w:szCs w:val="16"/>
              </w:rPr>
              <w:t>-0.0040</w:t>
            </w:r>
          </w:p>
        </w:tc>
        <w:tc>
          <w:tcPr>
            <w:tcW w:w="889" w:type="dxa"/>
            <w:vAlign w:val="bottom"/>
          </w:tcPr>
          <w:p w:rsidR="005F6480" w:rsidRDefault="005F6480" w:rsidP="00FC1C5C">
            <w:pPr>
              <w:rPr>
                <w:color w:val="000000"/>
                <w:sz w:val="16"/>
                <w:szCs w:val="16"/>
              </w:rPr>
            </w:pPr>
            <w:r>
              <w:rPr>
                <w:color w:val="000000"/>
                <w:sz w:val="16"/>
                <w:szCs w:val="16"/>
              </w:rPr>
              <w:t>0.5758</w:t>
            </w:r>
          </w:p>
        </w:tc>
        <w:tc>
          <w:tcPr>
            <w:tcW w:w="876" w:type="dxa"/>
            <w:noWrap/>
            <w:vAlign w:val="bottom"/>
          </w:tcPr>
          <w:p w:rsidR="005F6480" w:rsidRDefault="005F6480">
            <w:pPr>
              <w:jc w:val="right"/>
              <w:rPr>
                <w:color w:val="000000"/>
                <w:sz w:val="16"/>
                <w:szCs w:val="16"/>
              </w:rPr>
            </w:pPr>
            <w:r>
              <w:rPr>
                <w:color w:val="000000"/>
                <w:sz w:val="16"/>
                <w:szCs w:val="16"/>
              </w:rPr>
              <w:t>-0.0040</w:t>
            </w:r>
          </w:p>
        </w:tc>
        <w:tc>
          <w:tcPr>
            <w:tcW w:w="1009" w:type="dxa"/>
            <w:noWrap/>
            <w:vAlign w:val="bottom"/>
          </w:tcPr>
          <w:p w:rsidR="005F6480" w:rsidRDefault="005F6480" w:rsidP="0030462B">
            <w:pPr>
              <w:rPr>
                <w:color w:val="000000"/>
                <w:sz w:val="16"/>
                <w:szCs w:val="16"/>
              </w:rPr>
            </w:pPr>
            <w:r>
              <w:rPr>
                <w:color w:val="000000"/>
                <w:sz w:val="16"/>
                <w:szCs w:val="16"/>
              </w:rPr>
              <w:t>0.5719</w:t>
            </w:r>
          </w:p>
        </w:tc>
        <w:tc>
          <w:tcPr>
            <w:tcW w:w="903" w:type="dxa"/>
            <w:noWrap/>
            <w:vAlign w:val="bottom"/>
          </w:tcPr>
          <w:p w:rsidR="005F6480" w:rsidRDefault="005F6480">
            <w:pPr>
              <w:jc w:val="right"/>
              <w:rPr>
                <w:color w:val="000000"/>
                <w:sz w:val="16"/>
                <w:szCs w:val="16"/>
              </w:rPr>
            </w:pPr>
            <w:r>
              <w:rPr>
                <w:color w:val="000000"/>
                <w:sz w:val="16"/>
                <w:szCs w:val="16"/>
              </w:rPr>
              <w:t>-0.0046</w:t>
            </w:r>
          </w:p>
        </w:tc>
        <w:tc>
          <w:tcPr>
            <w:tcW w:w="891" w:type="dxa"/>
            <w:noWrap/>
            <w:vAlign w:val="bottom"/>
          </w:tcPr>
          <w:p w:rsidR="005F6480" w:rsidRDefault="005F6480" w:rsidP="00FC1C5C">
            <w:pPr>
              <w:rPr>
                <w:color w:val="000000"/>
                <w:sz w:val="16"/>
                <w:szCs w:val="16"/>
              </w:rPr>
            </w:pPr>
            <w:r>
              <w:rPr>
                <w:color w:val="000000"/>
                <w:sz w:val="16"/>
                <w:szCs w:val="16"/>
              </w:rPr>
              <w:t>0.5182</w:t>
            </w:r>
          </w:p>
        </w:tc>
        <w:tc>
          <w:tcPr>
            <w:tcW w:w="817" w:type="dxa"/>
            <w:noWrap/>
            <w:vAlign w:val="bottom"/>
          </w:tcPr>
          <w:p w:rsidR="005F6480" w:rsidRDefault="005F6480" w:rsidP="008310B6">
            <w:pPr>
              <w:jc w:val="right"/>
              <w:rPr>
                <w:color w:val="000000"/>
                <w:sz w:val="16"/>
                <w:szCs w:val="16"/>
              </w:rPr>
            </w:pPr>
            <w:r>
              <w:rPr>
                <w:color w:val="000000"/>
                <w:sz w:val="16"/>
                <w:szCs w:val="16"/>
              </w:rPr>
              <w:t>-0.0093</w:t>
            </w:r>
          </w:p>
        </w:tc>
        <w:tc>
          <w:tcPr>
            <w:tcW w:w="896" w:type="dxa"/>
            <w:vAlign w:val="bottom"/>
          </w:tcPr>
          <w:p w:rsidR="005F6480" w:rsidRDefault="005F6480" w:rsidP="00B877DC">
            <w:pPr>
              <w:rPr>
                <w:color w:val="000000"/>
                <w:sz w:val="16"/>
                <w:szCs w:val="16"/>
              </w:rPr>
            </w:pPr>
            <w:r>
              <w:rPr>
                <w:color w:val="000000"/>
                <w:sz w:val="16"/>
                <w:szCs w:val="16"/>
              </w:rPr>
              <w:t>0.1966</w:t>
            </w:r>
          </w:p>
        </w:tc>
        <w:tc>
          <w:tcPr>
            <w:tcW w:w="845" w:type="dxa"/>
            <w:tcBorders>
              <w:left w:val="nil"/>
            </w:tcBorders>
            <w:vAlign w:val="bottom"/>
          </w:tcPr>
          <w:p w:rsidR="005F6480" w:rsidRDefault="005F6480">
            <w:pPr>
              <w:jc w:val="right"/>
              <w:rPr>
                <w:color w:val="000000"/>
                <w:sz w:val="16"/>
                <w:szCs w:val="16"/>
              </w:rPr>
            </w:pPr>
            <w:r>
              <w:rPr>
                <w:color w:val="000000"/>
                <w:sz w:val="16"/>
                <w:szCs w:val="16"/>
              </w:rPr>
              <w:t>0.0035</w:t>
            </w:r>
          </w:p>
        </w:tc>
        <w:tc>
          <w:tcPr>
            <w:tcW w:w="896" w:type="dxa"/>
            <w:noWrap/>
            <w:vAlign w:val="bottom"/>
          </w:tcPr>
          <w:p w:rsidR="005F6480" w:rsidRDefault="005F6480" w:rsidP="005F6480">
            <w:pPr>
              <w:rPr>
                <w:color w:val="000000"/>
                <w:sz w:val="16"/>
                <w:szCs w:val="16"/>
              </w:rPr>
            </w:pPr>
            <w:r>
              <w:rPr>
                <w:color w:val="000000"/>
                <w:sz w:val="16"/>
                <w:szCs w:val="16"/>
              </w:rPr>
              <w:t>0.8607</w:t>
            </w:r>
          </w:p>
        </w:tc>
        <w:tc>
          <w:tcPr>
            <w:tcW w:w="783" w:type="dxa"/>
            <w:vAlign w:val="bottom"/>
          </w:tcPr>
          <w:p w:rsidR="005F6480" w:rsidRDefault="005F6480">
            <w:pPr>
              <w:jc w:val="right"/>
              <w:rPr>
                <w:color w:val="000000"/>
                <w:sz w:val="16"/>
                <w:szCs w:val="16"/>
              </w:rPr>
            </w:pPr>
            <w:r>
              <w:rPr>
                <w:color w:val="000000"/>
                <w:sz w:val="16"/>
                <w:szCs w:val="16"/>
              </w:rPr>
              <w:t>-0.0057</w:t>
            </w:r>
          </w:p>
        </w:tc>
        <w:tc>
          <w:tcPr>
            <w:tcW w:w="896" w:type="dxa"/>
            <w:vAlign w:val="bottom"/>
          </w:tcPr>
          <w:p w:rsidR="005F6480" w:rsidRDefault="005F6480" w:rsidP="00395DB2">
            <w:pPr>
              <w:rPr>
                <w:color w:val="000000"/>
                <w:sz w:val="16"/>
                <w:szCs w:val="16"/>
              </w:rPr>
            </w:pPr>
            <w:r>
              <w:rPr>
                <w:color w:val="000000"/>
                <w:sz w:val="16"/>
                <w:szCs w:val="16"/>
              </w:rPr>
              <w:t>0.4434</w:t>
            </w:r>
          </w:p>
        </w:tc>
        <w:tc>
          <w:tcPr>
            <w:tcW w:w="813" w:type="dxa"/>
            <w:vAlign w:val="bottom"/>
          </w:tcPr>
          <w:p w:rsidR="005F6480" w:rsidRDefault="005F6480">
            <w:pPr>
              <w:jc w:val="right"/>
              <w:rPr>
                <w:color w:val="000000"/>
                <w:sz w:val="16"/>
                <w:szCs w:val="16"/>
              </w:rPr>
            </w:pPr>
            <w:r>
              <w:rPr>
                <w:color w:val="000000"/>
                <w:sz w:val="16"/>
                <w:szCs w:val="16"/>
              </w:rPr>
              <w:t>-0.0046</w:t>
            </w:r>
          </w:p>
        </w:tc>
        <w:tc>
          <w:tcPr>
            <w:tcW w:w="867" w:type="dxa"/>
            <w:vAlign w:val="bottom"/>
          </w:tcPr>
          <w:p w:rsidR="005F6480" w:rsidRDefault="005F6480" w:rsidP="00A546EA">
            <w:pPr>
              <w:rPr>
                <w:color w:val="000000"/>
                <w:sz w:val="16"/>
                <w:szCs w:val="16"/>
              </w:rPr>
            </w:pPr>
            <w:r>
              <w:rPr>
                <w:color w:val="000000"/>
                <w:sz w:val="16"/>
                <w:szCs w:val="16"/>
              </w:rPr>
              <w:t>0.5167</w:t>
            </w:r>
          </w:p>
        </w:tc>
      </w:tr>
      <w:tr w:rsidR="005F6480" w:rsidRPr="00C15F52" w:rsidTr="00B055BB">
        <w:trPr>
          <w:trHeight w:val="275"/>
          <w:jc w:val="center"/>
        </w:trPr>
        <w:tc>
          <w:tcPr>
            <w:tcW w:w="1579" w:type="dxa"/>
            <w:noWrap/>
            <w:vAlign w:val="bottom"/>
          </w:tcPr>
          <w:p w:rsidR="005F6480" w:rsidRPr="00C15F52" w:rsidRDefault="005F6480" w:rsidP="00F73526">
            <w:pPr>
              <w:rPr>
                <w:rFonts w:eastAsiaTheme="minorEastAsia" w:cs="Times New Roman"/>
                <w:sz w:val="16"/>
                <w:szCs w:val="16"/>
              </w:rPr>
            </w:pPr>
            <w:r>
              <w:rPr>
                <w:rFonts w:cs="Times New Roman"/>
                <w:sz w:val="16"/>
                <w:szCs w:val="16"/>
              </w:rPr>
              <w:t xml:space="preserve">   CGCOM</w:t>
            </w:r>
          </w:p>
        </w:tc>
        <w:tc>
          <w:tcPr>
            <w:tcW w:w="775" w:type="dxa"/>
            <w:vAlign w:val="bottom"/>
          </w:tcPr>
          <w:p w:rsidR="005F6480" w:rsidRPr="00D365F1" w:rsidRDefault="005F6480" w:rsidP="00FC1C5C">
            <w:pPr>
              <w:jc w:val="right"/>
              <w:rPr>
                <w:rFonts w:ascii="Calibri" w:hAnsi="Calibri" w:cs="Calibri"/>
                <w:color w:val="000000"/>
                <w:sz w:val="16"/>
                <w:szCs w:val="16"/>
              </w:rPr>
            </w:pPr>
            <w:r w:rsidRPr="00D365F1">
              <w:rPr>
                <w:rFonts w:ascii="Calibri" w:hAnsi="Calibri" w:cs="Calibri"/>
                <w:color w:val="000000"/>
                <w:sz w:val="16"/>
                <w:szCs w:val="16"/>
              </w:rPr>
              <w:t>0.0118</w:t>
            </w:r>
          </w:p>
        </w:tc>
        <w:tc>
          <w:tcPr>
            <w:tcW w:w="889" w:type="dxa"/>
            <w:vAlign w:val="bottom"/>
          </w:tcPr>
          <w:p w:rsidR="005F6480" w:rsidRDefault="005F6480" w:rsidP="00FC1C5C">
            <w:pPr>
              <w:rPr>
                <w:color w:val="000000"/>
                <w:sz w:val="16"/>
                <w:szCs w:val="16"/>
              </w:rPr>
            </w:pPr>
            <w:r>
              <w:rPr>
                <w:color w:val="000000"/>
                <w:sz w:val="16"/>
                <w:szCs w:val="16"/>
              </w:rPr>
              <w:t>0.1695</w:t>
            </w:r>
          </w:p>
        </w:tc>
        <w:tc>
          <w:tcPr>
            <w:tcW w:w="876" w:type="dxa"/>
            <w:noWrap/>
            <w:vAlign w:val="bottom"/>
          </w:tcPr>
          <w:p w:rsidR="005F6480" w:rsidRDefault="005F6480">
            <w:pPr>
              <w:jc w:val="right"/>
              <w:rPr>
                <w:color w:val="000000"/>
                <w:sz w:val="16"/>
                <w:szCs w:val="16"/>
              </w:rPr>
            </w:pPr>
            <w:r>
              <w:rPr>
                <w:color w:val="000000"/>
                <w:sz w:val="16"/>
                <w:szCs w:val="16"/>
              </w:rPr>
              <w:t>0.0118</w:t>
            </w:r>
          </w:p>
        </w:tc>
        <w:tc>
          <w:tcPr>
            <w:tcW w:w="1009" w:type="dxa"/>
            <w:noWrap/>
            <w:vAlign w:val="bottom"/>
          </w:tcPr>
          <w:p w:rsidR="005F6480" w:rsidRDefault="005F6480" w:rsidP="0030462B">
            <w:pPr>
              <w:rPr>
                <w:color w:val="000000"/>
                <w:sz w:val="16"/>
                <w:szCs w:val="16"/>
              </w:rPr>
            </w:pPr>
            <w:r>
              <w:rPr>
                <w:color w:val="000000"/>
                <w:sz w:val="16"/>
                <w:szCs w:val="16"/>
              </w:rPr>
              <w:t>0.1641</w:t>
            </w:r>
          </w:p>
        </w:tc>
        <w:tc>
          <w:tcPr>
            <w:tcW w:w="903" w:type="dxa"/>
            <w:noWrap/>
            <w:vAlign w:val="bottom"/>
          </w:tcPr>
          <w:p w:rsidR="005F6480" w:rsidRDefault="005F6480">
            <w:pPr>
              <w:jc w:val="right"/>
              <w:rPr>
                <w:color w:val="000000"/>
                <w:sz w:val="16"/>
                <w:szCs w:val="16"/>
              </w:rPr>
            </w:pPr>
            <w:r>
              <w:rPr>
                <w:color w:val="000000"/>
                <w:sz w:val="16"/>
                <w:szCs w:val="16"/>
              </w:rPr>
              <w:t>0.0136</w:t>
            </w:r>
          </w:p>
        </w:tc>
        <w:tc>
          <w:tcPr>
            <w:tcW w:w="891" w:type="dxa"/>
            <w:noWrap/>
            <w:vAlign w:val="bottom"/>
          </w:tcPr>
          <w:p w:rsidR="005F6480" w:rsidRDefault="005F6480" w:rsidP="00FC1C5C">
            <w:pPr>
              <w:rPr>
                <w:color w:val="000000"/>
                <w:sz w:val="16"/>
                <w:szCs w:val="16"/>
              </w:rPr>
            </w:pPr>
            <w:r>
              <w:rPr>
                <w:color w:val="000000"/>
                <w:sz w:val="16"/>
                <w:szCs w:val="16"/>
              </w:rPr>
              <w:t>0.1120</w:t>
            </w:r>
          </w:p>
        </w:tc>
        <w:tc>
          <w:tcPr>
            <w:tcW w:w="817" w:type="dxa"/>
            <w:noWrap/>
            <w:vAlign w:val="bottom"/>
          </w:tcPr>
          <w:p w:rsidR="005F6480" w:rsidRDefault="005F6480" w:rsidP="008310B6">
            <w:pPr>
              <w:jc w:val="right"/>
              <w:rPr>
                <w:color w:val="000000"/>
                <w:sz w:val="16"/>
                <w:szCs w:val="16"/>
              </w:rPr>
            </w:pPr>
            <w:r>
              <w:rPr>
                <w:color w:val="000000"/>
                <w:sz w:val="16"/>
                <w:szCs w:val="16"/>
              </w:rPr>
              <w:t>0.0152</w:t>
            </w:r>
          </w:p>
        </w:tc>
        <w:tc>
          <w:tcPr>
            <w:tcW w:w="896" w:type="dxa"/>
            <w:vAlign w:val="bottom"/>
          </w:tcPr>
          <w:p w:rsidR="005F6480" w:rsidRDefault="005F6480" w:rsidP="00B877DC">
            <w:pPr>
              <w:rPr>
                <w:color w:val="000000"/>
                <w:sz w:val="16"/>
                <w:szCs w:val="16"/>
              </w:rPr>
            </w:pPr>
            <w:r>
              <w:rPr>
                <w:color w:val="000000"/>
                <w:sz w:val="16"/>
                <w:szCs w:val="16"/>
              </w:rPr>
              <w:t>0.1119</w:t>
            </w:r>
          </w:p>
        </w:tc>
        <w:tc>
          <w:tcPr>
            <w:tcW w:w="845" w:type="dxa"/>
            <w:tcBorders>
              <w:left w:val="nil"/>
            </w:tcBorders>
            <w:vAlign w:val="bottom"/>
          </w:tcPr>
          <w:p w:rsidR="005F6480" w:rsidRDefault="005F6480">
            <w:pPr>
              <w:jc w:val="right"/>
              <w:rPr>
                <w:color w:val="000000"/>
                <w:sz w:val="16"/>
                <w:szCs w:val="16"/>
              </w:rPr>
            </w:pPr>
            <w:r>
              <w:rPr>
                <w:color w:val="000000"/>
                <w:sz w:val="16"/>
                <w:szCs w:val="16"/>
              </w:rPr>
              <w:t>0.0074</w:t>
            </w:r>
          </w:p>
        </w:tc>
        <w:tc>
          <w:tcPr>
            <w:tcW w:w="896" w:type="dxa"/>
            <w:noWrap/>
            <w:vAlign w:val="bottom"/>
          </w:tcPr>
          <w:p w:rsidR="005F6480" w:rsidRDefault="005F6480" w:rsidP="005F6480">
            <w:pPr>
              <w:rPr>
                <w:color w:val="000000"/>
                <w:sz w:val="16"/>
                <w:szCs w:val="16"/>
              </w:rPr>
            </w:pPr>
            <w:r>
              <w:rPr>
                <w:color w:val="000000"/>
                <w:sz w:val="16"/>
                <w:szCs w:val="16"/>
              </w:rPr>
              <w:t>0.7478</w:t>
            </w:r>
          </w:p>
        </w:tc>
        <w:tc>
          <w:tcPr>
            <w:tcW w:w="783" w:type="dxa"/>
            <w:vAlign w:val="bottom"/>
          </w:tcPr>
          <w:p w:rsidR="005F6480" w:rsidRDefault="005F6480">
            <w:pPr>
              <w:jc w:val="right"/>
              <w:rPr>
                <w:color w:val="000000"/>
                <w:sz w:val="16"/>
                <w:szCs w:val="16"/>
              </w:rPr>
            </w:pPr>
            <w:r>
              <w:rPr>
                <w:color w:val="000000"/>
                <w:sz w:val="16"/>
                <w:szCs w:val="16"/>
              </w:rPr>
              <w:t>0.0097</w:t>
            </w:r>
          </w:p>
        </w:tc>
        <w:tc>
          <w:tcPr>
            <w:tcW w:w="896" w:type="dxa"/>
            <w:vAlign w:val="bottom"/>
          </w:tcPr>
          <w:p w:rsidR="005F6480" w:rsidRDefault="005F6480" w:rsidP="00395DB2">
            <w:pPr>
              <w:rPr>
                <w:color w:val="000000"/>
                <w:sz w:val="16"/>
                <w:szCs w:val="16"/>
              </w:rPr>
            </w:pPr>
            <w:r>
              <w:rPr>
                <w:color w:val="000000"/>
                <w:sz w:val="16"/>
                <w:szCs w:val="16"/>
              </w:rPr>
              <w:t>0.2518</w:t>
            </w:r>
          </w:p>
        </w:tc>
        <w:tc>
          <w:tcPr>
            <w:tcW w:w="813" w:type="dxa"/>
            <w:vAlign w:val="bottom"/>
          </w:tcPr>
          <w:p w:rsidR="005F6480" w:rsidRDefault="005F6480">
            <w:pPr>
              <w:jc w:val="right"/>
              <w:rPr>
                <w:color w:val="000000"/>
                <w:sz w:val="16"/>
                <w:szCs w:val="16"/>
              </w:rPr>
            </w:pPr>
            <w:r>
              <w:rPr>
                <w:color w:val="000000"/>
                <w:sz w:val="16"/>
                <w:szCs w:val="16"/>
              </w:rPr>
              <w:t>0.0088</w:t>
            </w:r>
          </w:p>
        </w:tc>
        <w:tc>
          <w:tcPr>
            <w:tcW w:w="867" w:type="dxa"/>
            <w:vAlign w:val="bottom"/>
          </w:tcPr>
          <w:p w:rsidR="005F6480" w:rsidRDefault="005F6480" w:rsidP="00A546EA">
            <w:pPr>
              <w:rPr>
                <w:color w:val="000000"/>
                <w:sz w:val="16"/>
                <w:szCs w:val="16"/>
              </w:rPr>
            </w:pPr>
            <w:r>
              <w:rPr>
                <w:color w:val="000000"/>
                <w:sz w:val="16"/>
                <w:szCs w:val="16"/>
              </w:rPr>
              <w:t>0.3012</w:t>
            </w:r>
          </w:p>
        </w:tc>
      </w:tr>
      <w:tr w:rsidR="005F6480" w:rsidRPr="00C15F52" w:rsidTr="00B055BB">
        <w:trPr>
          <w:trHeight w:val="279"/>
          <w:jc w:val="center"/>
        </w:trPr>
        <w:tc>
          <w:tcPr>
            <w:tcW w:w="1579" w:type="dxa"/>
            <w:noWrap/>
            <w:vAlign w:val="bottom"/>
          </w:tcPr>
          <w:p w:rsidR="005F6480" w:rsidRPr="00C15F52" w:rsidRDefault="005F6480" w:rsidP="00F73526">
            <w:pPr>
              <w:rPr>
                <w:rFonts w:eastAsiaTheme="minorEastAsia" w:cs="Times New Roman"/>
                <w:sz w:val="16"/>
                <w:szCs w:val="16"/>
              </w:rPr>
            </w:pPr>
            <w:r>
              <w:rPr>
                <w:rFonts w:cs="Times New Roman"/>
                <w:sz w:val="16"/>
                <w:szCs w:val="16"/>
              </w:rPr>
              <w:t xml:space="preserve">   GNDR</w:t>
            </w:r>
          </w:p>
        </w:tc>
        <w:tc>
          <w:tcPr>
            <w:tcW w:w="775" w:type="dxa"/>
            <w:vAlign w:val="bottom"/>
          </w:tcPr>
          <w:p w:rsidR="005F6480" w:rsidRPr="00D365F1" w:rsidRDefault="005F6480" w:rsidP="00FC1C5C">
            <w:pPr>
              <w:jc w:val="right"/>
              <w:rPr>
                <w:rFonts w:ascii="Calibri" w:hAnsi="Calibri" w:cs="Calibri"/>
                <w:color w:val="000000"/>
                <w:sz w:val="16"/>
                <w:szCs w:val="16"/>
              </w:rPr>
            </w:pPr>
            <w:r w:rsidRPr="00D365F1">
              <w:rPr>
                <w:rFonts w:ascii="Calibri" w:hAnsi="Calibri" w:cs="Calibri"/>
                <w:color w:val="000000"/>
                <w:sz w:val="16"/>
                <w:szCs w:val="16"/>
              </w:rPr>
              <w:t>-0.0098</w:t>
            </w:r>
          </w:p>
        </w:tc>
        <w:tc>
          <w:tcPr>
            <w:tcW w:w="889" w:type="dxa"/>
            <w:vAlign w:val="bottom"/>
          </w:tcPr>
          <w:p w:rsidR="005F6480" w:rsidRDefault="005F6480" w:rsidP="00FC1C5C">
            <w:pPr>
              <w:rPr>
                <w:color w:val="000000"/>
                <w:sz w:val="16"/>
                <w:szCs w:val="16"/>
              </w:rPr>
            </w:pPr>
            <w:r>
              <w:rPr>
                <w:color w:val="000000"/>
                <w:sz w:val="16"/>
                <w:szCs w:val="16"/>
              </w:rPr>
              <w:t>0.2061</w:t>
            </w:r>
          </w:p>
        </w:tc>
        <w:tc>
          <w:tcPr>
            <w:tcW w:w="876" w:type="dxa"/>
            <w:noWrap/>
            <w:vAlign w:val="bottom"/>
          </w:tcPr>
          <w:p w:rsidR="005F6480" w:rsidRDefault="005F6480">
            <w:pPr>
              <w:jc w:val="right"/>
              <w:rPr>
                <w:color w:val="000000"/>
                <w:sz w:val="16"/>
                <w:szCs w:val="16"/>
              </w:rPr>
            </w:pPr>
            <w:r>
              <w:rPr>
                <w:color w:val="000000"/>
                <w:sz w:val="16"/>
                <w:szCs w:val="16"/>
              </w:rPr>
              <w:t>-0.0100</w:t>
            </w:r>
          </w:p>
        </w:tc>
        <w:tc>
          <w:tcPr>
            <w:tcW w:w="1009" w:type="dxa"/>
            <w:noWrap/>
            <w:vAlign w:val="bottom"/>
          </w:tcPr>
          <w:p w:rsidR="005F6480" w:rsidRDefault="005F6480" w:rsidP="0030462B">
            <w:pPr>
              <w:rPr>
                <w:color w:val="000000"/>
                <w:sz w:val="16"/>
                <w:szCs w:val="16"/>
              </w:rPr>
            </w:pPr>
            <w:r>
              <w:rPr>
                <w:color w:val="000000"/>
                <w:sz w:val="16"/>
                <w:szCs w:val="16"/>
              </w:rPr>
              <w:t>0.1978</w:t>
            </w:r>
          </w:p>
        </w:tc>
        <w:tc>
          <w:tcPr>
            <w:tcW w:w="903" w:type="dxa"/>
            <w:noWrap/>
            <w:vAlign w:val="bottom"/>
          </w:tcPr>
          <w:p w:rsidR="005F6480" w:rsidRDefault="005F6480">
            <w:pPr>
              <w:jc w:val="right"/>
              <w:rPr>
                <w:color w:val="000000"/>
                <w:sz w:val="16"/>
                <w:szCs w:val="16"/>
              </w:rPr>
            </w:pPr>
            <w:r>
              <w:rPr>
                <w:color w:val="000000"/>
                <w:sz w:val="16"/>
                <w:szCs w:val="16"/>
              </w:rPr>
              <w:t>-0.0090</w:t>
            </w:r>
          </w:p>
        </w:tc>
        <w:tc>
          <w:tcPr>
            <w:tcW w:w="891" w:type="dxa"/>
            <w:noWrap/>
            <w:vAlign w:val="bottom"/>
          </w:tcPr>
          <w:p w:rsidR="005F6480" w:rsidRDefault="005F6480" w:rsidP="00FC1C5C">
            <w:pPr>
              <w:rPr>
                <w:color w:val="000000"/>
                <w:sz w:val="16"/>
                <w:szCs w:val="16"/>
              </w:rPr>
            </w:pPr>
            <w:r>
              <w:rPr>
                <w:color w:val="000000"/>
                <w:sz w:val="16"/>
                <w:szCs w:val="16"/>
              </w:rPr>
              <w:t>0.2445</w:t>
            </w:r>
          </w:p>
        </w:tc>
        <w:tc>
          <w:tcPr>
            <w:tcW w:w="817" w:type="dxa"/>
            <w:noWrap/>
            <w:vAlign w:val="bottom"/>
          </w:tcPr>
          <w:p w:rsidR="005F6480" w:rsidRDefault="005F6480" w:rsidP="008310B6">
            <w:pPr>
              <w:jc w:val="right"/>
              <w:rPr>
                <w:color w:val="000000"/>
                <w:sz w:val="16"/>
                <w:szCs w:val="16"/>
              </w:rPr>
            </w:pPr>
            <w:r>
              <w:rPr>
                <w:color w:val="000000"/>
                <w:sz w:val="16"/>
                <w:szCs w:val="16"/>
              </w:rPr>
              <w:t>-0.0141</w:t>
            </w:r>
          </w:p>
        </w:tc>
        <w:tc>
          <w:tcPr>
            <w:tcW w:w="896" w:type="dxa"/>
            <w:vAlign w:val="bottom"/>
          </w:tcPr>
          <w:p w:rsidR="005F6480" w:rsidRDefault="005F6480" w:rsidP="00B877DC">
            <w:pPr>
              <w:rPr>
                <w:color w:val="000000"/>
                <w:sz w:val="16"/>
                <w:szCs w:val="16"/>
              </w:rPr>
            </w:pPr>
            <w:r>
              <w:rPr>
                <w:color w:val="000000"/>
                <w:sz w:val="16"/>
                <w:szCs w:val="16"/>
              </w:rPr>
              <w:t>0.1119</w:t>
            </w:r>
          </w:p>
        </w:tc>
        <w:tc>
          <w:tcPr>
            <w:tcW w:w="845" w:type="dxa"/>
            <w:tcBorders>
              <w:left w:val="nil"/>
            </w:tcBorders>
            <w:vAlign w:val="bottom"/>
          </w:tcPr>
          <w:p w:rsidR="005F6480" w:rsidRDefault="005F6480">
            <w:pPr>
              <w:jc w:val="right"/>
              <w:rPr>
                <w:color w:val="000000"/>
                <w:sz w:val="16"/>
                <w:szCs w:val="16"/>
              </w:rPr>
            </w:pPr>
            <w:r>
              <w:rPr>
                <w:color w:val="000000"/>
                <w:sz w:val="16"/>
                <w:szCs w:val="16"/>
              </w:rPr>
              <w:t>-0.0197</w:t>
            </w:r>
          </w:p>
        </w:tc>
        <w:tc>
          <w:tcPr>
            <w:tcW w:w="896" w:type="dxa"/>
            <w:noWrap/>
            <w:vAlign w:val="bottom"/>
          </w:tcPr>
          <w:p w:rsidR="005F6480" w:rsidRDefault="005F6480" w:rsidP="005F6480">
            <w:pPr>
              <w:rPr>
                <w:color w:val="000000"/>
                <w:sz w:val="16"/>
                <w:szCs w:val="16"/>
              </w:rPr>
            </w:pPr>
            <w:r>
              <w:rPr>
                <w:color w:val="000000"/>
                <w:sz w:val="16"/>
                <w:szCs w:val="16"/>
              </w:rPr>
              <w:t>0.1977</w:t>
            </w:r>
          </w:p>
        </w:tc>
        <w:tc>
          <w:tcPr>
            <w:tcW w:w="783" w:type="dxa"/>
            <w:vAlign w:val="bottom"/>
          </w:tcPr>
          <w:p w:rsidR="005F6480" w:rsidRDefault="005F6480">
            <w:pPr>
              <w:jc w:val="right"/>
              <w:rPr>
                <w:color w:val="000000"/>
                <w:sz w:val="16"/>
                <w:szCs w:val="16"/>
              </w:rPr>
            </w:pPr>
            <w:r>
              <w:rPr>
                <w:color w:val="000000"/>
                <w:sz w:val="16"/>
                <w:szCs w:val="16"/>
              </w:rPr>
              <w:t>-0.0071</w:t>
            </w:r>
          </w:p>
        </w:tc>
        <w:tc>
          <w:tcPr>
            <w:tcW w:w="896" w:type="dxa"/>
            <w:vAlign w:val="bottom"/>
          </w:tcPr>
          <w:p w:rsidR="005F6480" w:rsidRDefault="005F6480" w:rsidP="00395DB2">
            <w:pPr>
              <w:rPr>
                <w:color w:val="000000"/>
                <w:sz w:val="16"/>
                <w:szCs w:val="16"/>
              </w:rPr>
            </w:pPr>
            <w:r>
              <w:rPr>
                <w:color w:val="000000"/>
                <w:sz w:val="16"/>
                <w:szCs w:val="16"/>
              </w:rPr>
              <w:t>0.3833</w:t>
            </w:r>
          </w:p>
        </w:tc>
        <w:tc>
          <w:tcPr>
            <w:tcW w:w="813" w:type="dxa"/>
            <w:vAlign w:val="bottom"/>
          </w:tcPr>
          <w:p w:rsidR="005F6480" w:rsidRDefault="005F6480">
            <w:pPr>
              <w:jc w:val="right"/>
              <w:rPr>
                <w:color w:val="000000"/>
                <w:sz w:val="16"/>
                <w:szCs w:val="16"/>
              </w:rPr>
            </w:pPr>
            <w:r>
              <w:rPr>
                <w:color w:val="000000"/>
                <w:sz w:val="16"/>
                <w:szCs w:val="16"/>
              </w:rPr>
              <w:t>-0.0104</w:t>
            </w:r>
          </w:p>
        </w:tc>
        <w:tc>
          <w:tcPr>
            <w:tcW w:w="867" w:type="dxa"/>
            <w:vAlign w:val="bottom"/>
          </w:tcPr>
          <w:p w:rsidR="005F6480" w:rsidRDefault="005F6480" w:rsidP="00A546EA">
            <w:pPr>
              <w:rPr>
                <w:color w:val="000000"/>
                <w:sz w:val="16"/>
                <w:szCs w:val="16"/>
              </w:rPr>
            </w:pPr>
            <w:r>
              <w:rPr>
                <w:color w:val="000000"/>
                <w:sz w:val="16"/>
                <w:szCs w:val="16"/>
              </w:rPr>
              <w:t>0.1899</w:t>
            </w:r>
          </w:p>
        </w:tc>
      </w:tr>
      <w:tr w:rsidR="005F6480" w:rsidRPr="00C15F52" w:rsidTr="00B055BB">
        <w:trPr>
          <w:trHeight w:val="20"/>
          <w:jc w:val="center"/>
        </w:trPr>
        <w:tc>
          <w:tcPr>
            <w:tcW w:w="10376" w:type="dxa"/>
            <w:gridSpan w:val="11"/>
          </w:tcPr>
          <w:p w:rsidR="005F6480" w:rsidRPr="00C15F52" w:rsidRDefault="005F6480" w:rsidP="00FD3F29">
            <w:pPr>
              <w:rPr>
                <w:rFonts w:cs="Times New Roman"/>
                <w:color w:val="000000"/>
                <w:sz w:val="16"/>
                <w:szCs w:val="16"/>
              </w:rPr>
            </w:pPr>
            <w:r>
              <w:rPr>
                <w:rFonts w:cs="Times New Roman"/>
                <w:i/>
                <w:iCs/>
                <w:sz w:val="16"/>
                <w:szCs w:val="16"/>
                <w:lang w:eastAsia="en-GB"/>
              </w:rPr>
              <w:t>Control Variables:</w:t>
            </w:r>
          </w:p>
        </w:tc>
        <w:tc>
          <w:tcPr>
            <w:tcW w:w="783" w:type="dxa"/>
          </w:tcPr>
          <w:p w:rsidR="005F6480" w:rsidRPr="00C15F52" w:rsidRDefault="005F6480" w:rsidP="00FD3F29">
            <w:pPr>
              <w:rPr>
                <w:rFonts w:cs="Times New Roman"/>
                <w:i/>
                <w:iCs/>
                <w:sz w:val="16"/>
                <w:szCs w:val="16"/>
                <w:lang w:eastAsia="en-GB"/>
              </w:rPr>
            </w:pPr>
          </w:p>
        </w:tc>
        <w:tc>
          <w:tcPr>
            <w:tcW w:w="896" w:type="dxa"/>
          </w:tcPr>
          <w:p w:rsidR="005F6480" w:rsidRPr="00C15F52" w:rsidRDefault="005F6480" w:rsidP="00FD3F29">
            <w:pPr>
              <w:rPr>
                <w:rFonts w:cs="Times New Roman"/>
                <w:i/>
                <w:iCs/>
                <w:sz w:val="16"/>
                <w:szCs w:val="16"/>
                <w:lang w:eastAsia="en-GB"/>
              </w:rPr>
            </w:pPr>
          </w:p>
        </w:tc>
        <w:tc>
          <w:tcPr>
            <w:tcW w:w="813" w:type="dxa"/>
          </w:tcPr>
          <w:p w:rsidR="005F6480" w:rsidRPr="00C15F52" w:rsidRDefault="005F6480" w:rsidP="00FD3F29">
            <w:pPr>
              <w:rPr>
                <w:rFonts w:cs="Times New Roman"/>
                <w:i/>
                <w:iCs/>
                <w:sz w:val="16"/>
                <w:szCs w:val="16"/>
                <w:lang w:eastAsia="en-GB"/>
              </w:rPr>
            </w:pPr>
          </w:p>
        </w:tc>
        <w:tc>
          <w:tcPr>
            <w:tcW w:w="867" w:type="dxa"/>
          </w:tcPr>
          <w:p w:rsidR="005F6480" w:rsidRPr="00C15F52" w:rsidRDefault="005F6480" w:rsidP="00FD3F29">
            <w:pPr>
              <w:rPr>
                <w:rFonts w:cs="Times New Roman"/>
                <w:i/>
                <w:iCs/>
                <w:sz w:val="16"/>
                <w:szCs w:val="16"/>
                <w:lang w:eastAsia="en-GB"/>
              </w:rPr>
            </w:pPr>
          </w:p>
        </w:tc>
      </w:tr>
      <w:tr w:rsidR="005F6480" w:rsidRPr="00C15F52" w:rsidTr="00B055BB">
        <w:trPr>
          <w:trHeight w:val="261"/>
          <w:jc w:val="center"/>
        </w:trPr>
        <w:tc>
          <w:tcPr>
            <w:tcW w:w="1579" w:type="dxa"/>
            <w:noWrap/>
            <w:vAlign w:val="bottom"/>
          </w:tcPr>
          <w:p w:rsidR="005F6480" w:rsidRDefault="005F6480" w:rsidP="00F73526">
            <w:pPr>
              <w:rPr>
                <w:rFonts w:eastAsiaTheme="minorEastAsia" w:cs="Times New Roman"/>
                <w:sz w:val="16"/>
                <w:szCs w:val="16"/>
              </w:rPr>
            </w:pPr>
            <w:r>
              <w:rPr>
                <w:rFonts w:eastAsiaTheme="minorEastAsia" w:cs="Times New Roman"/>
                <w:sz w:val="16"/>
                <w:szCs w:val="16"/>
              </w:rPr>
              <w:t xml:space="preserve">   </w:t>
            </w:r>
            <w:r>
              <w:rPr>
                <w:rFonts w:cs="Times New Roman"/>
                <w:sz w:val="16"/>
                <w:szCs w:val="16"/>
              </w:rPr>
              <w:t>BLKOWN</w:t>
            </w:r>
          </w:p>
        </w:tc>
        <w:tc>
          <w:tcPr>
            <w:tcW w:w="775" w:type="dxa"/>
            <w:vAlign w:val="bottom"/>
          </w:tcPr>
          <w:p w:rsidR="005F6480" w:rsidRDefault="005F6480" w:rsidP="00FC1C5C">
            <w:pPr>
              <w:jc w:val="right"/>
              <w:rPr>
                <w:color w:val="000000"/>
                <w:sz w:val="16"/>
                <w:szCs w:val="16"/>
              </w:rPr>
            </w:pPr>
            <w:r>
              <w:rPr>
                <w:color w:val="000000"/>
                <w:sz w:val="16"/>
                <w:szCs w:val="16"/>
              </w:rPr>
              <w:t>0.0003</w:t>
            </w:r>
          </w:p>
        </w:tc>
        <w:tc>
          <w:tcPr>
            <w:tcW w:w="889" w:type="dxa"/>
            <w:vAlign w:val="bottom"/>
          </w:tcPr>
          <w:p w:rsidR="005F6480" w:rsidRDefault="005F6480" w:rsidP="00FC1C5C">
            <w:pPr>
              <w:rPr>
                <w:color w:val="000000"/>
                <w:sz w:val="16"/>
                <w:szCs w:val="16"/>
              </w:rPr>
            </w:pPr>
            <w:r>
              <w:rPr>
                <w:color w:val="000000"/>
                <w:sz w:val="16"/>
                <w:szCs w:val="16"/>
              </w:rPr>
              <w:t>0.0508</w:t>
            </w:r>
            <w:r w:rsidRPr="00D365F1">
              <w:rPr>
                <w:color w:val="000000"/>
                <w:sz w:val="16"/>
                <w:szCs w:val="16"/>
                <w:vertAlign w:val="superscript"/>
              </w:rPr>
              <w:t>*</w:t>
            </w:r>
          </w:p>
        </w:tc>
        <w:tc>
          <w:tcPr>
            <w:tcW w:w="876" w:type="dxa"/>
            <w:noWrap/>
            <w:vAlign w:val="bottom"/>
          </w:tcPr>
          <w:p w:rsidR="005F6480" w:rsidRDefault="005F6480">
            <w:pPr>
              <w:jc w:val="right"/>
              <w:rPr>
                <w:color w:val="000000"/>
                <w:sz w:val="16"/>
                <w:szCs w:val="16"/>
              </w:rPr>
            </w:pPr>
            <w:r>
              <w:rPr>
                <w:color w:val="000000"/>
                <w:sz w:val="16"/>
                <w:szCs w:val="16"/>
              </w:rPr>
              <w:t>0.0003</w:t>
            </w:r>
          </w:p>
        </w:tc>
        <w:tc>
          <w:tcPr>
            <w:tcW w:w="1009" w:type="dxa"/>
            <w:noWrap/>
            <w:vAlign w:val="bottom"/>
          </w:tcPr>
          <w:p w:rsidR="005F6480" w:rsidRDefault="005F6480" w:rsidP="0030462B">
            <w:pPr>
              <w:rPr>
                <w:color w:val="000000"/>
                <w:sz w:val="16"/>
                <w:szCs w:val="16"/>
              </w:rPr>
            </w:pPr>
            <w:r>
              <w:rPr>
                <w:color w:val="000000"/>
                <w:sz w:val="16"/>
                <w:szCs w:val="16"/>
              </w:rPr>
              <w:t>0.0529</w:t>
            </w:r>
            <w:r w:rsidRPr="00DD130D">
              <w:rPr>
                <w:color w:val="000000"/>
                <w:sz w:val="16"/>
                <w:szCs w:val="16"/>
                <w:vertAlign w:val="superscript"/>
              </w:rPr>
              <w:t>*</w:t>
            </w:r>
          </w:p>
        </w:tc>
        <w:tc>
          <w:tcPr>
            <w:tcW w:w="903" w:type="dxa"/>
            <w:noWrap/>
            <w:vAlign w:val="bottom"/>
          </w:tcPr>
          <w:p w:rsidR="005F6480" w:rsidRDefault="005F6480">
            <w:pPr>
              <w:jc w:val="right"/>
              <w:rPr>
                <w:color w:val="000000"/>
                <w:sz w:val="16"/>
                <w:szCs w:val="16"/>
              </w:rPr>
            </w:pPr>
            <w:r>
              <w:rPr>
                <w:color w:val="000000"/>
                <w:sz w:val="16"/>
                <w:szCs w:val="16"/>
              </w:rPr>
              <w:t>0.0003</w:t>
            </w:r>
          </w:p>
        </w:tc>
        <w:tc>
          <w:tcPr>
            <w:tcW w:w="891" w:type="dxa"/>
            <w:noWrap/>
            <w:vAlign w:val="bottom"/>
          </w:tcPr>
          <w:p w:rsidR="005F6480" w:rsidRDefault="005F6480" w:rsidP="00FC1C5C">
            <w:pPr>
              <w:rPr>
                <w:color w:val="000000"/>
                <w:sz w:val="16"/>
                <w:szCs w:val="16"/>
              </w:rPr>
            </w:pPr>
            <w:r>
              <w:rPr>
                <w:color w:val="000000"/>
                <w:sz w:val="16"/>
                <w:szCs w:val="16"/>
              </w:rPr>
              <w:t>0.0694</w:t>
            </w:r>
            <w:r w:rsidRPr="00FC1C5C">
              <w:rPr>
                <w:color w:val="000000"/>
                <w:sz w:val="16"/>
                <w:szCs w:val="16"/>
                <w:vertAlign w:val="superscript"/>
              </w:rPr>
              <w:t>*</w:t>
            </w:r>
          </w:p>
        </w:tc>
        <w:tc>
          <w:tcPr>
            <w:tcW w:w="817" w:type="dxa"/>
            <w:noWrap/>
            <w:vAlign w:val="bottom"/>
          </w:tcPr>
          <w:p w:rsidR="005F6480" w:rsidRDefault="005F6480">
            <w:pPr>
              <w:jc w:val="right"/>
              <w:rPr>
                <w:color w:val="000000"/>
                <w:sz w:val="16"/>
                <w:szCs w:val="16"/>
              </w:rPr>
            </w:pPr>
            <w:r>
              <w:rPr>
                <w:color w:val="000000"/>
                <w:sz w:val="16"/>
                <w:szCs w:val="16"/>
              </w:rPr>
              <w:t>0.0003</w:t>
            </w:r>
          </w:p>
        </w:tc>
        <w:tc>
          <w:tcPr>
            <w:tcW w:w="896" w:type="dxa"/>
            <w:vAlign w:val="bottom"/>
          </w:tcPr>
          <w:p w:rsidR="005F6480" w:rsidRDefault="005F6480" w:rsidP="00B877DC">
            <w:pPr>
              <w:rPr>
                <w:color w:val="000000"/>
                <w:sz w:val="16"/>
                <w:szCs w:val="16"/>
              </w:rPr>
            </w:pPr>
            <w:r>
              <w:rPr>
                <w:color w:val="000000"/>
                <w:sz w:val="16"/>
                <w:szCs w:val="16"/>
              </w:rPr>
              <w:t>0.0874</w:t>
            </w:r>
            <w:r w:rsidRPr="00B877DC">
              <w:rPr>
                <w:color w:val="000000"/>
                <w:sz w:val="16"/>
                <w:szCs w:val="16"/>
                <w:vertAlign w:val="superscript"/>
              </w:rPr>
              <w:t>*</w:t>
            </w:r>
          </w:p>
        </w:tc>
        <w:tc>
          <w:tcPr>
            <w:tcW w:w="845" w:type="dxa"/>
            <w:tcBorders>
              <w:left w:val="nil"/>
            </w:tcBorders>
            <w:vAlign w:val="bottom"/>
          </w:tcPr>
          <w:p w:rsidR="005F6480" w:rsidRDefault="005F6480">
            <w:pPr>
              <w:jc w:val="right"/>
              <w:rPr>
                <w:color w:val="000000"/>
                <w:sz w:val="16"/>
                <w:szCs w:val="16"/>
              </w:rPr>
            </w:pPr>
            <w:r>
              <w:rPr>
                <w:color w:val="000000"/>
                <w:sz w:val="16"/>
                <w:szCs w:val="16"/>
              </w:rPr>
              <w:t>0.0001</w:t>
            </w:r>
          </w:p>
        </w:tc>
        <w:tc>
          <w:tcPr>
            <w:tcW w:w="896" w:type="dxa"/>
            <w:noWrap/>
            <w:vAlign w:val="bottom"/>
          </w:tcPr>
          <w:p w:rsidR="005F6480" w:rsidRDefault="005F6480" w:rsidP="005F6480">
            <w:pPr>
              <w:rPr>
                <w:color w:val="000000"/>
                <w:sz w:val="16"/>
                <w:szCs w:val="16"/>
              </w:rPr>
            </w:pPr>
            <w:r>
              <w:rPr>
                <w:color w:val="000000"/>
                <w:sz w:val="16"/>
                <w:szCs w:val="16"/>
              </w:rPr>
              <w:t>0.7572</w:t>
            </w:r>
          </w:p>
        </w:tc>
        <w:tc>
          <w:tcPr>
            <w:tcW w:w="783" w:type="dxa"/>
            <w:vAlign w:val="bottom"/>
          </w:tcPr>
          <w:p w:rsidR="005F6480" w:rsidRDefault="005F6480">
            <w:pPr>
              <w:jc w:val="right"/>
              <w:rPr>
                <w:color w:val="000000"/>
                <w:sz w:val="16"/>
                <w:szCs w:val="16"/>
              </w:rPr>
            </w:pPr>
            <w:r>
              <w:rPr>
                <w:color w:val="000000"/>
                <w:sz w:val="16"/>
                <w:szCs w:val="16"/>
              </w:rPr>
              <w:t>0.0003</w:t>
            </w:r>
          </w:p>
        </w:tc>
        <w:tc>
          <w:tcPr>
            <w:tcW w:w="896" w:type="dxa"/>
            <w:vAlign w:val="bottom"/>
          </w:tcPr>
          <w:p w:rsidR="005F6480" w:rsidRDefault="005F6480" w:rsidP="00395DB2">
            <w:pPr>
              <w:rPr>
                <w:color w:val="000000"/>
                <w:sz w:val="16"/>
                <w:szCs w:val="16"/>
              </w:rPr>
            </w:pPr>
            <w:r>
              <w:rPr>
                <w:color w:val="000000"/>
                <w:sz w:val="16"/>
                <w:szCs w:val="16"/>
              </w:rPr>
              <w:t>0.0497</w:t>
            </w:r>
            <w:r w:rsidRPr="00395DB2">
              <w:rPr>
                <w:color w:val="000000"/>
                <w:sz w:val="16"/>
                <w:szCs w:val="16"/>
                <w:vertAlign w:val="superscript"/>
              </w:rPr>
              <w:t>**</w:t>
            </w:r>
          </w:p>
        </w:tc>
        <w:tc>
          <w:tcPr>
            <w:tcW w:w="813" w:type="dxa"/>
            <w:vAlign w:val="bottom"/>
          </w:tcPr>
          <w:p w:rsidR="005F6480" w:rsidRDefault="005F6480">
            <w:pPr>
              <w:jc w:val="right"/>
              <w:rPr>
                <w:color w:val="000000"/>
                <w:sz w:val="16"/>
                <w:szCs w:val="16"/>
              </w:rPr>
            </w:pPr>
            <w:r>
              <w:rPr>
                <w:color w:val="000000"/>
                <w:sz w:val="16"/>
                <w:szCs w:val="16"/>
              </w:rPr>
              <w:t>0.0003</w:t>
            </w:r>
          </w:p>
        </w:tc>
        <w:tc>
          <w:tcPr>
            <w:tcW w:w="867" w:type="dxa"/>
            <w:vAlign w:val="bottom"/>
          </w:tcPr>
          <w:p w:rsidR="005F6480" w:rsidRDefault="005F6480" w:rsidP="00A546EA">
            <w:pPr>
              <w:rPr>
                <w:color w:val="000000"/>
                <w:sz w:val="16"/>
                <w:szCs w:val="16"/>
              </w:rPr>
            </w:pPr>
            <w:r>
              <w:rPr>
                <w:color w:val="000000"/>
                <w:sz w:val="16"/>
                <w:szCs w:val="16"/>
              </w:rPr>
              <w:t>0.0562</w:t>
            </w:r>
            <w:r w:rsidRPr="00A546EA">
              <w:rPr>
                <w:color w:val="000000"/>
                <w:sz w:val="16"/>
                <w:szCs w:val="16"/>
                <w:vertAlign w:val="superscript"/>
              </w:rPr>
              <w:t>*</w:t>
            </w:r>
          </w:p>
        </w:tc>
      </w:tr>
      <w:tr w:rsidR="005F6480" w:rsidRPr="00C15F52" w:rsidTr="00B055BB">
        <w:trPr>
          <w:trHeight w:val="261"/>
          <w:jc w:val="center"/>
        </w:trPr>
        <w:tc>
          <w:tcPr>
            <w:tcW w:w="1579" w:type="dxa"/>
            <w:noWrap/>
            <w:vAlign w:val="bottom"/>
          </w:tcPr>
          <w:p w:rsidR="005F6480" w:rsidRPr="00C15F52" w:rsidRDefault="005F6480" w:rsidP="00F73526">
            <w:pPr>
              <w:rPr>
                <w:rFonts w:cs="Times New Roman"/>
                <w:sz w:val="16"/>
                <w:szCs w:val="16"/>
              </w:rPr>
            </w:pPr>
            <w:r>
              <w:rPr>
                <w:rFonts w:eastAsiaTheme="minorEastAsia" w:cs="Times New Roman"/>
                <w:sz w:val="16"/>
                <w:szCs w:val="16"/>
              </w:rPr>
              <w:t xml:space="preserve">   </w:t>
            </w:r>
            <w:r>
              <w:rPr>
                <w:rFonts w:cs="Times New Roman"/>
                <w:sz w:val="16"/>
                <w:szCs w:val="16"/>
              </w:rPr>
              <w:t>GOVOWN</w:t>
            </w:r>
          </w:p>
        </w:tc>
        <w:tc>
          <w:tcPr>
            <w:tcW w:w="775" w:type="dxa"/>
            <w:vAlign w:val="bottom"/>
          </w:tcPr>
          <w:p w:rsidR="005F6480" w:rsidRDefault="005F6480" w:rsidP="00FC1C5C">
            <w:pPr>
              <w:jc w:val="right"/>
              <w:rPr>
                <w:color w:val="000000"/>
                <w:sz w:val="16"/>
                <w:szCs w:val="16"/>
              </w:rPr>
            </w:pPr>
            <w:r>
              <w:rPr>
                <w:color w:val="000000"/>
                <w:sz w:val="16"/>
                <w:szCs w:val="16"/>
              </w:rPr>
              <w:t>-0.0186</w:t>
            </w:r>
          </w:p>
        </w:tc>
        <w:tc>
          <w:tcPr>
            <w:tcW w:w="889" w:type="dxa"/>
            <w:vAlign w:val="bottom"/>
          </w:tcPr>
          <w:p w:rsidR="005F6480" w:rsidRDefault="005F6480" w:rsidP="00FC1C5C">
            <w:pPr>
              <w:rPr>
                <w:color w:val="000000"/>
                <w:sz w:val="16"/>
                <w:szCs w:val="16"/>
              </w:rPr>
            </w:pPr>
            <w:r>
              <w:rPr>
                <w:color w:val="000000"/>
                <w:sz w:val="16"/>
                <w:szCs w:val="16"/>
              </w:rPr>
              <w:t>0.0142</w:t>
            </w:r>
            <w:r w:rsidRPr="00D365F1">
              <w:rPr>
                <w:color w:val="000000"/>
                <w:sz w:val="16"/>
                <w:szCs w:val="16"/>
                <w:vertAlign w:val="superscript"/>
              </w:rPr>
              <w:t>**</w:t>
            </w:r>
          </w:p>
        </w:tc>
        <w:tc>
          <w:tcPr>
            <w:tcW w:w="876" w:type="dxa"/>
            <w:noWrap/>
            <w:vAlign w:val="bottom"/>
          </w:tcPr>
          <w:p w:rsidR="005F6480" w:rsidRDefault="005F6480">
            <w:pPr>
              <w:jc w:val="right"/>
              <w:rPr>
                <w:color w:val="000000"/>
                <w:sz w:val="16"/>
                <w:szCs w:val="16"/>
              </w:rPr>
            </w:pPr>
            <w:r>
              <w:rPr>
                <w:color w:val="000000"/>
                <w:sz w:val="16"/>
                <w:szCs w:val="16"/>
              </w:rPr>
              <w:t>-0.0186</w:t>
            </w:r>
          </w:p>
        </w:tc>
        <w:tc>
          <w:tcPr>
            <w:tcW w:w="1009" w:type="dxa"/>
            <w:noWrap/>
            <w:vAlign w:val="bottom"/>
          </w:tcPr>
          <w:p w:rsidR="005F6480" w:rsidRDefault="005F6480" w:rsidP="0030462B">
            <w:pPr>
              <w:rPr>
                <w:color w:val="000000"/>
                <w:sz w:val="16"/>
                <w:szCs w:val="16"/>
              </w:rPr>
            </w:pPr>
            <w:r>
              <w:rPr>
                <w:color w:val="000000"/>
                <w:sz w:val="16"/>
                <w:szCs w:val="16"/>
              </w:rPr>
              <w:t>0.0142</w:t>
            </w:r>
            <w:r w:rsidRPr="00E20E99">
              <w:rPr>
                <w:color w:val="000000"/>
                <w:sz w:val="16"/>
                <w:szCs w:val="16"/>
                <w:vertAlign w:val="superscript"/>
              </w:rPr>
              <w:t>**</w:t>
            </w:r>
          </w:p>
        </w:tc>
        <w:tc>
          <w:tcPr>
            <w:tcW w:w="903" w:type="dxa"/>
            <w:noWrap/>
            <w:vAlign w:val="bottom"/>
          </w:tcPr>
          <w:p w:rsidR="005F6480" w:rsidRDefault="005F6480">
            <w:pPr>
              <w:jc w:val="right"/>
              <w:rPr>
                <w:color w:val="000000"/>
                <w:sz w:val="16"/>
                <w:szCs w:val="16"/>
              </w:rPr>
            </w:pPr>
            <w:r>
              <w:rPr>
                <w:color w:val="000000"/>
                <w:sz w:val="16"/>
                <w:szCs w:val="16"/>
              </w:rPr>
              <w:t>-0.0184</w:t>
            </w:r>
          </w:p>
        </w:tc>
        <w:tc>
          <w:tcPr>
            <w:tcW w:w="891" w:type="dxa"/>
            <w:noWrap/>
            <w:vAlign w:val="bottom"/>
          </w:tcPr>
          <w:p w:rsidR="005F6480" w:rsidRDefault="005F6480" w:rsidP="00FC1C5C">
            <w:pPr>
              <w:rPr>
                <w:color w:val="000000"/>
                <w:sz w:val="16"/>
                <w:szCs w:val="16"/>
              </w:rPr>
            </w:pPr>
            <w:r>
              <w:rPr>
                <w:color w:val="000000"/>
                <w:sz w:val="16"/>
                <w:szCs w:val="16"/>
              </w:rPr>
              <w:t>0.0155</w:t>
            </w:r>
          </w:p>
        </w:tc>
        <w:tc>
          <w:tcPr>
            <w:tcW w:w="817" w:type="dxa"/>
            <w:noWrap/>
            <w:vAlign w:val="bottom"/>
          </w:tcPr>
          <w:p w:rsidR="005F6480" w:rsidRDefault="005F6480">
            <w:pPr>
              <w:jc w:val="right"/>
              <w:rPr>
                <w:color w:val="000000"/>
                <w:sz w:val="16"/>
                <w:szCs w:val="16"/>
              </w:rPr>
            </w:pPr>
            <w:r>
              <w:rPr>
                <w:color w:val="000000"/>
                <w:sz w:val="16"/>
                <w:szCs w:val="16"/>
              </w:rPr>
              <w:t>-0.0004</w:t>
            </w:r>
          </w:p>
        </w:tc>
        <w:tc>
          <w:tcPr>
            <w:tcW w:w="896" w:type="dxa"/>
            <w:vAlign w:val="bottom"/>
          </w:tcPr>
          <w:p w:rsidR="005F6480" w:rsidRDefault="005F6480" w:rsidP="00B877DC">
            <w:pPr>
              <w:rPr>
                <w:color w:val="000000"/>
                <w:sz w:val="16"/>
                <w:szCs w:val="16"/>
              </w:rPr>
            </w:pPr>
            <w:r>
              <w:rPr>
                <w:color w:val="000000"/>
                <w:sz w:val="16"/>
                <w:szCs w:val="16"/>
              </w:rPr>
              <w:t>0.0782</w:t>
            </w:r>
            <w:r w:rsidRPr="00B877DC">
              <w:rPr>
                <w:color w:val="000000"/>
                <w:sz w:val="16"/>
                <w:szCs w:val="16"/>
                <w:vertAlign w:val="superscript"/>
              </w:rPr>
              <w:t>*</w:t>
            </w:r>
          </w:p>
        </w:tc>
        <w:tc>
          <w:tcPr>
            <w:tcW w:w="845" w:type="dxa"/>
            <w:tcBorders>
              <w:left w:val="nil"/>
            </w:tcBorders>
            <w:vAlign w:val="bottom"/>
          </w:tcPr>
          <w:p w:rsidR="005F6480" w:rsidRDefault="005F6480">
            <w:pPr>
              <w:jc w:val="right"/>
              <w:rPr>
                <w:color w:val="000000"/>
                <w:sz w:val="16"/>
                <w:szCs w:val="16"/>
              </w:rPr>
            </w:pPr>
            <w:r>
              <w:rPr>
                <w:color w:val="000000"/>
                <w:sz w:val="16"/>
                <w:szCs w:val="16"/>
              </w:rPr>
              <w:t>-0.0061</w:t>
            </w:r>
          </w:p>
        </w:tc>
        <w:tc>
          <w:tcPr>
            <w:tcW w:w="896" w:type="dxa"/>
            <w:noWrap/>
            <w:vAlign w:val="bottom"/>
          </w:tcPr>
          <w:p w:rsidR="005F6480" w:rsidRDefault="005F6480" w:rsidP="005F6480">
            <w:pPr>
              <w:rPr>
                <w:color w:val="000000"/>
                <w:sz w:val="16"/>
                <w:szCs w:val="16"/>
              </w:rPr>
            </w:pPr>
            <w:r>
              <w:rPr>
                <w:color w:val="000000"/>
                <w:sz w:val="16"/>
                <w:szCs w:val="16"/>
              </w:rPr>
              <w:t>0.7599</w:t>
            </w:r>
          </w:p>
        </w:tc>
        <w:tc>
          <w:tcPr>
            <w:tcW w:w="783" w:type="dxa"/>
            <w:vAlign w:val="bottom"/>
          </w:tcPr>
          <w:p w:rsidR="005F6480" w:rsidRDefault="005F6480">
            <w:pPr>
              <w:jc w:val="right"/>
              <w:rPr>
                <w:color w:val="000000"/>
                <w:sz w:val="16"/>
                <w:szCs w:val="16"/>
              </w:rPr>
            </w:pPr>
            <w:r>
              <w:rPr>
                <w:color w:val="000000"/>
                <w:sz w:val="16"/>
                <w:szCs w:val="16"/>
              </w:rPr>
              <w:t>-0.0223</w:t>
            </w:r>
          </w:p>
        </w:tc>
        <w:tc>
          <w:tcPr>
            <w:tcW w:w="896" w:type="dxa"/>
            <w:vAlign w:val="bottom"/>
          </w:tcPr>
          <w:p w:rsidR="005F6480" w:rsidRDefault="005F6480" w:rsidP="00395DB2">
            <w:pPr>
              <w:rPr>
                <w:color w:val="000000"/>
                <w:sz w:val="16"/>
                <w:szCs w:val="16"/>
              </w:rPr>
            </w:pPr>
            <w:r>
              <w:rPr>
                <w:color w:val="000000"/>
                <w:sz w:val="16"/>
                <w:szCs w:val="16"/>
              </w:rPr>
              <w:t>0.0042</w:t>
            </w:r>
            <w:r w:rsidRPr="00395DB2">
              <w:rPr>
                <w:color w:val="000000"/>
                <w:sz w:val="16"/>
                <w:szCs w:val="16"/>
                <w:vertAlign w:val="superscript"/>
              </w:rPr>
              <w:t>***</w:t>
            </w:r>
          </w:p>
        </w:tc>
        <w:tc>
          <w:tcPr>
            <w:tcW w:w="813" w:type="dxa"/>
            <w:vAlign w:val="bottom"/>
          </w:tcPr>
          <w:p w:rsidR="005F6480" w:rsidRDefault="005F6480">
            <w:pPr>
              <w:jc w:val="right"/>
              <w:rPr>
                <w:color w:val="000000"/>
                <w:sz w:val="16"/>
                <w:szCs w:val="16"/>
              </w:rPr>
            </w:pPr>
            <w:r>
              <w:rPr>
                <w:color w:val="000000"/>
                <w:sz w:val="16"/>
                <w:szCs w:val="16"/>
              </w:rPr>
              <w:t>-0.0189</w:t>
            </w:r>
          </w:p>
        </w:tc>
        <w:tc>
          <w:tcPr>
            <w:tcW w:w="867" w:type="dxa"/>
            <w:vAlign w:val="bottom"/>
          </w:tcPr>
          <w:p w:rsidR="005F6480" w:rsidRDefault="005F6480" w:rsidP="00A546EA">
            <w:pPr>
              <w:rPr>
                <w:color w:val="000000"/>
                <w:sz w:val="16"/>
                <w:szCs w:val="16"/>
              </w:rPr>
            </w:pPr>
            <w:r>
              <w:rPr>
                <w:color w:val="000000"/>
                <w:sz w:val="16"/>
                <w:szCs w:val="16"/>
              </w:rPr>
              <w:t>0.0118</w:t>
            </w:r>
            <w:r w:rsidRPr="00A546EA">
              <w:rPr>
                <w:color w:val="000000"/>
                <w:sz w:val="16"/>
                <w:szCs w:val="16"/>
                <w:vertAlign w:val="superscript"/>
              </w:rPr>
              <w:t>**</w:t>
            </w:r>
          </w:p>
        </w:tc>
      </w:tr>
      <w:tr w:rsidR="005F6480" w:rsidRPr="00C15F52" w:rsidTr="00B055BB">
        <w:trPr>
          <w:trHeight w:val="261"/>
          <w:jc w:val="center"/>
        </w:trPr>
        <w:tc>
          <w:tcPr>
            <w:tcW w:w="1579" w:type="dxa"/>
            <w:noWrap/>
            <w:vAlign w:val="bottom"/>
          </w:tcPr>
          <w:p w:rsidR="005F6480" w:rsidRPr="00C15F52" w:rsidRDefault="005F6480" w:rsidP="00F73526">
            <w:pPr>
              <w:rPr>
                <w:rFonts w:cs="Times New Roman"/>
                <w:sz w:val="16"/>
                <w:szCs w:val="16"/>
              </w:rPr>
            </w:pPr>
            <w:r>
              <w:rPr>
                <w:rFonts w:cs="Times New Roman"/>
                <w:sz w:val="16"/>
                <w:szCs w:val="16"/>
              </w:rPr>
              <w:t xml:space="preserve">   INSOWN</w:t>
            </w:r>
          </w:p>
        </w:tc>
        <w:tc>
          <w:tcPr>
            <w:tcW w:w="775" w:type="dxa"/>
            <w:vAlign w:val="bottom"/>
          </w:tcPr>
          <w:p w:rsidR="005F6480" w:rsidRDefault="005F6480" w:rsidP="00FC1C5C">
            <w:pPr>
              <w:jc w:val="right"/>
              <w:rPr>
                <w:color w:val="000000"/>
                <w:sz w:val="16"/>
                <w:szCs w:val="16"/>
              </w:rPr>
            </w:pPr>
            <w:r>
              <w:rPr>
                <w:color w:val="000000"/>
                <w:sz w:val="16"/>
                <w:szCs w:val="16"/>
              </w:rPr>
              <w:t>-0.0003</w:t>
            </w:r>
          </w:p>
        </w:tc>
        <w:tc>
          <w:tcPr>
            <w:tcW w:w="889" w:type="dxa"/>
            <w:vAlign w:val="bottom"/>
          </w:tcPr>
          <w:p w:rsidR="005F6480" w:rsidRDefault="005F6480" w:rsidP="00FC1C5C">
            <w:pPr>
              <w:rPr>
                <w:color w:val="000000"/>
                <w:sz w:val="16"/>
                <w:szCs w:val="16"/>
              </w:rPr>
            </w:pPr>
            <w:r>
              <w:rPr>
                <w:color w:val="000000"/>
                <w:sz w:val="16"/>
                <w:szCs w:val="16"/>
              </w:rPr>
              <w:t>0.0263</w:t>
            </w:r>
            <w:r w:rsidRPr="00D365F1">
              <w:rPr>
                <w:color w:val="000000"/>
                <w:sz w:val="16"/>
                <w:szCs w:val="16"/>
                <w:vertAlign w:val="superscript"/>
              </w:rPr>
              <w:t>**</w:t>
            </w:r>
          </w:p>
        </w:tc>
        <w:tc>
          <w:tcPr>
            <w:tcW w:w="876" w:type="dxa"/>
            <w:noWrap/>
            <w:vAlign w:val="bottom"/>
          </w:tcPr>
          <w:p w:rsidR="005F6480" w:rsidRDefault="005F6480">
            <w:pPr>
              <w:jc w:val="right"/>
              <w:rPr>
                <w:color w:val="000000"/>
                <w:sz w:val="16"/>
                <w:szCs w:val="16"/>
              </w:rPr>
            </w:pPr>
            <w:r>
              <w:rPr>
                <w:color w:val="000000"/>
                <w:sz w:val="16"/>
                <w:szCs w:val="16"/>
              </w:rPr>
              <w:t>-0.0003</w:t>
            </w:r>
          </w:p>
        </w:tc>
        <w:tc>
          <w:tcPr>
            <w:tcW w:w="1009" w:type="dxa"/>
            <w:noWrap/>
            <w:vAlign w:val="bottom"/>
          </w:tcPr>
          <w:p w:rsidR="005F6480" w:rsidRDefault="005F6480" w:rsidP="0030462B">
            <w:pPr>
              <w:rPr>
                <w:color w:val="000000"/>
                <w:sz w:val="16"/>
                <w:szCs w:val="16"/>
              </w:rPr>
            </w:pPr>
            <w:r>
              <w:rPr>
                <w:color w:val="000000"/>
                <w:sz w:val="16"/>
                <w:szCs w:val="16"/>
              </w:rPr>
              <w:t>0.0251</w:t>
            </w:r>
            <w:r w:rsidRPr="00E20E99">
              <w:rPr>
                <w:color w:val="000000"/>
                <w:sz w:val="16"/>
                <w:szCs w:val="16"/>
                <w:vertAlign w:val="superscript"/>
              </w:rPr>
              <w:t>**</w:t>
            </w:r>
          </w:p>
        </w:tc>
        <w:tc>
          <w:tcPr>
            <w:tcW w:w="903" w:type="dxa"/>
            <w:noWrap/>
            <w:vAlign w:val="bottom"/>
          </w:tcPr>
          <w:p w:rsidR="005F6480" w:rsidRDefault="005F6480">
            <w:pPr>
              <w:jc w:val="right"/>
              <w:rPr>
                <w:color w:val="000000"/>
                <w:sz w:val="16"/>
                <w:szCs w:val="16"/>
              </w:rPr>
            </w:pPr>
            <w:r>
              <w:rPr>
                <w:color w:val="000000"/>
                <w:sz w:val="16"/>
                <w:szCs w:val="16"/>
              </w:rPr>
              <w:t>-0.0003</w:t>
            </w:r>
          </w:p>
        </w:tc>
        <w:tc>
          <w:tcPr>
            <w:tcW w:w="891" w:type="dxa"/>
            <w:noWrap/>
            <w:vAlign w:val="bottom"/>
          </w:tcPr>
          <w:p w:rsidR="005F6480" w:rsidRDefault="005F6480" w:rsidP="00FC1C5C">
            <w:pPr>
              <w:rPr>
                <w:color w:val="000000"/>
                <w:sz w:val="16"/>
                <w:szCs w:val="16"/>
              </w:rPr>
            </w:pPr>
            <w:r>
              <w:rPr>
                <w:color w:val="000000"/>
                <w:sz w:val="16"/>
                <w:szCs w:val="16"/>
              </w:rPr>
              <w:t>0.0316</w:t>
            </w:r>
            <w:r w:rsidRPr="00FC1C5C">
              <w:rPr>
                <w:color w:val="000000"/>
                <w:sz w:val="16"/>
                <w:szCs w:val="16"/>
                <w:vertAlign w:val="superscript"/>
              </w:rPr>
              <w:t>**</w:t>
            </w:r>
          </w:p>
        </w:tc>
        <w:tc>
          <w:tcPr>
            <w:tcW w:w="817" w:type="dxa"/>
            <w:noWrap/>
            <w:vAlign w:val="bottom"/>
          </w:tcPr>
          <w:p w:rsidR="005F6480" w:rsidRDefault="005F6480">
            <w:pPr>
              <w:jc w:val="right"/>
              <w:rPr>
                <w:color w:val="000000"/>
                <w:sz w:val="16"/>
                <w:szCs w:val="16"/>
              </w:rPr>
            </w:pPr>
            <w:r>
              <w:rPr>
                <w:color w:val="000000"/>
                <w:sz w:val="16"/>
                <w:szCs w:val="16"/>
              </w:rPr>
              <w:t>-0.0003</w:t>
            </w:r>
          </w:p>
        </w:tc>
        <w:tc>
          <w:tcPr>
            <w:tcW w:w="896" w:type="dxa"/>
            <w:vAlign w:val="bottom"/>
          </w:tcPr>
          <w:p w:rsidR="005F6480" w:rsidRDefault="005F6480" w:rsidP="00B877DC">
            <w:pPr>
              <w:rPr>
                <w:color w:val="000000"/>
                <w:sz w:val="16"/>
                <w:szCs w:val="16"/>
              </w:rPr>
            </w:pPr>
            <w:r>
              <w:rPr>
                <w:color w:val="000000"/>
                <w:sz w:val="16"/>
                <w:szCs w:val="16"/>
              </w:rPr>
              <w:t>0.1249</w:t>
            </w:r>
          </w:p>
        </w:tc>
        <w:tc>
          <w:tcPr>
            <w:tcW w:w="845" w:type="dxa"/>
            <w:tcBorders>
              <w:left w:val="nil"/>
            </w:tcBorders>
            <w:vAlign w:val="bottom"/>
          </w:tcPr>
          <w:p w:rsidR="005F6480" w:rsidRDefault="005F6480">
            <w:pPr>
              <w:jc w:val="right"/>
              <w:rPr>
                <w:color w:val="000000"/>
                <w:sz w:val="16"/>
                <w:szCs w:val="16"/>
              </w:rPr>
            </w:pPr>
            <w:r>
              <w:rPr>
                <w:color w:val="000000"/>
                <w:sz w:val="16"/>
                <w:szCs w:val="16"/>
              </w:rPr>
              <w:t>0.0001</w:t>
            </w:r>
          </w:p>
        </w:tc>
        <w:tc>
          <w:tcPr>
            <w:tcW w:w="896" w:type="dxa"/>
            <w:noWrap/>
            <w:vAlign w:val="bottom"/>
          </w:tcPr>
          <w:p w:rsidR="005F6480" w:rsidRDefault="005F6480" w:rsidP="005F6480">
            <w:pPr>
              <w:rPr>
                <w:color w:val="000000"/>
                <w:sz w:val="16"/>
                <w:szCs w:val="16"/>
              </w:rPr>
            </w:pPr>
            <w:r>
              <w:rPr>
                <w:color w:val="000000"/>
                <w:sz w:val="16"/>
                <w:szCs w:val="16"/>
              </w:rPr>
              <w:t>0.7476</w:t>
            </w:r>
          </w:p>
        </w:tc>
        <w:tc>
          <w:tcPr>
            <w:tcW w:w="783" w:type="dxa"/>
            <w:vAlign w:val="bottom"/>
          </w:tcPr>
          <w:p w:rsidR="005F6480" w:rsidRDefault="005F6480">
            <w:pPr>
              <w:jc w:val="right"/>
              <w:rPr>
                <w:color w:val="000000"/>
                <w:sz w:val="16"/>
                <w:szCs w:val="16"/>
              </w:rPr>
            </w:pPr>
            <w:r>
              <w:rPr>
                <w:color w:val="000000"/>
                <w:sz w:val="16"/>
                <w:szCs w:val="16"/>
              </w:rPr>
              <w:t>-0.0004</w:t>
            </w:r>
          </w:p>
        </w:tc>
        <w:tc>
          <w:tcPr>
            <w:tcW w:w="896" w:type="dxa"/>
            <w:vAlign w:val="bottom"/>
          </w:tcPr>
          <w:p w:rsidR="005F6480" w:rsidRDefault="005F6480" w:rsidP="00395DB2">
            <w:pPr>
              <w:rPr>
                <w:color w:val="000000"/>
                <w:sz w:val="16"/>
                <w:szCs w:val="16"/>
              </w:rPr>
            </w:pPr>
            <w:r>
              <w:rPr>
                <w:color w:val="000000"/>
                <w:sz w:val="16"/>
                <w:szCs w:val="16"/>
              </w:rPr>
              <w:t>0.0090</w:t>
            </w:r>
            <w:r w:rsidRPr="00395DB2">
              <w:rPr>
                <w:color w:val="000000"/>
                <w:sz w:val="16"/>
                <w:szCs w:val="16"/>
                <w:vertAlign w:val="superscript"/>
              </w:rPr>
              <w:t>***</w:t>
            </w:r>
          </w:p>
        </w:tc>
        <w:tc>
          <w:tcPr>
            <w:tcW w:w="813" w:type="dxa"/>
            <w:vAlign w:val="bottom"/>
          </w:tcPr>
          <w:p w:rsidR="005F6480" w:rsidRDefault="005F6480">
            <w:pPr>
              <w:jc w:val="right"/>
              <w:rPr>
                <w:color w:val="000000"/>
                <w:sz w:val="16"/>
                <w:szCs w:val="16"/>
              </w:rPr>
            </w:pPr>
            <w:r>
              <w:rPr>
                <w:color w:val="000000"/>
                <w:sz w:val="16"/>
                <w:szCs w:val="16"/>
              </w:rPr>
              <w:t>-0.0004</w:t>
            </w:r>
          </w:p>
        </w:tc>
        <w:tc>
          <w:tcPr>
            <w:tcW w:w="867" w:type="dxa"/>
            <w:vAlign w:val="bottom"/>
          </w:tcPr>
          <w:p w:rsidR="005F6480" w:rsidRDefault="005F6480" w:rsidP="00A546EA">
            <w:pPr>
              <w:rPr>
                <w:color w:val="000000"/>
                <w:sz w:val="16"/>
                <w:szCs w:val="16"/>
              </w:rPr>
            </w:pPr>
            <w:r>
              <w:rPr>
                <w:color w:val="000000"/>
                <w:sz w:val="16"/>
                <w:szCs w:val="16"/>
              </w:rPr>
              <w:t>0.0102</w:t>
            </w:r>
            <w:r w:rsidRPr="00A546EA">
              <w:rPr>
                <w:color w:val="000000"/>
                <w:sz w:val="16"/>
                <w:szCs w:val="16"/>
                <w:vertAlign w:val="superscript"/>
              </w:rPr>
              <w:t>***</w:t>
            </w:r>
          </w:p>
        </w:tc>
      </w:tr>
      <w:tr w:rsidR="005F6480" w:rsidRPr="00C15F52" w:rsidTr="00B055BB">
        <w:trPr>
          <w:trHeight w:val="261"/>
          <w:jc w:val="center"/>
        </w:trPr>
        <w:tc>
          <w:tcPr>
            <w:tcW w:w="1579" w:type="dxa"/>
            <w:noWrap/>
            <w:vAlign w:val="bottom"/>
          </w:tcPr>
          <w:p w:rsidR="005F6480" w:rsidRPr="00C15F52" w:rsidRDefault="005F6480" w:rsidP="00F73526">
            <w:pPr>
              <w:rPr>
                <w:rFonts w:cs="Times New Roman"/>
                <w:sz w:val="16"/>
                <w:szCs w:val="16"/>
              </w:rPr>
            </w:pPr>
            <w:r>
              <w:rPr>
                <w:rFonts w:eastAsiaTheme="minorEastAsia" w:cs="Times New Roman"/>
                <w:sz w:val="16"/>
                <w:szCs w:val="16"/>
              </w:rPr>
              <w:t xml:space="preserve">   </w:t>
            </w:r>
            <w:r>
              <w:rPr>
                <w:rFonts w:cs="Times New Roman"/>
                <w:sz w:val="16"/>
                <w:szCs w:val="16"/>
              </w:rPr>
              <w:t>FOROWN</w:t>
            </w:r>
          </w:p>
        </w:tc>
        <w:tc>
          <w:tcPr>
            <w:tcW w:w="775" w:type="dxa"/>
            <w:vAlign w:val="bottom"/>
          </w:tcPr>
          <w:p w:rsidR="005F6480" w:rsidRDefault="005F6480" w:rsidP="00FC1C5C">
            <w:pPr>
              <w:jc w:val="right"/>
              <w:rPr>
                <w:color w:val="000000"/>
                <w:sz w:val="16"/>
                <w:szCs w:val="16"/>
              </w:rPr>
            </w:pPr>
            <w:r>
              <w:rPr>
                <w:color w:val="000000"/>
                <w:sz w:val="16"/>
                <w:szCs w:val="16"/>
              </w:rPr>
              <w:t>-0.0001</w:t>
            </w:r>
          </w:p>
        </w:tc>
        <w:tc>
          <w:tcPr>
            <w:tcW w:w="889" w:type="dxa"/>
            <w:vAlign w:val="bottom"/>
          </w:tcPr>
          <w:p w:rsidR="005F6480" w:rsidRDefault="005F6480" w:rsidP="00FC1C5C">
            <w:pPr>
              <w:rPr>
                <w:color w:val="000000"/>
                <w:sz w:val="16"/>
                <w:szCs w:val="16"/>
              </w:rPr>
            </w:pPr>
            <w:r>
              <w:rPr>
                <w:color w:val="000000"/>
                <w:sz w:val="16"/>
                <w:szCs w:val="16"/>
              </w:rPr>
              <w:t>0.7016</w:t>
            </w:r>
          </w:p>
        </w:tc>
        <w:tc>
          <w:tcPr>
            <w:tcW w:w="876" w:type="dxa"/>
            <w:noWrap/>
            <w:vAlign w:val="bottom"/>
          </w:tcPr>
          <w:p w:rsidR="005F6480" w:rsidRDefault="005F6480">
            <w:pPr>
              <w:jc w:val="right"/>
              <w:rPr>
                <w:color w:val="000000"/>
                <w:sz w:val="16"/>
                <w:szCs w:val="16"/>
              </w:rPr>
            </w:pPr>
            <w:r>
              <w:rPr>
                <w:color w:val="000000"/>
                <w:sz w:val="16"/>
                <w:szCs w:val="16"/>
              </w:rPr>
              <w:t>-0.0001</w:t>
            </w:r>
          </w:p>
        </w:tc>
        <w:tc>
          <w:tcPr>
            <w:tcW w:w="1009" w:type="dxa"/>
            <w:noWrap/>
            <w:vAlign w:val="bottom"/>
          </w:tcPr>
          <w:p w:rsidR="005F6480" w:rsidRDefault="005F6480" w:rsidP="0030462B">
            <w:pPr>
              <w:rPr>
                <w:color w:val="000000"/>
                <w:sz w:val="16"/>
                <w:szCs w:val="16"/>
              </w:rPr>
            </w:pPr>
            <w:r>
              <w:rPr>
                <w:color w:val="000000"/>
                <w:sz w:val="16"/>
                <w:szCs w:val="16"/>
              </w:rPr>
              <w:t>0.6951</w:t>
            </w:r>
          </w:p>
        </w:tc>
        <w:tc>
          <w:tcPr>
            <w:tcW w:w="903" w:type="dxa"/>
            <w:noWrap/>
            <w:vAlign w:val="bottom"/>
          </w:tcPr>
          <w:p w:rsidR="005F6480" w:rsidRDefault="005F6480">
            <w:pPr>
              <w:jc w:val="right"/>
              <w:rPr>
                <w:color w:val="000000"/>
                <w:sz w:val="16"/>
                <w:szCs w:val="16"/>
              </w:rPr>
            </w:pPr>
            <w:r>
              <w:rPr>
                <w:color w:val="000000"/>
                <w:sz w:val="16"/>
                <w:szCs w:val="16"/>
              </w:rPr>
              <w:t>-0.0001</w:t>
            </w:r>
          </w:p>
        </w:tc>
        <w:tc>
          <w:tcPr>
            <w:tcW w:w="891" w:type="dxa"/>
            <w:noWrap/>
            <w:vAlign w:val="bottom"/>
          </w:tcPr>
          <w:p w:rsidR="005F6480" w:rsidRDefault="005F6480" w:rsidP="00FC1C5C">
            <w:pPr>
              <w:rPr>
                <w:color w:val="000000"/>
                <w:sz w:val="16"/>
                <w:szCs w:val="16"/>
              </w:rPr>
            </w:pPr>
            <w:r>
              <w:rPr>
                <w:color w:val="000000"/>
                <w:sz w:val="16"/>
                <w:szCs w:val="16"/>
              </w:rPr>
              <w:t>0.7089</w:t>
            </w:r>
          </w:p>
        </w:tc>
        <w:tc>
          <w:tcPr>
            <w:tcW w:w="817" w:type="dxa"/>
            <w:noWrap/>
            <w:vAlign w:val="bottom"/>
          </w:tcPr>
          <w:p w:rsidR="005F6480" w:rsidRDefault="005F6480">
            <w:pPr>
              <w:jc w:val="right"/>
              <w:rPr>
                <w:color w:val="000000"/>
                <w:sz w:val="16"/>
                <w:szCs w:val="16"/>
              </w:rPr>
            </w:pPr>
            <w:r>
              <w:rPr>
                <w:color w:val="000000"/>
                <w:sz w:val="16"/>
                <w:szCs w:val="16"/>
              </w:rPr>
              <w:t>-0.0003</w:t>
            </w:r>
          </w:p>
        </w:tc>
        <w:tc>
          <w:tcPr>
            <w:tcW w:w="896" w:type="dxa"/>
            <w:vAlign w:val="bottom"/>
          </w:tcPr>
          <w:p w:rsidR="005F6480" w:rsidRDefault="005F6480" w:rsidP="00B877DC">
            <w:pPr>
              <w:rPr>
                <w:color w:val="000000"/>
                <w:sz w:val="16"/>
                <w:szCs w:val="16"/>
              </w:rPr>
            </w:pPr>
            <w:r>
              <w:rPr>
                <w:color w:val="000000"/>
                <w:sz w:val="16"/>
                <w:szCs w:val="16"/>
              </w:rPr>
              <w:t>0.1452</w:t>
            </w:r>
          </w:p>
        </w:tc>
        <w:tc>
          <w:tcPr>
            <w:tcW w:w="845" w:type="dxa"/>
            <w:tcBorders>
              <w:left w:val="nil"/>
            </w:tcBorders>
            <w:vAlign w:val="bottom"/>
          </w:tcPr>
          <w:p w:rsidR="005F6480" w:rsidRDefault="005F6480">
            <w:pPr>
              <w:jc w:val="right"/>
              <w:rPr>
                <w:color w:val="000000"/>
                <w:sz w:val="16"/>
                <w:szCs w:val="16"/>
              </w:rPr>
            </w:pPr>
            <w:r>
              <w:rPr>
                <w:color w:val="000000"/>
                <w:sz w:val="16"/>
                <w:szCs w:val="16"/>
              </w:rPr>
              <w:t>-0.0004</w:t>
            </w:r>
          </w:p>
        </w:tc>
        <w:tc>
          <w:tcPr>
            <w:tcW w:w="896" w:type="dxa"/>
            <w:noWrap/>
            <w:vAlign w:val="bottom"/>
          </w:tcPr>
          <w:p w:rsidR="005F6480" w:rsidRDefault="005F6480" w:rsidP="005F6480">
            <w:pPr>
              <w:rPr>
                <w:color w:val="000000"/>
                <w:sz w:val="16"/>
                <w:szCs w:val="16"/>
              </w:rPr>
            </w:pPr>
            <w:r>
              <w:rPr>
                <w:color w:val="000000"/>
                <w:sz w:val="16"/>
                <w:szCs w:val="16"/>
              </w:rPr>
              <w:t>0.4129</w:t>
            </w:r>
          </w:p>
        </w:tc>
        <w:tc>
          <w:tcPr>
            <w:tcW w:w="783" w:type="dxa"/>
            <w:vAlign w:val="bottom"/>
          </w:tcPr>
          <w:p w:rsidR="005F6480" w:rsidRDefault="005F6480">
            <w:pPr>
              <w:jc w:val="right"/>
              <w:rPr>
                <w:color w:val="000000"/>
                <w:sz w:val="16"/>
                <w:szCs w:val="16"/>
              </w:rPr>
            </w:pPr>
            <w:r>
              <w:rPr>
                <w:color w:val="000000"/>
                <w:sz w:val="16"/>
                <w:szCs w:val="16"/>
              </w:rPr>
              <w:t>-0.0001</w:t>
            </w:r>
          </w:p>
        </w:tc>
        <w:tc>
          <w:tcPr>
            <w:tcW w:w="896" w:type="dxa"/>
            <w:vAlign w:val="bottom"/>
          </w:tcPr>
          <w:p w:rsidR="005F6480" w:rsidRDefault="005F6480" w:rsidP="00395DB2">
            <w:pPr>
              <w:rPr>
                <w:color w:val="000000"/>
                <w:sz w:val="16"/>
                <w:szCs w:val="16"/>
              </w:rPr>
            </w:pPr>
            <w:r>
              <w:rPr>
                <w:color w:val="000000"/>
                <w:sz w:val="16"/>
                <w:szCs w:val="16"/>
              </w:rPr>
              <w:t>0.5862</w:t>
            </w:r>
          </w:p>
        </w:tc>
        <w:tc>
          <w:tcPr>
            <w:tcW w:w="813" w:type="dxa"/>
            <w:vAlign w:val="bottom"/>
          </w:tcPr>
          <w:p w:rsidR="005F6480" w:rsidRDefault="005F6480">
            <w:pPr>
              <w:jc w:val="right"/>
              <w:rPr>
                <w:color w:val="000000"/>
                <w:sz w:val="16"/>
                <w:szCs w:val="16"/>
              </w:rPr>
            </w:pPr>
            <w:r>
              <w:rPr>
                <w:color w:val="000000"/>
                <w:sz w:val="16"/>
                <w:szCs w:val="16"/>
              </w:rPr>
              <w:t>-0.0001</w:t>
            </w:r>
          </w:p>
        </w:tc>
        <w:tc>
          <w:tcPr>
            <w:tcW w:w="867" w:type="dxa"/>
            <w:vAlign w:val="bottom"/>
          </w:tcPr>
          <w:p w:rsidR="005F6480" w:rsidRDefault="005F6480" w:rsidP="00A546EA">
            <w:pPr>
              <w:rPr>
                <w:color w:val="000000"/>
                <w:sz w:val="16"/>
                <w:szCs w:val="16"/>
              </w:rPr>
            </w:pPr>
            <w:r>
              <w:rPr>
                <w:color w:val="000000"/>
                <w:sz w:val="16"/>
                <w:szCs w:val="16"/>
              </w:rPr>
              <w:t>0.6541</w:t>
            </w:r>
          </w:p>
        </w:tc>
      </w:tr>
      <w:tr w:rsidR="005F6480" w:rsidRPr="00C15F52" w:rsidTr="00B055BB">
        <w:trPr>
          <w:trHeight w:val="261"/>
          <w:jc w:val="center"/>
        </w:trPr>
        <w:tc>
          <w:tcPr>
            <w:tcW w:w="1579" w:type="dxa"/>
            <w:noWrap/>
            <w:vAlign w:val="bottom"/>
          </w:tcPr>
          <w:p w:rsidR="005F6480" w:rsidRDefault="005F6480" w:rsidP="00F73526">
            <w:pPr>
              <w:rPr>
                <w:rFonts w:eastAsiaTheme="minorEastAsia" w:cs="Times New Roman"/>
                <w:sz w:val="16"/>
                <w:szCs w:val="16"/>
              </w:rPr>
            </w:pPr>
            <w:r>
              <w:rPr>
                <w:rFonts w:eastAsiaTheme="minorEastAsia" w:cs="Times New Roman"/>
                <w:sz w:val="16"/>
                <w:szCs w:val="16"/>
              </w:rPr>
              <w:t xml:space="preserve">   </w:t>
            </w:r>
            <w:r>
              <w:rPr>
                <w:rFonts w:cs="Times New Roman"/>
                <w:sz w:val="16"/>
                <w:szCs w:val="16"/>
              </w:rPr>
              <w:t>LNTA</w:t>
            </w:r>
          </w:p>
        </w:tc>
        <w:tc>
          <w:tcPr>
            <w:tcW w:w="775" w:type="dxa"/>
            <w:vAlign w:val="bottom"/>
          </w:tcPr>
          <w:p w:rsidR="005F6480" w:rsidRDefault="005F6480" w:rsidP="00FC1C5C">
            <w:pPr>
              <w:jc w:val="right"/>
              <w:rPr>
                <w:color w:val="000000"/>
                <w:sz w:val="16"/>
                <w:szCs w:val="16"/>
              </w:rPr>
            </w:pPr>
            <w:r>
              <w:rPr>
                <w:color w:val="000000"/>
                <w:sz w:val="16"/>
                <w:szCs w:val="16"/>
              </w:rPr>
              <w:t>-0.0042</w:t>
            </w:r>
          </w:p>
        </w:tc>
        <w:tc>
          <w:tcPr>
            <w:tcW w:w="889" w:type="dxa"/>
            <w:vAlign w:val="bottom"/>
          </w:tcPr>
          <w:p w:rsidR="005F6480" w:rsidRDefault="005F6480" w:rsidP="00FC1C5C">
            <w:pPr>
              <w:rPr>
                <w:color w:val="000000"/>
                <w:sz w:val="16"/>
                <w:szCs w:val="16"/>
              </w:rPr>
            </w:pPr>
            <w:r>
              <w:rPr>
                <w:color w:val="000000"/>
                <w:sz w:val="16"/>
                <w:szCs w:val="16"/>
              </w:rPr>
              <w:t>0.1384</w:t>
            </w:r>
          </w:p>
        </w:tc>
        <w:tc>
          <w:tcPr>
            <w:tcW w:w="876" w:type="dxa"/>
            <w:noWrap/>
            <w:vAlign w:val="bottom"/>
          </w:tcPr>
          <w:p w:rsidR="005F6480" w:rsidRDefault="005F6480">
            <w:pPr>
              <w:jc w:val="right"/>
              <w:rPr>
                <w:color w:val="000000"/>
                <w:sz w:val="16"/>
                <w:szCs w:val="16"/>
              </w:rPr>
            </w:pPr>
            <w:r>
              <w:rPr>
                <w:color w:val="000000"/>
                <w:sz w:val="16"/>
                <w:szCs w:val="16"/>
              </w:rPr>
              <w:t>-0.0044</w:t>
            </w:r>
          </w:p>
        </w:tc>
        <w:tc>
          <w:tcPr>
            <w:tcW w:w="1009" w:type="dxa"/>
            <w:noWrap/>
            <w:vAlign w:val="bottom"/>
          </w:tcPr>
          <w:p w:rsidR="005F6480" w:rsidRDefault="005F6480" w:rsidP="0030462B">
            <w:pPr>
              <w:rPr>
                <w:color w:val="000000"/>
                <w:sz w:val="16"/>
                <w:szCs w:val="16"/>
              </w:rPr>
            </w:pPr>
            <w:r>
              <w:rPr>
                <w:color w:val="000000"/>
                <w:sz w:val="16"/>
                <w:szCs w:val="16"/>
              </w:rPr>
              <w:t>0.1156</w:t>
            </w:r>
          </w:p>
        </w:tc>
        <w:tc>
          <w:tcPr>
            <w:tcW w:w="903" w:type="dxa"/>
            <w:noWrap/>
            <w:vAlign w:val="bottom"/>
          </w:tcPr>
          <w:p w:rsidR="005F6480" w:rsidRDefault="005F6480">
            <w:pPr>
              <w:jc w:val="right"/>
              <w:rPr>
                <w:color w:val="000000"/>
                <w:sz w:val="16"/>
                <w:szCs w:val="16"/>
              </w:rPr>
            </w:pPr>
            <w:r>
              <w:rPr>
                <w:color w:val="000000"/>
                <w:sz w:val="16"/>
                <w:szCs w:val="16"/>
              </w:rPr>
              <w:t>-0.0012</w:t>
            </w:r>
          </w:p>
        </w:tc>
        <w:tc>
          <w:tcPr>
            <w:tcW w:w="891" w:type="dxa"/>
            <w:noWrap/>
            <w:vAlign w:val="bottom"/>
          </w:tcPr>
          <w:p w:rsidR="005F6480" w:rsidRDefault="005F6480" w:rsidP="00FC1C5C">
            <w:pPr>
              <w:rPr>
                <w:color w:val="000000"/>
                <w:sz w:val="16"/>
                <w:szCs w:val="16"/>
              </w:rPr>
            </w:pPr>
            <w:r>
              <w:rPr>
                <w:color w:val="000000"/>
                <w:sz w:val="16"/>
                <w:szCs w:val="16"/>
              </w:rPr>
              <w:t>0.6780</w:t>
            </w:r>
          </w:p>
        </w:tc>
        <w:tc>
          <w:tcPr>
            <w:tcW w:w="817" w:type="dxa"/>
            <w:noWrap/>
            <w:vAlign w:val="bottom"/>
          </w:tcPr>
          <w:p w:rsidR="005F6480" w:rsidRDefault="005F6480">
            <w:pPr>
              <w:jc w:val="right"/>
              <w:rPr>
                <w:color w:val="000000"/>
                <w:sz w:val="16"/>
                <w:szCs w:val="16"/>
              </w:rPr>
            </w:pPr>
            <w:r>
              <w:rPr>
                <w:color w:val="000000"/>
                <w:sz w:val="16"/>
                <w:szCs w:val="16"/>
              </w:rPr>
              <w:t>0.0003</w:t>
            </w:r>
          </w:p>
        </w:tc>
        <w:tc>
          <w:tcPr>
            <w:tcW w:w="896" w:type="dxa"/>
            <w:vAlign w:val="bottom"/>
          </w:tcPr>
          <w:p w:rsidR="005F6480" w:rsidRDefault="005F6480" w:rsidP="00B877DC">
            <w:pPr>
              <w:rPr>
                <w:color w:val="000000"/>
                <w:sz w:val="16"/>
                <w:szCs w:val="16"/>
              </w:rPr>
            </w:pPr>
            <w:r>
              <w:rPr>
                <w:color w:val="000000"/>
                <w:sz w:val="16"/>
                <w:szCs w:val="16"/>
              </w:rPr>
              <w:t>0.9239</w:t>
            </w:r>
          </w:p>
        </w:tc>
        <w:tc>
          <w:tcPr>
            <w:tcW w:w="845" w:type="dxa"/>
            <w:tcBorders>
              <w:left w:val="nil"/>
            </w:tcBorders>
            <w:vAlign w:val="bottom"/>
          </w:tcPr>
          <w:p w:rsidR="005F6480" w:rsidRDefault="005F6480">
            <w:pPr>
              <w:jc w:val="right"/>
              <w:rPr>
                <w:color w:val="000000"/>
                <w:sz w:val="16"/>
                <w:szCs w:val="16"/>
              </w:rPr>
            </w:pPr>
            <w:r>
              <w:rPr>
                <w:color w:val="000000"/>
                <w:sz w:val="16"/>
                <w:szCs w:val="16"/>
              </w:rPr>
              <w:t>-0.0076</w:t>
            </w:r>
          </w:p>
        </w:tc>
        <w:tc>
          <w:tcPr>
            <w:tcW w:w="896" w:type="dxa"/>
            <w:noWrap/>
            <w:vAlign w:val="bottom"/>
          </w:tcPr>
          <w:p w:rsidR="005F6480" w:rsidRDefault="005F6480" w:rsidP="005F6480">
            <w:pPr>
              <w:rPr>
                <w:color w:val="000000"/>
                <w:sz w:val="16"/>
                <w:szCs w:val="16"/>
              </w:rPr>
            </w:pPr>
            <w:r>
              <w:rPr>
                <w:color w:val="000000"/>
                <w:sz w:val="16"/>
                <w:szCs w:val="16"/>
              </w:rPr>
              <w:t>0.2171</w:t>
            </w:r>
          </w:p>
        </w:tc>
        <w:tc>
          <w:tcPr>
            <w:tcW w:w="783" w:type="dxa"/>
            <w:vAlign w:val="bottom"/>
          </w:tcPr>
          <w:p w:rsidR="005F6480" w:rsidRDefault="005F6480">
            <w:pPr>
              <w:jc w:val="right"/>
              <w:rPr>
                <w:color w:val="000000"/>
                <w:sz w:val="16"/>
                <w:szCs w:val="16"/>
              </w:rPr>
            </w:pPr>
            <w:r>
              <w:rPr>
                <w:color w:val="000000"/>
                <w:sz w:val="16"/>
                <w:szCs w:val="16"/>
              </w:rPr>
              <w:t>-0.0035</w:t>
            </w:r>
          </w:p>
        </w:tc>
        <w:tc>
          <w:tcPr>
            <w:tcW w:w="896" w:type="dxa"/>
            <w:vAlign w:val="bottom"/>
          </w:tcPr>
          <w:p w:rsidR="005F6480" w:rsidRDefault="005F6480" w:rsidP="00395DB2">
            <w:pPr>
              <w:rPr>
                <w:color w:val="000000"/>
                <w:sz w:val="16"/>
                <w:szCs w:val="16"/>
              </w:rPr>
            </w:pPr>
            <w:r>
              <w:rPr>
                <w:color w:val="000000"/>
                <w:sz w:val="16"/>
                <w:szCs w:val="16"/>
              </w:rPr>
              <w:t>0.2618</w:t>
            </w:r>
          </w:p>
        </w:tc>
        <w:tc>
          <w:tcPr>
            <w:tcW w:w="813" w:type="dxa"/>
            <w:vAlign w:val="bottom"/>
          </w:tcPr>
          <w:p w:rsidR="005F6480" w:rsidRDefault="005F6480">
            <w:pPr>
              <w:jc w:val="right"/>
              <w:rPr>
                <w:color w:val="000000"/>
                <w:sz w:val="16"/>
                <w:szCs w:val="16"/>
              </w:rPr>
            </w:pPr>
            <w:r>
              <w:rPr>
                <w:color w:val="000000"/>
                <w:sz w:val="16"/>
                <w:szCs w:val="16"/>
              </w:rPr>
              <w:t>-0.0050</w:t>
            </w:r>
          </w:p>
        </w:tc>
        <w:tc>
          <w:tcPr>
            <w:tcW w:w="867" w:type="dxa"/>
            <w:vAlign w:val="bottom"/>
          </w:tcPr>
          <w:p w:rsidR="005F6480" w:rsidRDefault="005F6480" w:rsidP="00A546EA">
            <w:pPr>
              <w:rPr>
                <w:color w:val="000000"/>
                <w:sz w:val="16"/>
                <w:szCs w:val="16"/>
              </w:rPr>
            </w:pPr>
            <w:r>
              <w:rPr>
                <w:color w:val="000000"/>
                <w:sz w:val="16"/>
                <w:szCs w:val="16"/>
              </w:rPr>
              <w:t>0.0854</w:t>
            </w:r>
            <w:r w:rsidRPr="00A546EA">
              <w:rPr>
                <w:color w:val="000000"/>
                <w:sz w:val="16"/>
                <w:szCs w:val="16"/>
                <w:vertAlign w:val="superscript"/>
              </w:rPr>
              <w:t>*</w:t>
            </w:r>
          </w:p>
        </w:tc>
      </w:tr>
      <w:tr w:rsidR="005F6480" w:rsidRPr="00C15F52" w:rsidTr="00B055BB">
        <w:trPr>
          <w:trHeight w:val="261"/>
          <w:jc w:val="center"/>
        </w:trPr>
        <w:tc>
          <w:tcPr>
            <w:tcW w:w="1579" w:type="dxa"/>
            <w:noWrap/>
            <w:vAlign w:val="bottom"/>
          </w:tcPr>
          <w:p w:rsidR="005F6480" w:rsidRDefault="005F6480" w:rsidP="00F73526">
            <w:pPr>
              <w:rPr>
                <w:rFonts w:eastAsiaTheme="minorEastAsia" w:cs="Times New Roman"/>
                <w:sz w:val="16"/>
                <w:szCs w:val="16"/>
              </w:rPr>
            </w:pPr>
            <w:r>
              <w:rPr>
                <w:rFonts w:cs="Times New Roman"/>
                <w:sz w:val="16"/>
                <w:szCs w:val="16"/>
              </w:rPr>
              <w:t xml:space="preserve">   ROA</w:t>
            </w:r>
          </w:p>
        </w:tc>
        <w:tc>
          <w:tcPr>
            <w:tcW w:w="775" w:type="dxa"/>
            <w:vAlign w:val="bottom"/>
          </w:tcPr>
          <w:p w:rsidR="005F6480" w:rsidRDefault="005F6480" w:rsidP="00FC1C5C">
            <w:pPr>
              <w:jc w:val="right"/>
              <w:rPr>
                <w:color w:val="000000"/>
                <w:sz w:val="16"/>
                <w:szCs w:val="16"/>
              </w:rPr>
            </w:pPr>
            <w:r>
              <w:rPr>
                <w:color w:val="000000"/>
                <w:sz w:val="16"/>
                <w:szCs w:val="16"/>
              </w:rPr>
              <w:t>0.4867</w:t>
            </w:r>
          </w:p>
        </w:tc>
        <w:tc>
          <w:tcPr>
            <w:tcW w:w="889" w:type="dxa"/>
            <w:vAlign w:val="bottom"/>
          </w:tcPr>
          <w:p w:rsidR="005F6480" w:rsidRDefault="005F6480" w:rsidP="00FC1C5C">
            <w:pPr>
              <w:rPr>
                <w:color w:val="000000"/>
                <w:sz w:val="16"/>
                <w:szCs w:val="16"/>
              </w:rPr>
            </w:pPr>
            <w:r>
              <w:rPr>
                <w:color w:val="000000"/>
                <w:sz w:val="16"/>
                <w:szCs w:val="16"/>
              </w:rPr>
              <w:t>0.0000</w:t>
            </w:r>
            <w:r w:rsidRPr="00D365F1">
              <w:rPr>
                <w:color w:val="000000"/>
                <w:sz w:val="16"/>
                <w:szCs w:val="16"/>
                <w:vertAlign w:val="superscript"/>
              </w:rPr>
              <w:t>***</w:t>
            </w:r>
          </w:p>
        </w:tc>
        <w:tc>
          <w:tcPr>
            <w:tcW w:w="876" w:type="dxa"/>
            <w:noWrap/>
            <w:vAlign w:val="bottom"/>
          </w:tcPr>
          <w:p w:rsidR="005F6480" w:rsidRDefault="005F6480">
            <w:pPr>
              <w:jc w:val="right"/>
              <w:rPr>
                <w:color w:val="000000"/>
                <w:sz w:val="16"/>
                <w:szCs w:val="16"/>
              </w:rPr>
            </w:pPr>
            <w:r>
              <w:rPr>
                <w:color w:val="000000"/>
                <w:sz w:val="16"/>
                <w:szCs w:val="16"/>
              </w:rPr>
              <w:t>0.4858</w:t>
            </w:r>
          </w:p>
        </w:tc>
        <w:tc>
          <w:tcPr>
            <w:tcW w:w="1009" w:type="dxa"/>
            <w:noWrap/>
            <w:vAlign w:val="bottom"/>
          </w:tcPr>
          <w:p w:rsidR="005F6480" w:rsidRDefault="005F6480" w:rsidP="0030462B">
            <w:pPr>
              <w:rPr>
                <w:color w:val="000000"/>
                <w:sz w:val="16"/>
                <w:szCs w:val="16"/>
              </w:rPr>
            </w:pPr>
            <w:r>
              <w:rPr>
                <w:color w:val="000000"/>
                <w:sz w:val="16"/>
                <w:szCs w:val="16"/>
              </w:rPr>
              <w:t>0.0000</w:t>
            </w:r>
            <w:r w:rsidRPr="00E20E99">
              <w:rPr>
                <w:color w:val="000000"/>
                <w:sz w:val="16"/>
                <w:szCs w:val="16"/>
                <w:vertAlign w:val="superscript"/>
              </w:rPr>
              <w:t>***</w:t>
            </w:r>
          </w:p>
        </w:tc>
        <w:tc>
          <w:tcPr>
            <w:tcW w:w="903" w:type="dxa"/>
            <w:noWrap/>
            <w:vAlign w:val="bottom"/>
          </w:tcPr>
          <w:p w:rsidR="005F6480" w:rsidRDefault="005F6480">
            <w:pPr>
              <w:jc w:val="right"/>
              <w:rPr>
                <w:color w:val="000000"/>
                <w:sz w:val="16"/>
                <w:szCs w:val="16"/>
              </w:rPr>
            </w:pPr>
            <w:r>
              <w:rPr>
                <w:color w:val="000000"/>
                <w:sz w:val="16"/>
                <w:szCs w:val="16"/>
              </w:rPr>
              <w:t>0.1836</w:t>
            </w:r>
          </w:p>
        </w:tc>
        <w:tc>
          <w:tcPr>
            <w:tcW w:w="891" w:type="dxa"/>
            <w:noWrap/>
            <w:vAlign w:val="bottom"/>
          </w:tcPr>
          <w:p w:rsidR="005F6480" w:rsidRDefault="005F6480" w:rsidP="00FC1C5C">
            <w:pPr>
              <w:rPr>
                <w:color w:val="000000"/>
                <w:sz w:val="16"/>
                <w:szCs w:val="16"/>
              </w:rPr>
            </w:pPr>
            <w:r>
              <w:rPr>
                <w:color w:val="000000"/>
                <w:sz w:val="16"/>
                <w:szCs w:val="16"/>
              </w:rPr>
              <w:t>0.0000</w:t>
            </w:r>
            <w:r w:rsidRPr="00FC1C5C">
              <w:rPr>
                <w:color w:val="000000"/>
                <w:sz w:val="16"/>
                <w:szCs w:val="16"/>
                <w:vertAlign w:val="superscript"/>
              </w:rPr>
              <w:t>***</w:t>
            </w:r>
          </w:p>
        </w:tc>
        <w:tc>
          <w:tcPr>
            <w:tcW w:w="817" w:type="dxa"/>
            <w:noWrap/>
            <w:vAlign w:val="bottom"/>
          </w:tcPr>
          <w:p w:rsidR="005F6480" w:rsidRDefault="005F6480">
            <w:pPr>
              <w:jc w:val="right"/>
              <w:rPr>
                <w:color w:val="000000"/>
                <w:sz w:val="16"/>
                <w:szCs w:val="16"/>
              </w:rPr>
            </w:pPr>
            <w:r>
              <w:rPr>
                <w:color w:val="000000"/>
                <w:sz w:val="16"/>
                <w:szCs w:val="16"/>
              </w:rPr>
              <w:t>0.4314</w:t>
            </w:r>
          </w:p>
        </w:tc>
        <w:tc>
          <w:tcPr>
            <w:tcW w:w="896" w:type="dxa"/>
            <w:vAlign w:val="bottom"/>
          </w:tcPr>
          <w:p w:rsidR="005F6480" w:rsidRDefault="005F6480" w:rsidP="00B877DC">
            <w:pPr>
              <w:rPr>
                <w:color w:val="000000"/>
                <w:sz w:val="16"/>
                <w:szCs w:val="16"/>
              </w:rPr>
            </w:pPr>
            <w:r>
              <w:rPr>
                <w:color w:val="000000"/>
                <w:sz w:val="16"/>
                <w:szCs w:val="16"/>
              </w:rPr>
              <w:t>0.0000</w:t>
            </w:r>
            <w:r w:rsidRPr="00B877DC">
              <w:rPr>
                <w:color w:val="000000"/>
                <w:sz w:val="16"/>
                <w:szCs w:val="16"/>
                <w:vertAlign w:val="superscript"/>
              </w:rPr>
              <w:t>***</w:t>
            </w:r>
          </w:p>
        </w:tc>
        <w:tc>
          <w:tcPr>
            <w:tcW w:w="845" w:type="dxa"/>
            <w:tcBorders>
              <w:left w:val="nil"/>
            </w:tcBorders>
            <w:vAlign w:val="bottom"/>
          </w:tcPr>
          <w:p w:rsidR="005F6480" w:rsidRDefault="005F6480">
            <w:pPr>
              <w:jc w:val="right"/>
              <w:rPr>
                <w:color w:val="000000"/>
                <w:sz w:val="16"/>
                <w:szCs w:val="16"/>
              </w:rPr>
            </w:pPr>
            <w:r>
              <w:rPr>
                <w:color w:val="000000"/>
                <w:sz w:val="16"/>
                <w:szCs w:val="16"/>
              </w:rPr>
              <w:t>0.3343</w:t>
            </w:r>
          </w:p>
        </w:tc>
        <w:tc>
          <w:tcPr>
            <w:tcW w:w="896" w:type="dxa"/>
            <w:noWrap/>
            <w:vAlign w:val="bottom"/>
          </w:tcPr>
          <w:p w:rsidR="005F6480" w:rsidRDefault="005F6480" w:rsidP="005F6480">
            <w:pPr>
              <w:rPr>
                <w:color w:val="000000"/>
                <w:sz w:val="16"/>
                <w:szCs w:val="16"/>
              </w:rPr>
            </w:pPr>
            <w:r>
              <w:rPr>
                <w:color w:val="000000"/>
                <w:sz w:val="16"/>
                <w:szCs w:val="16"/>
              </w:rPr>
              <w:t>0.0014</w:t>
            </w:r>
            <w:r w:rsidRPr="005F6480">
              <w:rPr>
                <w:color w:val="000000"/>
                <w:sz w:val="16"/>
                <w:szCs w:val="16"/>
                <w:vertAlign w:val="superscript"/>
              </w:rPr>
              <w:t>***</w:t>
            </w:r>
          </w:p>
        </w:tc>
        <w:tc>
          <w:tcPr>
            <w:tcW w:w="783" w:type="dxa"/>
            <w:vAlign w:val="bottom"/>
          </w:tcPr>
          <w:p w:rsidR="005F6480" w:rsidRDefault="005F6480">
            <w:pPr>
              <w:jc w:val="right"/>
              <w:rPr>
                <w:color w:val="000000"/>
                <w:sz w:val="16"/>
                <w:szCs w:val="16"/>
              </w:rPr>
            </w:pPr>
            <w:r>
              <w:rPr>
                <w:color w:val="000000"/>
                <w:sz w:val="16"/>
                <w:szCs w:val="16"/>
              </w:rPr>
              <w:t>0.5007</w:t>
            </w:r>
          </w:p>
        </w:tc>
        <w:tc>
          <w:tcPr>
            <w:tcW w:w="896" w:type="dxa"/>
            <w:vAlign w:val="bottom"/>
          </w:tcPr>
          <w:p w:rsidR="005F6480" w:rsidRDefault="005F6480" w:rsidP="00395DB2">
            <w:pPr>
              <w:rPr>
                <w:color w:val="000000"/>
                <w:sz w:val="16"/>
                <w:szCs w:val="16"/>
              </w:rPr>
            </w:pPr>
            <w:r>
              <w:rPr>
                <w:color w:val="000000"/>
                <w:sz w:val="16"/>
                <w:szCs w:val="16"/>
              </w:rPr>
              <w:t>0.0000</w:t>
            </w:r>
            <w:r w:rsidRPr="00395DB2">
              <w:rPr>
                <w:color w:val="000000"/>
                <w:sz w:val="16"/>
                <w:szCs w:val="16"/>
                <w:vertAlign w:val="superscript"/>
              </w:rPr>
              <w:t>***</w:t>
            </w:r>
          </w:p>
        </w:tc>
        <w:tc>
          <w:tcPr>
            <w:tcW w:w="813" w:type="dxa"/>
            <w:vAlign w:val="bottom"/>
          </w:tcPr>
          <w:p w:rsidR="005F6480" w:rsidRDefault="005F6480">
            <w:pPr>
              <w:jc w:val="right"/>
              <w:rPr>
                <w:color w:val="000000"/>
                <w:sz w:val="16"/>
                <w:szCs w:val="16"/>
              </w:rPr>
            </w:pPr>
            <w:r>
              <w:rPr>
                <w:color w:val="000000"/>
                <w:sz w:val="16"/>
                <w:szCs w:val="16"/>
              </w:rPr>
              <w:t>0.4880</w:t>
            </w:r>
          </w:p>
        </w:tc>
        <w:tc>
          <w:tcPr>
            <w:tcW w:w="867" w:type="dxa"/>
            <w:vAlign w:val="bottom"/>
          </w:tcPr>
          <w:p w:rsidR="005F6480" w:rsidRDefault="005F6480" w:rsidP="00A546EA">
            <w:pPr>
              <w:rPr>
                <w:color w:val="000000"/>
                <w:sz w:val="16"/>
                <w:szCs w:val="16"/>
              </w:rPr>
            </w:pPr>
            <w:r>
              <w:rPr>
                <w:color w:val="000000"/>
                <w:sz w:val="16"/>
                <w:szCs w:val="16"/>
              </w:rPr>
              <w:t>0.0000</w:t>
            </w:r>
            <w:r w:rsidRPr="00A546EA">
              <w:rPr>
                <w:color w:val="000000"/>
                <w:sz w:val="16"/>
                <w:szCs w:val="16"/>
                <w:vertAlign w:val="superscript"/>
              </w:rPr>
              <w:t>***</w:t>
            </w:r>
          </w:p>
        </w:tc>
      </w:tr>
      <w:tr w:rsidR="005F6480" w:rsidRPr="00C15F52" w:rsidTr="00B055BB">
        <w:trPr>
          <w:trHeight w:val="261"/>
          <w:jc w:val="center"/>
        </w:trPr>
        <w:tc>
          <w:tcPr>
            <w:tcW w:w="1579" w:type="dxa"/>
            <w:noWrap/>
            <w:vAlign w:val="bottom"/>
          </w:tcPr>
          <w:p w:rsidR="005F6480" w:rsidRDefault="005F6480" w:rsidP="00F73526">
            <w:pPr>
              <w:rPr>
                <w:rFonts w:eastAsiaTheme="minorEastAsia" w:cs="Times New Roman"/>
                <w:sz w:val="16"/>
                <w:szCs w:val="16"/>
              </w:rPr>
            </w:pPr>
            <w:r>
              <w:rPr>
                <w:rFonts w:cs="Times New Roman"/>
                <w:sz w:val="16"/>
                <w:szCs w:val="16"/>
              </w:rPr>
              <w:t xml:space="preserve">   GROWTH</w:t>
            </w:r>
          </w:p>
        </w:tc>
        <w:tc>
          <w:tcPr>
            <w:tcW w:w="775" w:type="dxa"/>
            <w:vAlign w:val="bottom"/>
          </w:tcPr>
          <w:p w:rsidR="005F6480" w:rsidRDefault="005F6480" w:rsidP="00FC1C5C">
            <w:pPr>
              <w:jc w:val="right"/>
              <w:rPr>
                <w:color w:val="000000"/>
                <w:sz w:val="16"/>
                <w:szCs w:val="16"/>
              </w:rPr>
            </w:pPr>
            <w:r>
              <w:rPr>
                <w:color w:val="000000"/>
                <w:sz w:val="16"/>
                <w:szCs w:val="16"/>
              </w:rPr>
              <w:t>0.0195</w:t>
            </w:r>
          </w:p>
        </w:tc>
        <w:tc>
          <w:tcPr>
            <w:tcW w:w="889" w:type="dxa"/>
            <w:vAlign w:val="bottom"/>
          </w:tcPr>
          <w:p w:rsidR="005F6480" w:rsidRDefault="005F6480" w:rsidP="00FC1C5C">
            <w:pPr>
              <w:rPr>
                <w:color w:val="000000"/>
                <w:sz w:val="16"/>
                <w:szCs w:val="16"/>
              </w:rPr>
            </w:pPr>
            <w:r>
              <w:rPr>
                <w:color w:val="000000"/>
                <w:sz w:val="16"/>
                <w:szCs w:val="16"/>
              </w:rPr>
              <w:t>0.0046</w:t>
            </w:r>
            <w:r w:rsidRPr="00D365F1">
              <w:rPr>
                <w:color w:val="000000"/>
                <w:sz w:val="16"/>
                <w:szCs w:val="16"/>
                <w:vertAlign w:val="superscript"/>
              </w:rPr>
              <w:t>***</w:t>
            </w:r>
          </w:p>
        </w:tc>
        <w:tc>
          <w:tcPr>
            <w:tcW w:w="876" w:type="dxa"/>
            <w:noWrap/>
            <w:vAlign w:val="bottom"/>
          </w:tcPr>
          <w:p w:rsidR="005F6480" w:rsidRDefault="005F6480">
            <w:pPr>
              <w:jc w:val="right"/>
              <w:rPr>
                <w:color w:val="000000"/>
                <w:sz w:val="16"/>
                <w:szCs w:val="16"/>
              </w:rPr>
            </w:pPr>
            <w:r>
              <w:rPr>
                <w:color w:val="000000"/>
                <w:sz w:val="16"/>
                <w:szCs w:val="16"/>
              </w:rPr>
              <w:t>0.0194</w:t>
            </w:r>
          </w:p>
        </w:tc>
        <w:tc>
          <w:tcPr>
            <w:tcW w:w="1009" w:type="dxa"/>
            <w:noWrap/>
            <w:vAlign w:val="bottom"/>
          </w:tcPr>
          <w:p w:rsidR="005F6480" w:rsidRDefault="005F6480" w:rsidP="0030462B">
            <w:pPr>
              <w:rPr>
                <w:color w:val="000000"/>
                <w:sz w:val="16"/>
                <w:szCs w:val="16"/>
              </w:rPr>
            </w:pPr>
            <w:r>
              <w:rPr>
                <w:color w:val="000000"/>
                <w:sz w:val="16"/>
                <w:szCs w:val="16"/>
              </w:rPr>
              <w:t>0.0047</w:t>
            </w:r>
            <w:r w:rsidRPr="00E20E99">
              <w:rPr>
                <w:color w:val="000000"/>
                <w:sz w:val="16"/>
                <w:szCs w:val="16"/>
                <w:vertAlign w:val="superscript"/>
              </w:rPr>
              <w:t>***</w:t>
            </w:r>
          </w:p>
        </w:tc>
        <w:tc>
          <w:tcPr>
            <w:tcW w:w="903" w:type="dxa"/>
            <w:noWrap/>
            <w:vAlign w:val="bottom"/>
          </w:tcPr>
          <w:p w:rsidR="005F6480" w:rsidRDefault="005F6480">
            <w:pPr>
              <w:jc w:val="right"/>
              <w:rPr>
                <w:color w:val="000000"/>
                <w:sz w:val="16"/>
                <w:szCs w:val="16"/>
              </w:rPr>
            </w:pPr>
            <w:r>
              <w:rPr>
                <w:color w:val="000000"/>
                <w:sz w:val="16"/>
                <w:szCs w:val="16"/>
              </w:rPr>
              <w:t>0.0207</w:t>
            </w:r>
          </w:p>
        </w:tc>
        <w:tc>
          <w:tcPr>
            <w:tcW w:w="891" w:type="dxa"/>
            <w:noWrap/>
            <w:vAlign w:val="bottom"/>
          </w:tcPr>
          <w:p w:rsidR="005F6480" w:rsidRDefault="005F6480" w:rsidP="00FC1C5C">
            <w:pPr>
              <w:rPr>
                <w:color w:val="000000"/>
                <w:sz w:val="16"/>
                <w:szCs w:val="16"/>
              </w:rPr>
            </w:pPr>
            <w:r>
              <w:rPr>
                <w:color w:val="000000"/>
                <w:sz w:val="16"/>
                <w:szCs w:val="16"/>
              </w:rPr>
              <w:t>0.0026</w:t>
            </w:r>
            <w:r w:rsidRPr="00FC1C5C">
              <w:rPr>
                <w:color w:val="000000"/>
                <w:sz w:val="16"/>
                <w:szCs w:val="16"/>
                <w:vertAlign w:val="superscript"/>
              </w:rPr>
              <w:t>***</w:t>
            </w:r>
          </w:p>
        </w:tc>
        <w:tc>
          <w:tcPr>
            <w:tcW w:w="817" w:type="dxa"/>
            <w:noWrap/>
            <w:vAlign w:val="bottom"/>
          </w:tcPr>
          <w:p w:rsidR="005F6480" w:rsidRDefault="005F6480">
            <w:pPr>
              <w:jc w:val="right"/>
              <w:rPr>
                <w:color w:val="000000"/>
                <w:sz w:val="16"/>
                <w:szCs w:val="16"/>
              </w:rPr>
            </w:pPr>
            <w:r>
              <w:rPr>
                <w:color w:val="000000"/>
                <w:sz w:val="16"/>
                <w:szCs w:val="16"/>
              </w:rPr>
              <w:t>0.0173</w:t>
            </w:r>
          </w:p>
        </w:tc>
        <w:tc>
          <w:tcPr>
            <w:tcW w:w="896" w:type="dxa"/>
            <w:vAlign w:val="bottom"/>
          </w:tcPr>
          <w:p w:rsidR="005F6480" w:rsidRDefault="005F6480" w:rsidP="00B877DC">
            <w:pPr>
              <w:rPr>
                <w:color w:val="000000"/>
                <w:sz w:val="16"/>
                <w:szCs w:val="16"/>
              </w:rPr>
            </w:pPr>
            <w:r>
              <w:rPr>
                <w:color w:val="000000"/>
                <w:sz w:val="16"/>
                <w:szCs w:val="16"/>
              </w:rPr>
              <w:t>0.0162</w:t>
            </w:r>
            <w:r w:rsidRPr="00B877DC">
              <w:rPr>
                <w:color w:val="000000"/>
                <w:sz w:val="16"/>
                <w:szCs w:val="16"/>
                <w:vertAlign w:val="superscript"/>
              </w:rPr>
              <w:t>**</w:t>
            </w:r>
          </w:p>
        </w:tc>
        <w:tc>
          <w:tcPr>
            <w:tcW w:w="845" w:type="dxa"/>
            <w:tcBorders>
              <w:left w:val="nil"/>
            </w:tcBorders>
            <w:vAlign w:val="bottom"/>
          </w:tcPr>
          <w:p w:rsidR="005F6480" w:rsidRDefault="005F6480">
            <w:pPr>
              <w:jc w:val="right"/>
              <w:rPr>
                <w:color w:val="000000"/>
                <w:sz w:val="16"/>
                <w:szCs w:val="16"/>
              </w:rPr>
            </w:pPr>
            <w:r>
              <w:rPr>
                <w:color w:val="000000"/>
                <w:sz w:val="16"/>
                <w:szCs w:val="16"/>
              </w:rPr>
              <w:t>0.0204</w:t>
            </w:r>
          </w:p>
        </w:tc>
        <w:tc>
          <w:tcPr>
            <w:tcW w:w="896" w:type="dxa"/>
            <w:noWrap/>
            <w:vAlign w:val="bottom"/>
          </w:tcPr>
          <w:p w:rsidR="005F6480" w:rsidRDefault="005F6480" w:rsidP="005F6480">
            <w:pPr>
              <w:rPr>
                <w:color w:val="000000"/>
                <w:sz w:val="16"/>
                <w:szCs w:val="16"/>
              </w:rPr>
            </w:pPr>
            <w:r>
              <w:rPr>
                <w:color w:val="000000"/>
                <w:sz w:val="16"/>
                <w:szCs w:val="16"/>
              </w:rPr>
              <w:t>0.2675</w:t>
            </w:r>
          </w:p>
        </w:tc>
        <w:tc>
          <w:tcPr>
            <w:tcW w:w="783" w:type="dxa"/>
            <w:vAlign w:val="bottom"/>
          </w:tcPr>
          <w:p w:rsidR="005F6480" w:rsidRDefault="005F6480">
            <w:pPr>
              <w:jc w:val="right"/>
              <w:rPr>
                <w:color w:val="000000"/>
                <w:sz w:val="16"/>
                <w:szCs w:val="16"/>
              </w:rPr>
            </w:pPr>
            <w:r>
              <w:rPr>
                <w:color w:val="000000"/>
                <w:sz w:val="16"/>
                <w:szCs w:val="16"/>
              </w:rPr>
              <w:t>0.0152</w:t>
            </w:r>
          </w:p>
        </w:tc>
        <w:tc>
          <w:tcPr>
            <w:tcW w:w="896" w:type="dxa"/>
            <w:vAlign w:val="bottom"/>
          </w:tcPr>
          <w:p w:rsidR="005F6480" w:rsidRDefault="005F6480" w:rsidP="00395DB2">
            <w:pPr>
              <w:rPr>
                <w:color w:val="000000"/>
                <w:sz w:val="16"/>
                <w:szCs w:val="16"/>
              </w:rPr>
            </w:pPr>
            <w:r>
              <w:rPr>
                <w:color w:val="000000"/>
                <w:sz w:val="16"/>
                <w:szCs w:val="16"/>
              </w:rPr>
              <w:t>0.0389</w:t>
            </w:r>
            <w:r w:rsidRPr="00395DB2">
              <w:rPr>
                <w:color w:val="000000"/>
                <w:sz w:val="16"/>
                <w:szCs w:val="16"/>
                <w:vertAlign w:val="superscript"/>
              </w:rPr>
              <w:t>**</w:t>
            </w:r>
          </w:p>
        </w:tc>
        <w:tc>
          <w:tcPr>
            <w:tcW w:w="813" w:type="dxa"/>
            <w:vAlign w:val="bottom"/>
          </w:tcPr>
          <w:p w:rsidR="005F6480" w:rsidRDefault="005F6480">
            <w:pPr>
              <w:jc w:val="right"/>
              <w:rPr>
                <w:color w:val="000000"/>
                <w:sz w:val="16"/>
                <w:szCs w:val="16"/>
              </w:rPr>
            </w:pPr>
            <w:r>
              <w:rPr>
                <w:color w:val="000000"/>
                <w:sz w:val="16"/>
                <w:szCs w:val="16"/>
              </w:rPr>
              <w:t>0.0213</w:t>
            </w:r>
          </w:p>
        </w:tc>
        <w:tc>
          <w:tcPr>
            <w:tcW w:w="867" w:type="dxa"/>
            <w:vAlign w:val="bottom"/>
          </w:tcPr>
          <w:p w:rsidR="005F6480" w:rsidRDefault="005F6480" w:rsidP="00A546EA">
            <w:pPr>
              <w:rPr>
                <w:color w:val="000000"/>
                <w:sz w:val="16"/>
                <w:szCs w:val="16"/>
              </w:rPr>
            </w:pPr>
            <w:r>
              <w:rPr>
                <w:color w:val="000000"/>
                <w:sz w:val="16"/>
                <w:szCs w:val="16"/>
              </w:rPr>
              <w:t>0.0023</w:t>
            </w:r>
            <w:r w:rsidRPr="00A546EA">
              <w:rPr>
                <w:color w:val="000000"/>
                <w:sz w:val="16"/>
                <w:szCs w:val="16"/>
                <w:vertAlign w:val="superscript"/>
              </w:rPr>
              <w:t>***</w:t>
            </w:r>
          </w:p>
        </w:tc>
      </w:tr>
      <w:tr w:rsidR="005F6480" w:rsidRPr="00C15F52" w:rsidTr="00B055BB">
        <w:trPr>
          <w:trHeight w:val="261"/>
          <w:jc w:val="center"/>
        </w:trPr>
        <w:tc>
          <w:tcPr>
            <w:tcW w:w="1579" w:type="dxa"/>
            <w:noWrap/>
            <w:vAlign w:val="bottom"/>
          </w:tcPr>
          <w:p w:rsidR="005F6480" w:rsidRDefault="005F6480" w:rsidP="00F73526">
            <w:pPr>
              <w:rPr>
                <w:rFonts w:eastAsiaTheme="minorEastAsia" w:cs="Times New Roman"/>
                <w:sz w:val="16"/>
                <w:szCs w:val="16"/>
              </w:rPr>
            </w:pPr>
            <w:r>
              <w:rPr>
                <w:rFonts w:cs="Times New Roman"/>
                <w:sz w:val="16"/>
                <w:szCs w:val="16"/>
              </w:rPr>
              <w:t xml:space="preserve">   LVRG</w:t>
            </w:r>
          </w:p>
        </w:tc>
        <w:tc>
          <w:tcPr>
            <w:tcW w:w="775" w:type="dxa"/>
            <w:vAlign w:val="bottom"/>
          </w:tcPr>
          <w:p w:rsidR="005F6480" w:rsidRDefault="005F6480" w:rsidP="00FC1C5C">
            <w:pPr>
              <w:jc w:val="right"/>
              <w:rPr>
                <w:color w:val="000000"/>
                <w:sz w:val="16"/>
                <w:szCs w:val="16"/>
              </w:rPr>
            </w:pPr>
            <w:r>
              <w:rPr>
                <w:color w:val="000000"/>
                <w:sz w:val="16"/>
                <w:szCs w:val="16"/>
              </w:rPr>
              <w:t>0.0971</w:t>
            </w:r>
          </w:p>
        </w:tc>
        <w:tc>
          <w:tcPr>
            <w:tcW w:w="889" w:type="dxa"/>
            <w:vAlign w:val="bottom"/>
          </w:tcPr>
          <w:p w:rsidR="005F6480" w:rsidRDefault="005F6480" w:rsidP="00FC1C5C">
            <w:pPr>
              <w:rPr>
                <w:color w:val="000000"/>
                <w:sz w:val="16"/>
                <w:szCs w:val="16"/>
              </w:rPr>
            </w:pPr>
            <w:r>
              <w:rPr>
                <w:color w:val="000000"/>
                <w:sz w:val="16"/>
                <w:szCs w:val="16"/>
              </w:rPr>
              <w:t>0.0000</w:t>
            </w:r>
            <w:r w:rsidRPr="00D365F1">
              <w:rPr>
                <w:color w:val="000000"/>
                <w:sz w:val="16"/>
                <w:szCs w:val="16"/>
                <w:vertAlign w:val="superscript"/>
              </w:rPr>
              <w:t>***</w:t>
            </w:r>
          </w:p>
        </w:tc>
        <w:tc>
          <w:tcPr>
            <w:tcW w:w="876" w:type="dxa"/>
            <w:noWrap/>
            <w:vAlign w:val="bottom"/>
          </w:tcPr>
          <w:p w:rsidR="005F6480" w:rsidRDefault="005F6480">
            <w:pPr>
              <w:jc w:val="right"/>
              <w:rPr>
                <w:color w:val="000000"/>
                <w:sz w:val="16"/>
                <w:szCs w:val="16"/>
              </w:rPr>
            </w:pPr>
            <w:r>
              <w:rPr>
                <w:color w:val="000000"/>
                <w:sz w:val="16"/>
                <w:szCs w:val="16"/>
              </w:rPr>
              <w:t>0.0975</w:t>
            </w:r>
          </w:p>
        </w:tc>
        <w:tc>
          <w:tcPr>
            <w:tcW w:w="1009" w:type="dxa"/>
            <w:noWrap/>
            <w:vAlign w:val="bottom"/>
          </w:tcPr>
          <w:p w:rsidR="005F6480" w:rsidRDefault="005F6480" w:rsidP="0030462B">
            <w:pPr>
              <w:rPr>
                <w:color w:val="000000"/>
                <w:sz w:val="16"/>
                <w:szCs w:val="16"/>
              </w:rPr>
            </w:pPr>
            <w:r>
              <w:rPr>
                <w:color w:val="000000"/>
                <w:sz w:val="16"/>
                <w:szCs w:val="16"/>
              </w:rPr>
              <w:t>0.0000</w:t>
            </w:r>
            <w:r w:rsidRPr="00E20E99">
              <w:rPr>
                <w:color w:val="000000"/>
                <w:sz w:val="16"/>
                <w:szCs w:val="16"/>
                <w:vertAlign w:val="superscript"/>
              </w:rPr>
              <w:t>***</w:t>
            </w:r>
          </w:p>
        </w:tc>
        <w:tc>
          <w:tcPr>
            <w:tcW w:w="903" w:type="dxa"/>
            <w:noWrap/>
            <w:vAlign w:val="bottom"/>
          </w:tcPr>
          <w:p w:rsidR="005F6480" w:rsidRDefault="005F6480">
            <w:pPr>
              <w:jc w:val="right"/>
              <w:rPr>
                <w:color w:val="000000"/>
                <w:sz w:val="16"/>
                <w:szCs w:val="16"/>
              </w:rPr>
            </w:pPr>
            <w:r>
              <w:rPr>
                <w:color w:val="000000"/>
                <w:sz w:val="16"/>
                <w:szCs w:val="16"/>
              </w:rPr>
              <w:t>0.0940</w:t>
            </w:r>
          </w:p>
        </w:tc>
        <w:tc>
          <w:tcPr>
            <w:tcW w:w="891" w:type="dxa"/>
            <w:noWrap/>
            <w:vAlign w:val="bottom"/>
          </w:tcPr>
          <w:p w:rsidR="005F6480" w:rsidRDefault="005F6480" w:rsidP="00FC1C5C">
            <w:pPr>
              <w:rPr>
                <w:color w:val="000000"/>
                <w:sz w:val="16"/>
                <w:szCs w:val="16"/>
              </w:rPr>
            </w:pPr>
            <w:r>
              <w:rPr>
                <w:color w:val="000000"/>
                <w:sz w:val="16"/>
                <w:szCs w:val="16"/>
              </w:rPr>
              <w:t>0.0000</w:t>
            </w:r>
            <w:r w:rsidRPr="00FC1C5C">
              <w:rPr>
                <w:color w:val="000000"/>
                <w:sz w:val="16"/>
                <w:szCs w:val="16"/>
                <w:vertAlign w:val="superscript"/>
              </w:rPr>
              <w:t>***</w:t>
            </w:r>
          </w:p>
        </w:tc>
        <w:tc>
          <w:tcPr>
            <w:tcW w:w="817" w:type="dxa"/>
            <w:noWrap/>
            <w:vAlign w:val="bottom"/>
          </w:tcPr>
          <w:p w:rsidR="005F6480" w:rsidRDefault="005F6480">
            <w:pPr>
              <w:jc w:val="right"/>
              <w:rPr>
                <w:color w:val="000000"/>
                <w:sz w:val="16"/>
                <w:szCs w:val="16"/>
              </w:rPr>
            </w:pPr>
            <w:r>
              <w:rPr>
                <w:color w:val="000000"/>
                <w:sz w:val="16"/>
                <w:szCs w:val="16"/>
              </w:rPr>
              <w:t>0.0846</w:t>
            </w:r>
          </w:p>
        </w:tc>
        <w:tc>
          <w:tcPr>
            <w:tcW w:w="896" w:type="dxa"/>
            <w:vAlign w:val="bottom"/>
          </w:tcPr>
          <w:p w:rsidR="005F6480" w:rsidRDefault="005F6480" w:rsidP="00B877DC">
            <w:pPr>
              <w:rPr>
                <w:color w:val="000000"/>
                <w:sz w:val="16"/>
                <w:szCs w:val="16"/>
              </w:rPr>
            </w:pPr>
            <w:r>
              <w:rPr>
                <w:color w:val="000000"/>
                <w:sz w:val="16"/>
                <w:szCs w:val="16"/>
              </w:rPr>
              <w:t>0.0000</w:t>
            </w:r>
            <w:r w:rsidRPr="00B877DC">
              <w:rPr>
                <w:color w:val="000000"/>
                <w:sz w:val="16"/>
                <w:szCs w:val="16"/>
                <w:vertAlign w:val="superscript"/>
              </w:rPr>
              <w:t>***</w:t>
            </w:r>
          </w:p>
        </w:tc>
        <w:tc>
          <w:tcPr>
            <w:tcW w:w="845" w:type="dxa"/>
            <w:tcBorders>
              <w:left w:val="nil"/>
            </w:tcBorders>
            <w:vAlign w:val="bottom"/>
          </w:tcPr>
          <w:p w:rsidR="005F6480" w:rsidRDefault="005F6480">
            <w:pPr>
              <w:jc w:val="right"/>
              <w:rPr>
                <w:color w:val="000000"/>
                <w:sz w:val="16"/>
                <w:szCs w:val="16"/>
              </w:rPr>
            </w:pPr>
            <w:r>
              <w:rPr>
                <w:color w:val="000000"/>
                <w:sz w:val="16"/>
                <w:szCs w:val="16"/>
              </w:rPr>
              <w:t>0.1053</w:t>
            </w:r>
          </w:p>
        </w:tc>
        <w:tc>
          <w:tcPr>
            <w:tcW w:w="896" w:type="dxa"/>
            <w:noWrap/>
            <w:vAlign w:val="bottom"/>
          </w:tcPr>
          <w:p w:rsidR="005F6480" w:rsidRDefault="005F6480" w:rsidP="005F6480">
            <w:pPr>
              <w:rPr>
                <w:color w:val="000000"/>
                <w:sz w:val="16"/>
                <w:szCs w:val="16"/>
              </w:rPr>
            </w:pPr>
            <w:r>
              <w:rPr>
                <w:color w:val="000000"/>
                <w:sz w:val="16"/>
                <w:szCs w:val="16"/>
              </w:rPr>
              <w:t>0.0008</w:t>
            </w:r>
            <w:r w:rsidRPr="005F6480">
              <w:rPr>
                <w:color w:val="000000"/>
                <w:sz w:val="16"/>
                <w:szCs w:val="16"/>
                <w:vertAlign w:val="superscript"/>
              </w:rPr>
              <w:t>***</w:t>
            </w:r>
          </w:p>
        </w:tc>
        <w:tc>
          <w:tcPr>
            <w:tcW w:w="783" w:type="dxa"/>
            <w:vAlign w:val="bottom"/>
          </w:tcPr>
          <w:p w:rsidR="005F6480" w:rsidRDefault="005F6480">
            <w:pPr>
              <w:jc w:val="right"/>
              <w:rPr>
                <w:color w:val="000000"/>
                <w:sz w:val="16"/>
                <w:szCs w:val="16"/>
              </w:rPr>
            </w:pPr>
            <w:r>
              <w:rPr>
                <w:color w:val="000000"/>
                <w:sz w:val="16"/>
                <w:szCs w:val="16"/>
              </w:rPr>
              <w:t>0.0873</w:t>
            </w:r>
          </w:p>
        </w:tc>
        <w:tc>
          <w:tcPr>
            <w:tcW w:w="896" w:type="dxa"/>
            <w:vAlign w:val="bottom"/>
          </w:tcPr>
          <w:p w:rsidR="005F6480" w:rsidRDefault="005F6480" w:rsidP="00395DB2">
            <w:pPr>
              <w:rPr>
                <w:color w:val="000000"/>
                <w:sz w:val="16"/>
                <w:szCs w:val="16"/>
              </w:rPr>
            </w:pPr>
            <w:r>
              <w:rPr>
                <w:color w:val="000000"/>
                <w:sz w:val="16"/>
                <w:szCs w:val="16"/>
              </w:rPr>
              <w:t>0.0000</w:t>
            </w:r>
            <w:r w:rsidRPr="00395DB2">
              <w:rPr>
                <w:color w:val="000000"/>
                <w:sz w:val="16"/>
                <w:szCs w:val="16"/>
                <w:vertAlign w:val="superscript"/>
              </w:rPr>
              <w:t>**</w:t>
            </w:r>
          </w:p>
        </w:tc>
        <w:tc>
          <w:tcPr>
            <w:tcW w:w="813" w:type="dxa"/>
            <w:vAlign w:val="bottom"/>
          </w:tcPr>
          <w:p w:rsidR="005F6480" w:rsidRDefault="005F6480">
            <w:pPr>
              <w:jc w:val="right"/>
              <w:rPr>
                <w:color w:val="000000"/>
                <w:sz w:val="16"/>
                <w:szCs w:val="16"/>
              </w:rPr>
            </w:pPr>
            <w:r>
              <w:rPr>
                <w:color w:val="000000"/>
                <w:sz w:val="16"/>
                <w:szCs w:val="16"/>
              </w:rPr>
              <w:t>0.0999</w:t>
            </w:r>
          </w:p>
        </w:tc>
        <w:tc>
          <w:tcPr>
            <w:tcW w:w="867" w:type="dxa"/>
            <w:vAlign w:val="bottom"/>
          </w:tcPr>
          <w:p w:rsidR="005F6480" w:rsidRDefault="005F6480" w:rsidP="00A546EA">
            <w:pPr>
              <w:rPr>
                <w:color w:val="000000"/>
                <w:sz w:val="16"/>
                <w:szCs w:val="16"/>
              </w:rPr>
            </w:pPr>
            <w:r>
              <w:rPr>
                <w:color w:val="000000"/>
                <w:sz w:val="16"/>
                <w:szCs w:val="16"/>
              </w:rPr>
              <w:t>0.0000</w:t>
            </w:r>
            <w:r w:rsidRPr="00A546EA">
              <w:rPr>
                <w:color w:val="000000"/>
                <w:sz w:val="16"/>
                <w:szCs w:val="16"/>
                <w:vertAlign w:val="superscript"/>
              </w:rPr>
              <w:t>***</w:t>
            </w:r>
          </w:p>
        </w:tc>
      </w:tr>
      <w:tr w:rsidR="005F6480" w:rsidRPr="00C15F52" w:rsidTr="00B055BB">
        <w:trPr>
          <w:trHeight w:val="287"/>
          <w:jc w:val="center"/>
        </w:trPr>
        <w:tc>
          <w:tcPr>
            <w:tcW w:w="1579" w:type="dxa"/>
            <w:noWrap/>
            <w:vAlign w:val="bottom"/>
          </w:tcPr>
          <w:p w:rsidR="005F6480" w:rsidRPr="00C15F52" w:rsidRDefault="005F6480" w:rsidP="00F73526">
            <w:pPr>
              <w:rPr>
                <w:rFonts w:cs="Times New Roman"/>
                <w:color w:val="000000"/>
                <w:sz w:val="16"/>
                <w:szCs w:val="16"/>
                <w:lang w:eastAsia="en-GB"/>
              </w:rPr>
            </w:pPr>
            <w:r>
              <w:rPr>
                <w:rFonts w:cs="Times New Roman"/>
                <w:color w:val="000000"/>
                <w:sz w:val="16"/>
                <w:szCs w:val="16"/>
                <w:lang w:eastAsia="en-GB"/>
              </w:rPr>
              <w:t xml:space="preserve">   Industry dummies</w:t>
            </w:r>
          </w:p>
        </w:tc>
        <w:tc>
          <w:tcPr>
            <w:tcW w:w="1664" w:type="dxa"/>
            <w:gridSpan w:val="2"/>
            <w:vAlign w:val="center"/>
          </w:tcPr>
          <w:p w:rsidR="005F6480" w:rsidRPr="00C15F52" w:rsidRDefault="005F6480" w:rsidP="00FD3F29">
            <w:pPr>
              <w:jc w:val="center"/>
              <w:rPr>
                <w:rFonts w:cs="Times New Roman"/>
                <w:sz w:val="16"/>
                <w:szCs w:val="16"/>
              </w:rPr>
            </w:pPr>
            <w:r>
              <w:rPr>
                <w:rFonts w:cs="Times New Roman"/>
                <w:color w:val="000000"/>
                <w:sz w:val="16"/>
                <w:szCs w:val="16"/>
                <w:lang w:eastAsia="en-GB"/>
              </w:rPr>
              <w:t>Included</w:t>
            </w:r>
          </w:p>
        </w:tc>
        <w:tc>
          <w:tcPr>
            <w:tcW w:w="1885" w:type="dxa"/>
            <w:gridSpan w:val="2"/>
            <w:noWrap/>
            <w:vAlign w:val="center"/>
          </w:tcPr>
          <w:p w:rsidR="005F6480" w:rsidRPr="00C15F52" w:rsidRDefault="005F6480" w:rsidP="00FD3F29">
            <w:pPr>
              <w:jc w:val="center"/>
              <w:rPr>
                <w:rFonts w:cs="Times New Roman"/>
                <w:color w:val="000000"/>
                <w:sz w:val="16"/>
                <w:szCs w:val="16"/>
                <w:lang w:eastAsia="en-GB"/>
              </w:rPr>
            </w:pPr>
            <w:r>
              <w:rPr>
                <w:rFonts w:cs="Times New Roman"/>
                <w:color w:val="000000"/>
                <w:sz w:val="16"/>
                <w:szCs w:val="16"/>
                <w:lang w:eastAsia="en-GB"/>
              </w:rPr>
              <w:t xml:space="preserve"> Included</w:t>
            </w:r>
          </w:p>
        </w:tc>
        <w:tc>
          <w:tcPr>
            <w:tcW w:w="1794" w:type="dxa"/>
            <w:gridSpan w:val="2"/>
            <w:noWrap/>
            <w:vAlign w:val="center"/>
          </w:tcPr>
          <w:p w:rsidR="005F6480" w:rsidRPr="00C15F52" w:rsidRDefault="005F6480" w:rsidP="00FD3F29">
            <w:pPr>
              <w:jc w:val="center"/>
              <w:rPr>
                <w:rFonts w:cs="Times New Roman"/>
                <w:color w:val="000000"/>
                <w:sz w:val="16"/>
                <w:szCs w:val="16"/>
                <w:lang w:eastAsia="en-GB"/>
              </w:rPr>
            </w:pPr>
            <w:r>
              <w:rPr>
                <w:rFonts w:cs="Times New Roman"/>
                <w:color w:val="000000"/>
                <w:sz w:val="16"/>
                <w:szCs w:val="16"/>
                <w:lang w:eastAsia="en-GB"/>
              </w:rPr>
              <w:t xml:space="preserve"> Included</w:t>
            </w:r>
          </w:p>
        </w:tc>
        <w:tc>
          <w:tcPr>
            <w:tcW w:w="1713" w:type="dxa"/>
            <w:gridSpan w:val="2"/>
            <w:noWrap/>
            <w:vAlign w:val="center"/>
          </w:tcPr>
          <w:p w:rsidR="005F6480" w:rsidRPr="00C15F52" w:rsidRDefault="005F6480" w:rsidP="00FD3F29">
            <w:pPr>
              <w:jc w:val="center"/>
              <w:rPr>
                <w:rFonts w:cs="Times New Roman"/>
                <w:color w:val="000000"/>
                <w:sz w:val="16"/>
                <w:szCs w:val="16"/>
                <w:lang w:eastAsia="en-GB"/>
              </w:rPr>
            </w:pPr>
            <w:r>
              <w:rPr>
                <w:rFonts w:cs="Times New Roman"/>
                <w:color w:val="000000"/>
                <w:sz w:val="16"/>
                <w:szCs w:val="16"/>
                <w:lang w:eastAsia="en-GB"/>
              </w:rPr>
              <w:t xml:space="preserve"> Included</w:t>
            </w:r>
          </w:p>
        </w:tc>
        <w:tc>
          <w:tcPr>
            <w:tcW w:w="1741" w:type="dxa"/>
            <w:gridSpan w:val="2"/>
            <w:vAlign w:val="center"/>
          </w:tcPr>
          <w:p w:rsidR="005F6480" w:rsidRPr="00C15F52" w:rsidRDefault="005F6480" w:rsidP="00FD3F29">
            <w:pPr>
              <w:jc w:val="center"/>
              <w:rPr>
                <w:rFonts w:cs="Times New Roman"/>
                <w:color w:val="000000"/>
                <w:sz w:val="16"/>
                <w:szCs w:val="16"/>
              </w:rPr>
            </w:pPr>
            <w:r>
              <w:rPr>
                <w:rFonts w:cs="Times New Roman"/>
                <w:color w:val="000000"/>
                <w:sz w:val="16"/>
                <w:szCs w:val="16"/>
                <w:lang w:eastAsia="en-GB"/>
              </w:rPr>
              <w:t>Included</w:t>
            </w:r>
          </w:p>
        </w:tc>
        <w:tc>
          <w:tcPr>
            <w:tcW w:w="1679" w:type="dxa"/>
            <w:gridSpan w:val="2"/>
            <w:vAlign w:val="center"/>
          </w:tcPr>
          <w:p w:rsidR="005F6480" w:rsidRPr="00C15F52" w:rsidRDefault="005F6480" w:rsidP="00FD3F29">
            <w:pPr>
              <w:jc w:val="center"/>
              <w:rPr>
                <w:rFonts w:cs="Times New Roman"/>
                <w:color w:val="000000"/>
                <w:sz w:val="16"/>
                <w:szCs w:val="16"/>
              </w:rPr>
            </w:pPr>
            <w:r>
              <w:rPr>
                <w:rFonts w:cs="Times New Roman"/>
                <w:color w:val="000000"/>
                <w:sz w:val="16"/>
                <w:szCs w:val="16"/>
                <w:lang w:eastAsia="en-GB"/>
              </w:rPr>
              <w:t>Included</w:t>
            </w:r>
          </w:p>
        </w:tc>
        <w:tc>
          <w:tcPr>
            <w:tcW w:w="1680" w:type="dxa"/>
            <w:gridSpan w:val="2"/>
            <w:vAlign w:val="center"/>
          </w:tcPr>
          <w:p w:rsidR="005F6480" w:rsidRPr="00C15F52" w:rsidRDefault="005F6480" w:rsidP="00A546EA">
            <w:pPr>
              <w:jc w:val="center"/>
              <w:rPr>
                <w:rFonts w:cs="Times New Roman"/>
                <w:color w:val="000000"/>
                <w:sz w:val="16"/>
                <w:szCs w:val="16"/>
              </w:rPr>
            </w:pPr>
            <w:r>
              <w:rPr>
                <w:rFonts w:cs="Times New Roman"/>
                <w:color w:val="000000"/>
                <w:sz w:val="16"/>
                <w:szCs w:val="16"/>
                <w:lang w:eastAsia="en-GB"/>
              </w:rPr>
              <w:t>Included</w:t>
            </w:r>
          </w:p>
        </w:tc>
      </w:tr>
      <w:tr w:rsidR="005F6480" w:rsidRPr="00C15F52" w:rsidTr="00B055BB">
        <w:trPr>
          <w:trHeight w:val="207"/>
          <w:jc w:val="center"/>
        </w:trPr>
        <w:tc>
          <w:tcPr>
            <w:tcW w:w="1579" w:type="dxa"/>
            <w:noWrap/>
            <w:vAlign w:val="bottom"/>
          </w:tcPr>
          <w:p w:rsidR="005F6480" w:rsidRPr="00C15F52" w:rsidRDefault="005F6480" w:rsidP="00F73526">
            <w:pPr>
              <w:rPr>
                <w:rFonts w:cs="Times New Roman"/>
                <w:color w:val="000000"/>
                <w:sz w:val="16"/>
                <w:szCs w:val="16"/>
                <w:lang w:eastAsia="en-GB"/>
              </w:rPr>
            </w:pPr>
            <w:r>
              <w:rPr>
                <w:rFonts w:cs="Times New Roman"/>
                <w:color w:val="000000"/>
                <w:sz w:val="16"/>
                <w:szCs w:val="16"/>
                <w:lang w:eastAsia="en-GB"/>
              </w:rPr>
              <w:t xml:space="preserve">  Year dummies</w:t>
            </w:r>
          </w:p>
        </w:tc>
        <w:tc>
          <w:tcPr>
            <w:tcW w:w="1664" w:type="dxa"/>
            <w:gridSpan w:val="2"/>
            <w:vAlign w:val="center"/>
          </w:tcPr>
          <w:p w:rsidR="005F6480" w:rsidRPr="00C15F52" w:rsidRDefault="005F6480" w:rsidP="00FD3F29">
            <w:pPr>
              <w:jc w:val="center"/>
              <w:rPr>
                <w:rFonts w:cs="Times New Roman"/>
                <w:sz w:val="16"/>
                <w:szCs w:val="16"/>
              </w:rPr>
            </w:pPr>
            <w:r>
              <w:rPr>
                <w:rFonts w:cs="Times New Roman"/>
                <w:color w:val="000000"/>
                <w:sz w:val="16"/>
                <w:szCs w:val="16"/>
                <w:lang w:eastAsia="en-GB"/>
              </w:rPr>
              <w:t>Included</w:t>
            </w:r>
          </w:p>
        </w:tc>
        <w:tc>
          <w:tcPr>
            <w:tcW w:w="1885" w:type="dxa"/>
            <w:gridSpan w:val="2"/>
            <w:noWrap/>
            <w:vAlign w:val="center"/>
          </w:tcPr>
          <w:p w:rsidR="005F6480" w:rsidRPr="00C15F52" w:rsidRDefault="005F6480" w:rsidP="00FD3F29">
            <w:pPr>
              <w:jc w:val="center"/>
              <w:rPr>
                <w:rFonts w:cs="Times New Roman"/>
                <w:color w:val="000000"/>
                <w:sz w:val="16"/>
                <w:szCs w:val="16"/>
                <w:lang w:eastAsia="en-GB"/>
              </w:rPr>
            </w:pPr>
            <w:r>
              <w:rPr>
                <w:rFonts w:cs="Times New Roman"/>
                <w:color w:val="000000"/>
                <w:sz w:val="16"/>
                <w:szCs w:val="16"/>
                <w:lang w:eastAsia="en-GB"/>
              </w:rPr>
              <w:t xml:space="preserve"> Included</w:t>
            </w:r>
          </w:p>
        </w:tc>
        <w:tc>
          <w:tcPr>
            <w:tcW w:w="1794" w:type="dxa"/>
            <w:gridSpan w:val="2"/>
            <w:noWrap/>
            <w:vAlign w:val="center"/>
          </w:tcPr>
          <w:p w:rsidR="005F6480" w:rsidRPr="00C15F52" w:rsidRDefault="005F6480" w:rsidP="00FD3F29">
            <w:pPr>
              <w:jc w:val="center"/>
              <w:rPr>
                <w:rFonts w:cs="Times New Roman"/>
                <w:color w:val="000000"/>
                <w:sz w:val="16"/>
                <w:szCs w:val="16"/>
                <w:lang w:eastAsia="en-GB"/>
              </w:rPr>
            </w:pPr>
            <w:r>
              <w:rPr>
                <w:rFonts w:cs="Times New Roman"/>
                <w:color w:val="000000"/>
                <w:sz w:val="16"/>
                <w:szCs w:val="16"/>
                <w:lang w:eastAsia="en-GB"/>
              </w:rPr>
              <w:t xml:space="preserve"> Included</w:t>
            </w:r>
          </w:p>
        </w:tc>
        <w:tc>
          <w:tcPr>
            <w:tcW w:w="1713" w:type="dxa"/>
            <w:gridSpan w:val="2"/>
            <w:noWrap/>
            <w:vAlign w:val="center"/>
          </w:tcPr>
          <w:p w:rsidR="005F6480" w:rsidRPr="00C15F52" w:rsidRDefault="005F6480" w:rsidP="00FD3F29">
            <w:pPr>
              <w:jc w:val="center"/>
              <w:rPr>
                <w:rFonts w:cs="Times New Roman"/>
                <w:color w:val="000000"/>
                <w:sz w:val="16"/>
                <w:szCs w:val="16"/>
                <w:lang w:eastAsia="en-GB"/>
              </w:rPr>
            </w:pPr>
            <w:r>
              <w:rPr>
                <w:rFonts w:cs="Times New Roman"/>
                <w:color w:val="000000"/>
                <w:sz w:val="16"/>
                <w:szCs w:val="16"/>
                <w:lang w:eastAsia="en-GB"/>
              </w:rPr>
              <w:t xml:space="preserve"> Included</w:t>
            </w:r>
          </w:p>
        </w:tc>
        <w:tc>
          <w:tcPr>
            <w:tcW w:w="1741" w:type="dxa"/>
            <w:gridSpan w:val="2"/>
            <w:vAlign w:val="center"/>
          </w:tcPr>
          <w:p w:rsidR="005F6480" w:rsidRPr="00C15F52" w:rsidRDefault="005F6480" w:rsidP="00FD3F29">
            <w:pPr>
              <w:jc w:val="center"/>
              <w:rPr>
                <w:rFonts w:cs="Times New Roman"/>
                <w:color w:val="000000"/>
                <w:sz w:val="16"/>
                <w:szCs w:val="16"/>
                <w:lang w:eastAsia="en-GB"/>
              </w:rPr>
            </w:pPr>
            <w:r>
              <w:rPr>
                <w:rFonts w:cs="Times New Roman"/>
                <w:color w:val="000000"/>
                <w:sz w:val="16"/>
                <w:szCs w:val="16"/>
                <w:lang w:eastAsia="en-GB"/>
              </w:rPr>
              <w:t>Included</w:t>
            </w:r>
          </w:p>
        </w:tc>
        <w:tc>
          <w:tcPr>
            <w:tcW w:w="1679" w:type="dxa"/>
            <w:gridSpan w:val="2"/>
            <w:vAlign w:val="center"/>
          </w:tcPr>
          <w:p w:rsidR="005F6480" w:rsidRPr="00C15F52" w:rsidRDefault="005F6480" w:rsidP="00FD3F29">
            <w:pPr>
              <w:jc w:val="center"/>
              <w:rPr>
                <w:rFonts w:cs="Times New Roman"/>
                <w:color w:val="000000"/>
                <w:sz w:val="16"/>
                <w:szCs w:val="16"/>
                <w:lang w:eastAsia="en-GB"/>
              </w:rPr>
            </w:pPr>
            <w:r>
              <w:rPr>
                <w:rFonts w:cs="Times New Roman"/>
                <w:color w:val="000000"/>
                <w:sz w:val="16"/>
                <w:szCs w:val="16"/>
                <w:lang w:eastAsia="en-GB"/>
              </w:rPr>
              <w:t>Included</w:t>
            </w:r>
          </w:p>
        </w:tc>
        <w:tc>
          <w:tcPr>
            <w:tcW w:w="1680" w:type="dxa"/>
            <w:gridSpan w:val="2"/>
            <w:vAlign w:val="center"/>
          </w:tcPr>
          <w:p w:rsidR="005F6480" w:rsidRPr="00C15F52" w:rsidRDefault="005F6480" w:rsidP="00A546EA">
            <w:pPr>
              <w:jc w:val="center"/>
              <w:rPr>
                <w:rFonts w:cs="Times New Roman"/>
                <w:color w:val="000000"/>
                <w:sz w:val="16"/>
                <w:szCs w:val="16"/>
                <w:lang w:eastAsia="en-GB"/>
              </w:rPr>
            </w:pPr>
            <w:r>
              <w:rPr>
                <w:rFonts w:cs="Times New Roman"/>
                <w:color w:val="000000"/>
                <w:sz w:val="16"/>
                <w:szCs w:val="16"/>
                <w:lang w:eastAsia="en-GB"/>
              </w:rPr>
              <w:t>Included</w:t>
            </w:r>
          </w:p>
        </w:tc>
      </w:tr>
      <w:tr w:rsidR="005F6480" w:rsidRPr="00C15F52" w:rsidTr="00B055BB">
        <w:trPr>
          <w:trHeight w:val="20"/>
          <w:jc w:val="center"/>
        </w:trPr>
        <w:tc>
          <w:tcPr>
            <w:tcW w:w="1579" w:type="dxa"/>
            <w:noWrap/>
            <w:vAlign w:val="bottom"/>
          </w:tcPr>
          <w:p w:rsidR="005F6480" w:rsidRPr="00C15F52" w:rsidRDefault="005F6480" w:rsidP="00F73526">
            <w:pPr>
              <w:rPr>
                <w:rFonts w:cs="Times New Roman"/>
                <w:color w:val="000000"/>
                <w:sz w:val="16"/>
                <w:szCs w:val="16"/>
                <w:lang w:eastAsia="en-GB"/>
              </w:rPr>
            </w:pPr>
            <w:r>
              <w:rPr>
                <w:rFonts w:cs="Times New Roman"/>
                <w:color w:val="000000"/>
                <w:sz w:val="16"/>
                <w:szCs w:val="16"/>
                <w:lang w:eastAsia="en-GB"/>
              </w:rPr>
              <w:t>Constant</w:t>
            </w:r>
          </w:p>
        </w:tc>
        <w:tc>
          <w:tcPr>
            <w:tcW w:w="775" w:type="dxa"/>
            <w:vAlign w:val="bottom"/>
          </w:tcPr>
          <w:p w:rsidR="005F6480" w:rsidRPr="004D18E9" w:rsidRDefault="005F6480" w:rsidP="00FC1C5C">
            <w:pPr>
              <w:jc w:val="right"/>
              <w:rPr>
                <w:color w:val="000000"/>
                <w:sz w:val="16"/>
                <w:szCs w:val="16"/>
              </w:rPr>
            </w:pPr>
            <w:r>
              <w:rPr>
                <w:color w:val="000000"/>
                <w:sz w:val="16"/>
                <w:szCs w:val="16"/>
              </w:rPr>
              <w:t>0.0618</w:t>
            </w:r>
          </w:p>
        </w:tc>
        <w:tc>
          <w:tcPr>
            <w:tcW w:w="889" w:type="dxa"/>
            <w:vAlign w:val="center"/>
          </w:tcPr>
          <w:p w:rsidR="005F6480" w:rsidRPr="004D18E9" w:rsidRDefault="005F6480" w:rsidP="00FC1C5C">
            <w:pPr>
              <w:rPr>
                <w:color w:val="000000"/>
                <w:sz w:val="16"/>
                <w:szCs w:val="16"/>
              </w:rPr>
            </w:pPr>
            <w:r>
              <w:rPr>
                <w:color w:val="000000"/>
                <w:sz w:val="16"/>
                <w:szCs w:val="16"/>
              </w:rPr>
              <w:t>0.2223</w:t>
            </w:r>
          </w:p>
        </w:tc>
        <w:tc>
          <w:tcPr>
            <w:tcW w:w="876" w:type="dxa"/>
            <w:noWrap/>
            <w:vAlign w:val="bottom"/>
          </w:tcPr>
          <w:p w:rsidR="005F6480" w:rsidRDefault="005F6480">
            <w:pPr>
              <w:jc w:val="right"/>
              <w:rPr>
                <w:color w:val="000000"/>
                <w:sz w:val="16"/>
                <w:szCs w:val="16"/>
              </w:rPr>
            </w:pPr>
            <w:r>
              <w:rPr>
                <w:color w:val="000000"/>
                <w:sz w:val="16"/>
                <w:szCs w:val="16"/>
              </w:rPr>
              <w:t>0.0705</w:t>
            </w:r>
          </w:p>
        </w:tc>
        <w:tc>
          <w:tcPr>
            <w:tcW w:w="1009" w:type="dxa"/>
            <w:vAlign w:val="center"/>
          </w:tcPr>
          <w:p w:rsidR="005F6480" w:rsidRPr="00E20E99" w:rsidRDefault="005F6480" w:rsidP="00E20E99">
            <w:pPr>
              <w:rPr>
                <w:color w:val="000000"/>
                <w:sz w:val="16"/>
                <w:szCs w:val="16"/>
              </w:rPr>
            </w:pPr>
            <w:r>
              <w:rPr>
                <w:color w:val="000000"/>
                <w:sz w:val="16"/>
                <w:szCs w:val="16"/>
              </w:rPr>
              <w:t>0.1629</w:t>
            </w:r>
          </w:p>
        </w:tc>
        <w:tc>
          <w:tcPr>
            <w:tcW w:w="903" w:type="dxa"/>
            <w:noWrap/>
            <w:vAlign w:val="bottom"/>
          </w:tcPr>
          <w:p w:rsidR="005F6480" w:rsidRDefault="005F6480">
            <w:pPr>
              <w:jc w:val="right"/>
              <w:rPr>
                <w:color w:val="000000"/>
                <w:sz w:val="16"/>
                <w:szCs w:val="16"/>
              </w:rPr>
            </w:pPr>
            <w:r>
              <w:rPr>
                <w:color w:val="000000"/>
                <w:sz w:val="16"/>
                <w:szCs w:val="16"/>
              </w:rPr>
              <w:t>0.0022</w:t>
            </w:r>
          </w:p>
        </w:tc>
        <w:tc>
          <w:tcPr>
            <w:tcW w:w="891" w:type="dxa"/>
            <w:vAlign w:val="center"/>
          </w:tcPr>
          <w:p w:rsidR="005F6480" w:rsidRPr="00FC1C5C" w:rsidRDefault="005F6480" w:rsidP="00FC1C5C">
            <w:pPr>
              <w:rPr>
                <w:color w:val="000000"/>
                <w:sz w:val="16"/>
                <w:szCs w:val="16"/>
              </w:rPr>
            </w:pPr>
            <w:r>
              <w:rPr>
                <w:color w:val="000000"/>
                <w:sz w:val="16"/>
                <w:szCs w:val="16"/>
              </w:rPr>
              <w:t>0.9653</w:t>
            </w:r>
          </w:p>
        </w:tc>
        <w:tc>
          <w:tcPr>
            <w:tcW w:w="817" w:type="dxa"/>
            <w:noWrap/>
            <w:vAlign w:val="bottom"/>
          </w:tcPr>
          <w:p w:rsidR="005F6480" w:rsidRDefault="005F6480">
            <w:pPr>
              <w:jc w:val="right"/>
              <w:rPr>
                <w:color w:val="000000"/>
                <w:sz w:val="16"/>
                <w:szCs w:val="16"/>
              </w:rPr>
            </w:pPr>
            <w:r>
              <w:rPr>
                <w:color w:val="000000"/>
                <w:sz w:val="16"/>
                <w:szCs w:val="16"/>
              </w:rPr>
              <w:t>-0.0197</w:t>
            </w:r>
          </w:p>
        </w:tc>
        <w:tc>
          <w:tcPr>
            <w:tcW w:w="896" w:type="dxa"/>
            <w:vAlign w:val="center"/>
          </w:tcPr>
          <w:p w:rsidR="005F6480" w:rsidRPr="00B877DC" w:rsidRDefault="005F6480" w:rsidP="00B877DC">
            <w:pPr>
              <w:rPr>
                <w:color w:val="000000"/>
                <w:sz w:val="16"/>
                <w:szCs w:val="16"/>
              </w:rPr>
            </w:pPr>
            <w:r>
              <w:rPr>
                <w:color w:val="000000"/>
                <w:sz w:val="16"/>
                <w:szCs w:val="16"/>
              </w:rPr>
              <w:t>0.7560</w:t>
            </w:r>
          </w:p>
        </w:tc>
        <w:tc>
          <w:tcPr>
            <w:tcW w:w="845" w:type="dxa"/>
            <w:vAlign w:val="bottom"/>
          </w:tcPr>
          <w:p w:rsidR="005F6480" w:rsidRDefault="005F6480">
            <w:pPr>
              <w:jc w:val="right"/>
              <w:rPr>
                <w:color w:val="000000"/>
                <w:sz w:val="16"/>
                <w:szCs w:val="16"/>
              </w:rPr>
            </w:pPr>
            <w:r>
              <w:rPr>
                <w:color w:val="000000"/>
                <w:sz w:val="16"/>
                <w:szCs w:val="16"/>
              </w:rPr>
              <w:t>-0.1725</w:t>
            </w:r>
          </w:p>
        </w:tc>
        <w:tc>
          <w:tcPr>
            <w:tcW w:w="896" w:type="dxa"/>
            <w:vAlign w:val="center"/>
          </w:tcPr>
          <w:p w:rsidR="005F6480" w:rsidRPr="005F6480" w:rsidRDefault="005F6480" w:rsidP="005F6480">
            <w:pPr>
              <w:rPr>
                <w:color w:val="000000"/>
                <w:sz w:val="16"/>
                <w:szCs w:val="16"/>
              </w:rPr>
            </w:pPr>
            <w:r>
              <w:rPr>
                <w:color w:val="000000"/>
                <w:sz w:val="16"/>
                <w:szCs w:val="16"/>
              </w:rPr>
              <w:t>0.0278</w:t>
            </w:r>
            <w:r w:rsidRPr="005F6480">
              <w:rPr>
                <w:color w:val="000000"/>
                <w:sz w:val="16"/>
                <w:szCs w:val="16"/>
                <w:vertAlign w:val="superscript"/>
              </w:rPr>
              <w:t>**</w:t>
            </w:r>
          </w:p>
        </w:tc>
        <w:tc>
          <w:tcPr>
            <w:tcW w:w="783" w:type="dxa"/>
            <w:vAlign w:val="bottom"/>
          </w:tcPr>
          <w:p w:rsidR="005F6480" w:rsidRDefault="005F6480">
            <w:pPr>
              <w:jc w:val="right"/>
              <w:rPr>
                <w:color w:val="000000"/>
                <w:sz w:val="16"/>
                <w:szCs w:val="16"/>
              </w:rPr>
            </w:pPr>
            <w:r>
              <w:rPr>
                <w:color w:val="000000"/>
                <w:sz w:val="16"/>
                <w:szCs w:val="16"/>
              </w:rPr>
              <w:t>0.0813</w:t>
            </w:r>
          </w:p>
        </w:tc>
        <w:tc>
          <w:tcPr>
            <w:tcW w:w="896" w:type="dxa"/>
            <w:vAlign w:val="center"/>
          </w:tcPr>
          <w:p w:rsidR="005F6480" w:rsidRPr="00395DB2" w:rsidRDefault="005F6480" w:rsidP="00395DB2">
            <w:pPr>
              <w:rPr>
                <w:color w:val="000000"/>
                <w:sz w:val="16"/>
                <w:szCs w:val="16"/>
              </w:rPr>
            </w:pPr>
            <w:r>
              <w:rPr>
                <w:color w:val="000000"/>
                <w:sz w:val="16"/>
                <w:szCs w:val="16"/>
              </w:rPr>
              <w:t>0.1517</w:t>
            </w:r>
          </w:p>
        </w:tc>
        <w:tc>
          <w:tcPr>
            <w:tcW w:w="813" w:type="dxa"/>
            <w:vAlign w:val="bottom"/>
          </w:tcPr>
          <w:p w:rsidR="005F6480" w:rsidRDefault="005F6480">
            <w:pPr>
              <w:jc w:val="right"/>
              <w:rPr>
                <w:color w:val="000000"/>
                <w:sz w:val="16"/>
                <w:szCs w:val="16"/>
              </w:rPr>
            </w:pPr>
            <w:r>
              <w:rPr>
                <w:color w:val="000000"/>
                <w:sz w:val="16"/>
                <w:szCs w:val="16"/>
              </w:rPr>
              <w:t>0.1739</w:t>
            </w:r>
          </w:p>
        </w:tc>
        <w:tc>
          <w:tcPr>
            <w:tcW w:w="867" w:type="dxa"/>
          </w:tcPr>
          <w:p w:rsidR="005F6480" w:rsidRPr="00A546EA" w:rsidRDefault="005F6480" w:rsidP="00A546EA">
            <w:pPr>
              <w:rPr>
                <w:color w:val="000000"/>
                <w:sz w:val="16"/>
                <w:szCs w:val="16"/>
              </w:rPr>
            </w:pPr>
            <w:r>
              <w:rPr>
                <w:color w:val="000000"/>
                <w:sz w:val="16"/>
                <w:szCs w:val="16"/>
              </w:rPr>
              <w:t>0.0428</w:t>
            </w:r>
            <w:r w:rsidRPr="00A546EA">
              <w:rPr>
                <w:color w:val="000000"/>
                <w:sz w:val="16"/>
                <w:szCs w:val="16"/>
                <w:vertAlign w:val="superscript"/>
              </w:rPr>
              <w:t>**</w:t>
            </w:r>
          </w:p>
        </w:tc>
      </w:tr>
      <w:tr w:rsidR="005F6480" w:rsidRPr="00C15F52" w:rsidTr="00B055BB">
        <w:trPr>
          <w:trHeight w:val="20"/>
          <w:jc w:val="center"/>
        </w:trPr>
        <w:tc>
          <w:tcPr>
            <w:tcW w:w="1579" w:type="dxa"/>
            <w:noWrap/>
            <w:vAlign w:val="bottom"/>
          </w:tcPr>
          <w:p w:rsidR="005F6480" w:rsidRPr="00C15F52" w:rsidRDefault="005F6480" w:rsidP="00F73526">
            <w:pPr>
              <w:rPr>
                <w:rFonts w:cs="Times New Roman"/>
                <w:color w:val="000000"/>
                <w:sz w:val="16"/>
                <w:szCs w:val="16"/>
                <w:lang w:eastAsia="en-GB"/>
              </w:rPr>
            </w:pPr>
            <w:r>
              <w:rPr>
                <w:rFonts w:cs="Times New Roman"/>
                <w:color w:val="000000"/>
                <w:sz w:val="16"/>
                <w:szCs w:val="16"/>
                <w:lang w:eastAsia="en-GB"/>
              </w:rPr>
              <w:t>Durbin-Watson  Sta.</w:t>
            </w:r>
          </w:p>
        </w:tc>
        <w:tc>
          <w:tcPr>
            <w:tcW w:w="1664" w:type="dxa"/>
            <w:gridSpan w:val="2"/>
            <w:vAlign w:val="center"/>
          </w:tcPr>
          <w:p w:rsidR="005F6480" w:rsidRPr="004D18E9" w:rsidRDefault="005F6480" w:rsidP="00FC1C5C">
            <w:pPr>
              <w:jc w:val="center"/>
              <w:rPr>
                <w:color w:val="000000"/>
                <w:sz w:val="16"/>
                <w:szCs w:val="16"/>
              </w:rPr>
            </w:pPr>
            <w:r>
              <w:rPr>
                <w:color w:val="000000"/>
                <w:sz w:val="16"/>
                <w:szCs w:val="16"/>
              </w:rPr>
              <w:t>2.0147</w:t>
            </w:r>
          </w:p>
        </w:tc>
        <w:tc>
          <w:tcPr>
            <w:tcW w:w="1885" w:type="dxa"/>
            <w:gridSpan w:val="2"/>
            <w:noWrap/>
            <w:vAlign w:val="center"/>
          </w:tcPr>
          <w:p w:rsidR="005F6480" w:rsidRPr="00E20E99" w:rsidRDefault="005F6480" w:rsidP="00E20E99">
            <w:pPr>
              <w:jc w:val="center"/>
              <w:rPr>
                <w:color w:val="000000"/>
                <w:sz w:val="16"/>
                <w:szCs w:val="16"/>
              </w:rPr>
            </w:pPr>
            <w:r>
              <w:rPr>
                <w:color w:val="000000"/>
                <w:sz w:val="16"/>
                <w:szCs w:val="16"/>
              </w:rPr>
              <w:t>2.0147</w:t>
            </w:r>
          </w:p>
        </w:tc>
        <w:tc>
          <w:tcPr>
            <w:tcW w:w="1794" w:type="dxa"/>
            <w:gridSpan w:val="2"/>
            <w:noWrap/>
            <w:vAlign w:val="center"/>
          </w:tcPr>
          <w:p w:rsidR="005F6480" w:rsidRPr="00FC1C5C" w:rsidRDefault="005F6480" w:rsidP="00FC1C5C">
            <w:pPr>
              <w:jc w:val="center"/>
              <w:rPr>
                <w:color w:val="000000"/>
                <w:sz w:val="16"/>
                <w:szCs w:val="16"/>
              </w:rPr>
            </w:pPr>
            <w:r>
              <w:rPr>
                <w:color w:val="000000"/>
                <w:sz w:val="16"/>
                <w:szCs w:val="16"/>
              </w:rPr>
              <w:t>2.0154</w:t>
            </w:r>
          </w:p>
        </w:tc>
        <w:tc>
          <w:tcPr>
            <w:tcW w:w="1713" w:type="dxa"/>
            <w:gridSpan w:val="2"/>
            <w:noWrap/>
            <w:vAlign w:val="center"/>
          </w:tcPr>
          <w:p w:rsidR="005F6480" w:rsidRPr="00B877DC" w:rsidRDefault="005F6480" w:rsidP="00B877DC">
            <w:pPr>
              <w:jc w:val="center"/>
              <w:rPr>
                <w:color w:val="000000"/>
                <w:sz w:val="16"/>
                <w:szCs w:val="16"/>
              </w:rPr>
            </w:pPr>
            <w:r>
              <w:rPr>
                <w:color w:val="000000"/>
                <w:sz w:val="16"/>
                <w:szCs w:val="16"/>
              </w:rPr>
              <w:t>2.0085</w:t>
            </w:r>
          </w:p>
        </w:tc>
        <w:tc>
          <w:tcPr>
            <w:tcW w:w="1741" w:type="dxa"/>
            <w:gridSpan w:val="2"/>
            <w:tcBorders>
              <w:left w:val="nil"/>
            </w:tcBorders>
            <w:vAlign w:val="center"/>
          </w:tcPr>
          <w:p w:rsidR="005F6480" w:rsidRPr="005F6480" w:rsidRDefault="005F6480" w:rsidP="005F6480">
            <w:pPr>
              <w:jc w:val="center"/>
              <w:rPr>
                <w:color w:val="000000"/>
                <w:sz w:val="16"/>
                <w:szCs w:val="16"/>
              </w:rPr>
            </w:pPr>
            <w:r>
              <w:rPr>
                <w:color w:val="000000"/>
                <w:sz w:val="16"/>
                <w:szCs w:val="16"/>
              </w:rPr>
              <w:t>1.9998</w:t>
            </w:r>
          </w:p>
        </w:tc>
        <w:tc>
          <w:tcPr>
            <w:tcW w:w="1679" w:type="dxa"/>
            <w:gridSpan w:val="2"/>
            <w:tcBorders>
              <w:left w:val="nil"/>
            </w:tcBorders>
            <w:vAlign w:val="center"/>
          </w:tcPr>
          <w:p w:rsidR="005F6480" w:rsidRPr="00395DB2" w:rsidRDefault="005F6480" w:rsidP="00395DB2">
            <w:pPr>
              <w:jc w:val="center"/>
              <w:rPr>
                <w:rFonts w:cs="Times New Roman"/>
                <w:color w:val="000000"/>
                <w:sz w:val="16"/>
                <w:szCs w:val="16"/>
              </w:rPr>
            </w:pPr>
            <w:r w:rsidRPr="00395DB2">
              <w:rPr>
                <w:rFonts w:cs="Times New Roman"/>
                <w:color w:val="000000"/>
                <w:sz w:val="16"/>
                <w:szCs w:val="16"/>
              </w:rPr>
              <w:t>2.0047</w:t>
            </w:r>
          </w:p>
        </w:tc>
        <w:tc>
          <w:tcPr>
            <w:tcW w:w="1680" w:type="dxa"/>
            <w:gridSpan w:val="2"/>
            <w:tcBorders>
              <w:left w:val="nil"/>
            </w:tcBorders>
            <w:vAlign w:val="center"/>
          </w:tcPr>
          <w:p w:rsidR="005F6480" w:rsidRPr="00A546EA" w:rsidRDefault="005F6480" w:rsidP="00A546EA">
            <w:pPr>
              <w:jc w:val="center"/>
              <w:rPr>
                <w:color w:val="000000"/>
                <w:sz w:val="16"/>
                <w:szCs w:val="16"/>
              </w:rPr>
            </w:pPr>
            <w:r>
              <w:rPr>
                <w:color w:val="000000"/>
                <w:sz w:val="16"/>
                <w:szCs w:val="16"/>
              </w:rPr>
              <w:t>2.0166</w:t>
            </w:r>
          </w:p>
        </w:tc>
      </w:tr>
      <w:tr w:rsidR="005F6480" w:rsidRPr="00C15F52" w:rsidTr="00B055BB">
        <w:trPr>
          <w:trHeight w:val="20"/>
          <w:jc w:val="center"/>
        </w:trPr>
        <w:tc>
          <w:tcPr>
            <w:tcW w:w="1579" w:type="dxa"/>
            <w:noWrap/>
            <w:vAlign w:val="bottom"/>
          </w:tcPr>
          <w:p w:rsidR="005F6480" w:rsidRPr="00C15F52" w:rsidRDefault="005F6480" w:rsidP="00F73526">
            <w:pPr>
              <w:rPr>
                <w:rFonts w:cs="Times New Roman"/>
                <w:color w:val="000000"/>
                <w:sz w:val="16"/>
                <w:szCs w:val="16"/>
                <w:lang w:eastAsia="en-GB"/>
              </w:rPr>
            </w:pPr>
            <w:r>
              <w:rPr>
                <w:rFonts w:cs="Times New Roman"/>
                <w:i/>
                <w:iCs/>
                <w:color w:val="000000"/>
                <w:sz w:val="16"/>
                <w:szCs w:val="16"/>
                <w:lang w:eastAsia="en-GB"/>
              </w:rPr>
              <w:t>F</w:t>
            </w:r>
            <w:r>
              <w:rPr>
                <w:rFonts w:cs="Times New Roman"/>
                <w:color w:val="000000"/>
                <w:sz w:val="16"/>
                <w:szCs w:val="16"/>
                <w:lang w:eastAsia="en-GB"/>
              </w:rPr>
              <w:t>- value</w:t>
            </w:r>
          </w:p>
        </w:tc>
        <w:tc>
          <w:tcPr>
            <w:tcW w:w="1664" w:type="dxa"/>
            <w:gridSpan w:val="2"/>
            <w:vAlign w:val="center"/>
          </w:tcPr>
          <w:p w:rsidR="005F6480" w:rsidRPr="004D18E9" w:rsidRDefault="005F6480" w:rsidP="00FC1C5C">
            <w:pPr>
              <w:jc w:val="center"/>
              <w:rPr>
                <w:color w:val="000000"/>
                <w:sz w:val="16"/>
                <w:szCs w:val="16"/>
              </w:rPr>
            </w:pPr>
            <w:r>
              <w:rPr>
                <w:color w:val="000000"/>
                <w:sz w:val="16"/>
                <w:szCs w:val="16"/>
              </w:rPr>
              <w:t xml:space="preserve">    8.9868</w:t>
            </w:r>
            <w:r w:rsidRPr="004D18E9">
              <w:rPr>
                <w:color w:val="000000"/>
                <w:sz w:val="16"/>
                <w:szCs w:val="16"/>
                <w:vertAlign w:val="superscript"/>
              </w:rPr>
              <w:t>***</w:t>
            </w:r>
          </w:p>
        </w:tc>
        <w:tc>
          <w:tcPr>
            <w:tcW w:w="1885" w:type="dxa"/>
            <w:gridSpan w:val="2"/>
            <w:noWrap/>
            <w:vAlign w:val="center"/>
          </w:tcPr>
          <w:p w:rsidR="005F6480" w:rsidRPr="00E20E99" w:rsidRDefault="005F6480" w:rsidP="00E20E99">
            <w:pPr>
              <w:jc w:val="center"/>
              <w:rPr>
                <w:color w:val="000000"/>
                <w:sz w:val="16"/>
                <w:szCs w:val="16"/>
              </w:rPr>
            </w:pPr>
            <w:r>
              <w:rPr>
                <w:color w:val="000000"/>
                <w:sz w:val="16"/>
                <w:szCs w:val="16"/>
              </w:rPr>
              <w:t xml:space="preserve">    9.0380</w:t>
            </w:r>
            <w:r w:rsidRPr="00E20E99">
              <w:rPr>
                <w:color w:val="000000"/>
                <w:sz w:val="16"/>
                <w:szCs w:val="16"/>
                <w:vertAlign w:val="superscript"/>
              </w:rPr>
              <w:t>***</w:t>
            </w:r>
          </w:p>
        </w:tc>
        <w:tc>
          <w:tcPr>
            <w:tcW w:w="1794" w:type="dxa"/>
            <w:gridSpan w:val="2"/>
            <w:noWrap/>
            <w:vAlign w:val="center"/>
          </w:tcPr>
          <w:p w:rsidR="005F6480" w:rsidRPr="00FC1C5C" w:rsidRDefault="005F6480" w:rsidP="00FC1C5C">
            <w:pPr>
              <w:jc w:val="center"/>
              <w:rPr>
                <w:color w:val="000000"/>
                <w:sz w:val="16"/>
                <w:szCs w:val="16"/>
              </w:rPr>
            </w:pPr>
            <w:r>
              <w:rPr>
                <w:color w:val="000000"/>
                <w:sz w:val="16"/>
                <w:szCs w:val="16"/>
              </w:rPr>
              <w:t xml:space="preserve">    5.3106</w:t>
            </w:r>
            <w:r w:rsidRPr="00FC1C5C">
              <w:rPr>
                <w:color w:val="000000"/>
                <w:sz w:val="16"/>
                <w:szCs w:val="16"/>
                <w:vertAlign w:val="superscript"/>
              </w:rPr>
              <w:t>***</w:t>
            </w:r>
          </w:p>
        </w:tc>
        <w:tc>
          <w:tcPr>
            <w:tcW w:w="1713" w:type="dxa"/>
            <w:gridSpan w:val="2"/>
            <w:noWrap/>
            <w:vAlign w:val="center"/>
          </w:tcPr>
          <w:p w:rsidR="005F6480" w:rsidRPr="00B877DC" w:rsidRDefault="005F6480" w:rsidP="00B877DC">
            <w:pPr>
              <w:jc w:val="center"/>
              <w:rPr>
                <w:color w:val="000000"/>
                <w:sz w:val="16"/>
                <w:szCs w:val="16"/>
              </w:rPr>
            </w:pPr>
            <w:r>
              <w:rPr>
                <w:color w:val="000000"/>
                <w:sz w:val="16"/>
                <w:szCs w:val="16"/>
              </w:rPr>
              <w:t xml:space="preserve">   6.0874</w:t>
            </w:r>
            <w:r w:rsidRPr="00B877DC">
              <w:rPr>
                <w:color w:val="000000"/>
                <w:sz w:val="16"/>
                <w:szCs w:val="16"/>
                <w:vertAlign w:val="superscript"/>
              </w:rPr>
              <w:t>***</w:t>
            </w:r>
          </w:p>
        </w:tc>
        <w:tc>
          <w:tcPr>
            <w:tcW w:w="1741" w:type="dxa"/>
            <w:gridSpan w:val="2"/>
            <w:tcBorders>
              <w:left w:val="nil"/>
            </w:tcBorders>
            <w:vAlign w:val="center"/>
          </w:tcPr>
          <w:p w:rsidR="005F6480" w:rsidRPr="005F6480" w:rsidRDefault="005F6480" w:rsidP="005F6480">
            <w:pPr>
              <w:jc w:val="center"/>
              <w:rPr>
                <w:color w:val="000000"/>
                <w:sz w:val="16"/>
                <w:szCs w:val="16"/>
              </w:rPr>
            </w:pPr>
            <w:r>
              <w:rPr>
                <w:color w:val="000000"/>
                <w:sz w:val="16"/>
                <w:szCs w:val="16"/>
              </w:rPr>
              <w:t xml:space="preserve">    1.7459</w:t>
            </w:r>
            <w:r w:rsidRPr="005F6480">
              <w:rPr>
                <w:color w:val="000000"/>
                <w:sz w:val="16"/>
                <w:szCs w:val="16"/>
                <w:vertAlign w:val="superscript"/>
              </w:rPr>
              <w:t>**</w:t>
            </w:r>
          </w:p>
        </w:tc>
        <w:tc>
          <w:tcPr>
            <w:tcW w:w="1679" w:type="dxa"/>
            <w:gridSpan w:val="2"/>
            <w:tcBorders>
              <w:left w:val="nil"/>
            </w:tcBorders>
            <w:vAlign w:val="center"/>
          </w:tcPr>
          <w:p w:rsidR="005F6480" w:rsidRPr="00395DB2" w:rsidRDefault="005F6480" w:rsidP="00395DB2">
            <w:pPr>
              <w:jc w:val="center"/>
              <w:rPr>
                <w:rFonts w:ascii="Calibri" w:hAnsi="Calibri" w:cs="Calibri"/>
                <w:color w:val="000000"/>
                <w:sz w:val="16"/>
                <w:szCs w:val="16"/>
              </w:rPr>
            </w:pPr>
            <w:r>
              <w:rPr>
                <w:rFonts w:ascii="Calibri" w:hAnsi="Calibri" w:cs="Calibri"/>
                <w:color w:val="000000"/>
                <w:sz w:val="16"/>
                <w:szCs w:val="16"/>
              </w:rPr>
              <w:t xml:space="preserve">   8.3125</w:t>
            </w:r>
            <w:r w:rsidRPr="00395DB2">
              <w:rPr>
                <w:rFonts w:ascii="Calibri" w:hAnsi="Calibri" w:cs="Calibri"/>
                <w:color w:val="000000"/>
                <w:sz w:val="16"/>
                <w:szCs w:val="16"/>
                <w:vertAlign w:val="superscript"/>
              </w:rPr>
              <w:t>***</w:t>
            </w:r>
          </w:p>
        </w:tc>
        <w:tc>
          <w:tcPr>
            <w:tcW w:w="1680" w:type="dxa"/>
            <w:gridSpan w:val="2"/>
            <w:tcBorders>
              <w:left w:val="nil"/>
            </w:tcBorders>
          </w:tcPr>
          <w:p w:rsidR="005F6480" w:rsidRPr="00A546EA" w:rsidRDefault="005F6480" w:rsidP="00A546EA">
            <w:pPr>
              <w:jc w:val="center"/>
              <w:rPr>
                <w:color w:val="000000"/>
                <w:sz w:val="16"/>
                <w:szCs w:val="16"/>
              </w:rPr>
            </w:pPr>
            <w:r>
              <w:rPr>
                <w:color w:val="000000"/>
                <w:sz w:val="16"/>
                <w:szCs w:val="16"/>
              </w:rPr>
              <w:t xml:space="preserve">    8.9552</w:t>
            </w:r>
            <w:r w:rsidRPr="00A546EA">
              <w:rPr>
                <w:color w:val="000000"/>
                <w:sz w:val="16"/>
                <w:szCs w:val="16"/>
                <w:vertAlign w:val="superscript"/>
              </w:rPr>
              <w:t>***</w:t>
            </w:r>
          </w:p>
        </w:tc>
      </w:tr>
      <w:tr w:rsidR="005F6480" w:rsidRPr="00C15F52" w:rsidTr="00B055BB">
        <w:trPr>
          <w:trHeight w:val="20"/>
          <w:jc w:val="center"/>
        </w:trPr>
        <w:tc>
          <w:tcPr>
            <w:tcW w:w="1579" w:type="dxa"/>
            <w:noWrap/>
            <w:vAlign w:val="bottom"/>
          </w:tcPr>
          <w:p w:rsidR="005F6480" w:rsidRPr="00C15F52" w:rsidRDefault="005F6480" w:rsidP="00F73526">
            <w:pPr>
              <w:rPr>
                <w:rFonts w:cs="Times New Roman"/>
                <w:color w:val="000000"/>
                <w:sz w:val="16"/>
                <w:szCs w:val="16"/>
                <w:lang w:eastAsia="en-GB"/>
              </w:rPr>
            </w:pPr>
            <w:r>
              <w:rPr>
                <w:rFonts w:cs="Times New Roman"/>
                <w:color w:val="000000"/>
                <w:sz w:val="16"/>
                <w:szCs w:val="16"/>
                <w:lang w:eastAsia="en-GB"/>
              </w:rPr>
              <w:t xml:space="preserve">Adjusted </w:t>
            </w:r>
            <w:r>
              <w:rPr>
                <w:rFonts w:cs="Times New Roman"/>
                <w:i/>
                <w:sz w:val="16"/>
                <w:szCs w:val="16"/>
                <w:lang w:eastAsia="en-GB"/>
              </w:rPr>
              <w:t>R</w:t>
            </w:r>
            <w:r>
              <w:rPr>
                <w:rFonts w:cs="Times New Roman"/>
                <w:i/>
                <w:sz w:val="16"/>
                <w:szCs w:val="16"/>
                <w:vertAlign w:val="superscript"/>
                <w:lang w:eastAsia="en-GB"/>
              </w:rPr>
              <w:t>2</w:t>
            </w:r>
          </w:p>
        </w:tc>
        <w:tc>
          <w:tcPr>
            <w:tcW w:w="1664" w:type="dxa"/>
            <w:gridSpan w:val="2"/>
            <w:vAlign w:val="center"/>
          </w:tcPr>
          <w:p w:rsidR="005F6480" w:rsidRPr="004D18E9" w:rsidRDefault="005F6480" w:rsidP="00FC1C5C">
            <w:pPr>
              <w:jc w:val="center"/>
              <w:rPr>
                <w:color w:val="000000"/>
                <w:sz w:val="16"/>
                <w:szCs w:val="16"/>
              </w:rPr>
            </w:pPr>
            <w:r>
              <w:rPr>
                <w:color w:val="000000"/>
                <w:sz w:val="16"/>
                <w:szCs w:val="16"/>
              </w:rPr>
              <w:t>0.1865</w:t>
            </w:r>
          </w:p>
        </w:tc>
        <w:tc>
          <w:tcPr>
            <w:tcW w:w="1885" w:type="dxa"/>
            <w:gridSpan w:val="2"/>
            <w:noWrap/>
            <w:vAlign w:val="center"/>
          </w:tcPr>
          <w:p w:rsidR="005F6480" w:rsidRPr="00FC1C5C" w:rsidRDefault="005F6480" w:rsidP="00FC1C5C">
            <w:pPr>
              <w:jc w:val="center"/>
              <w:rPr>
                <w:color w:val="000000"/>
                <w:sz w:val="16"/>
                <w:szCs w:val="16"/>
              </w:rPr>
            </w:pPr>
            <w:r>
              <w:rPr>
                <w:color w:val="000000"/>
                <w:sz w:val="16"/>
                <w:szCs w:val="16"/>
              </w:rPr>
              <w:t>0.1874</w:t>
            </w:r>
          </w:p>
        </w:tc>
        <w:tc>
          <w:tcPr>
            <w:tcW w:w="1794" w:type="dxa"/>
            <w:gridSpan w:val="2"/>
            <w:noWrap/>
            <w:vAlign w:val="bottom"/>
          </w:tcPr>
          <w:p w:rsidR="005F6480" w:rsidRPr="00FC1C5C" w:rsidRDefault="005F6480" w:rsidP="00FC1C5C">
            <w:pPr>
              <w:jc w:val="center"/>
              <w:rPr>
                <w:color w:val="000000"/>
                <w:sz w:val="16"/>
                <w:szCs w:val="16"/>
              </w:rPr>
            </w:pPr>
            <w:r>
              <w:rPr>
                <w:color w:val="000000"/>
                <w:sz w:val="16"/>
                <w:szCs w:val="16"/>
              </w:rPr>
              <w:t>0.1101</w:t>
            </w:r>
          </w:p>
        </w:tc>
        <w:tc>
          <w:tcPr>
            <w:tcW w:w="1713" w:type="dxa"/>
            <w:gridSpan w:val="2"/>
            <w:noWrap/>
            <w:vAlign w:val="center"/>
          </w:tcPr>
          <w:p w:rsidR="005F6480" w:rsidRPr="00B877DC" w:rsidRDefault="005F6480" w:rsidP="00B877DC">
            <w:pPr>
              <w:jc w:val="center"/>
              <w:rPr>
                <w:color w:val="000000"/>
                <w:sz w:val="16"/>
                <w:szCs w:val="16"/>
              </w:rPr>
            </w:pPr>
            <w:r>
              <w:rPr>
                <w:color w:val="000000"/>
                <w:sz w:val="16"/>
                <w:szCs w:val="16"/>
              </w:rPr>
              <w:t>0.1556</w:t>
            </w:r>
          </w:p>
        </w:tc>
        <w:tc>
          <w:tcPr>
            <w:tcW w:w="1741" w:type="dxa"/>
            <w:gridSpan w:val="2"/>
            <w:vAlign w:val="center"/>
          </w:tcPr>
          <w:p w:rsidR="005F6480" w:rsidRPr="005F6480" w:rsidRDefault="005F6480" w:rsidP="005F6480">
            <w:pPr>
              <w:jc w:val="center"/>
              <w:rPr>
                <w:color w:val="000000"/>
                <w:sz w:val="16"/>
                <w:szCs w:val="16"/>
              </w:rPr>
            </w:pPr>
            <w:r>
              <w:rPr>
                <w:color w:val="000000"/>
                <w:sz w:val="16"/>
                <w:szCs w:val="16"/>
              </w:rPr>
              <w:t>0.0869</w:t>
            </w:r>
          </w:p>
        </w:tc>
        <w:tc>
          <w:tcPr>
            <w:tcW w:w="1679" w:type="dxa"/>
            <w:gridSpan w:val="2"/>
            <w:vAlign w:val="center"/>
          </w:tcPr>
          <w:p w:rsidR="005F6480" w:rsidRPr="00395DB2" w:rsidRDefault="005F6480" w:rsidP="00395DB2">
            <w:pPr>
              <w:jc w:val="center"/>
              <w:rPr>
                <w:color w:val="000000"/>
                <w:sz w:val="16"/>
                <w:szCs w:val="16"/>
              </w:rPr>
            </w:pPr>
            <w:r>
              <w:rPr>
                <w:color w:val="000000"/>
                <w:sz w:val="16"/>
                <w:szCs w:val="16"/>
              </w:rPr>
              <w:t>0.1910</w:t>
            </w:r>
          </w:p>
        </w:tc>
        <w:tc>
          <w:tcPr>
            <w:tcW w:w="1680" w:type="dxa"/>
            <w:gridSpan w:val="2"/>
          </w:tcPr>
          <w:p w:rsidR="005F6480" w:rsidRPr="00A546EA" w:rsidRDefault="005F6480" w:rsidP="00A546EA">
            <w:pPr>
              <w:jc w:val="center"/>
              <w:rPr>
                <w:color w:val="000000"/>
                <w:sz w:val="16"/>
                <w:szCs w:val="16"/>
              </w:rPr>
            </w:pPr>
            <w:r>
              <w:rPr>
                <w:color w:val="000000"/>
                <w:sz w:val="16"/>
                <w:szCs w:val="16"/>
              </w:rPr>
              <w:t>0.1859</w:t>
            </w:r>
          </w:p>
        </w:tc>
      </w:tr>
      <w:tr w:rsidR="005F6480" w:rsidRPr="00C15F52" w:rsidTr="00B055BB">
        <w:trPr>
          <w:trHeight w:val="20"/>
          <w:jc w:val="center"/>
        </w:trPr>
        <w:tc>
          <w:tcPr>
            <w:tcW w:w="1579" w:type="dxa"/>
            <w:tcBorders>
              <w:bottom w:val="single" w:sz="12" w:space="0" w:color="auto"/>
            </w:tcBorders>
            <w:noWrap/>
            <w:vAlign w:val="bottom"/>
          </w:tcPr>
          <w:p w:rsidR="005F6480" w:rsidRPr="00C15F52" w:rsidRDefault="005F6480" w:rsidP="00F73526">
            <w:pPr>
              <w:rPr>
                <w:rFonts w:cs="Times New Roman"/>
                <w:color w:val="000000"/>
                <w:sz w:val="16"/>
                <w:szCs w:val="16"/>
                <w:lang w:eastAsia="en-GB"/>
              </w:rPr>
            </w:pPr>
            <w:r>
              <w:rPr>
                <w:rFonts w:cs="Times New Roman"/>
                <w:color w:val="000000"/>
                <w:sz w:val="16"/>
                <w:szCs w:val="16"/>
                <w:lang w:eastAsia="en-GB"/>
              </w:rPr>
              <w:t>No. of observations</w:t>
            </w:r>
          </w:p>
        </w:tc>
        <w:tc>
          <w:tcPr>
            <w:tcW w:w="1664" w:type="dxa"/>
            <w:gridSpan w:val="2"/>
            <w:tcBorders>
              <w:bottom w:val="single" w:sz="12" w:space="0" w:color="auto"/>
            </w:tcBorders>
          </w:tcPr>
          <w:p w:rsidR="005F6480" w:rsidRPr="00C15F52" w:rsidRDefault="005F6480" w:rsidP="00FD3F29">
            <w:pPr>
              <w:jc w:val="center"/>
              <w:rPr>
                <w:rFonts w:cs="Times New Roman"/>
                <w:color w:val="000000"/>
                <w:sz w:val="16"/>
                <w:szCs w:val="16"/>
                <w:lang w:eastAsia="en-GB"/>
              </w:rPr>
            </w:pPr>
            <w:r>
              <w:rPr>
                <w:rFonts w:cs="Times New Roman"/>
                <w:color w:val="000000"/>
                <w:sz w:val="16"/>
                <w:szCs w:val="16"/>
                <w:lang w:eastAsia="en-GB"/>
              </w:rPr>
              <w:t>1152</w:t>
            </w:r>
          </w:p>
        </w:tc>
        <w:tc>
          <w:tcPr>
            <w:tcW w:w="1885" w:type="dxa"/>
            <w:gridSpan w:val="2"/>
            <w:tcBorders>
              <w:bottom w:val="single" w:sz="12" w:space="0" w:color="auto"/>
            </w:tcBorders>
            <w:noWrap/>
            <w:vAlign w:val="center"/>
          </w:tcPr>
          <w:p w:rsidR="005F6480" w:rsidRPr="00C15F52" w:rsidRDefault="005F6480" w:rsidP="00FD3F29">
            <w:pPr>
              <w:jc w:val="center"/>
              <w:rPr>
                <w:rFonts w:cs="Times New Roman"/>
                <w:color w:val="000000"/>
                <w:sz w:val="16"/>
                <w:szCs w:val="16"/>
                <w:lang w:eastAsia="en-GB"/>
              </w:rPr>
            </w:pPr>
            <w:r>
              <w:rPr>
                <w:rFonts w:cs="Times New Roman"/>
                <w:color w:val="000000"/>
                <w:sz w:val="16"/>
                <w:szCs w:val="16"/>
                <w:lang w:eastAsia="en-GB"/>
              </w:rPr>
              <w:t>1152</w:t>
            </w:r>
          </w:p>
        </w:tc>
        <w:tc>
          <w:tcPr>
            <w:tcW w:w="1794" w:type="dxa"/>
            <w:gridSpan w:val="2"/>
            <w:tcBorders>
              <w:bottom w:val="single" w:sz="12" w:space="0" w:color="auto"/>
            </w:tcBorders>
            <w:noWrap/>
            <w:vAlign w:val="center"/>
          </w:tcPr>
          <w:p w:rsidR="005F6480" w:rsidRPr="00C15F52" w:rsidRDefault="005F6480" w:rsidP="00FD3F29">
            <w:pPr>
              <w:jc w:val="center"/>
              <w:rPr>
                <w:rFonts w:cs="Times New Roman"/>
                <w:color w:val="000000"/>
                <w:sz w:val="16"/>
                <w:szCs w:val="16"/>
                <w:lang w:eastAsia="en-GB"/>
              </w:rPr>
            </w:pPr>
            <w:r>
              <w:rPr>
                <w:rFonts w:cs="Times New Roman"/>
                <w:color w:val="000000"/>
                <w:sz w:val="16"/>
                <w:szCs w:val="16"/>
                <w:lang w:eastAsia="en-GB"/>
              </w:rPr>
              <w:t>1152</w:t>
            </w:r>
          </w:p>
        </w:tc>
        <w:tc>
          <w:tcPr>
            <w:tcW w:w="1713" w:type="dxa"/>
            <w:gridSpan w:val="2"/>
            <w:tcBorders>
              <w:bottom w:val="single" w:sz="12" w:space="0" w:color="auto"/>
            </w:tcBorders>
            <w:noWrap/>
            <w:vAlign w:val="center"/>
          </w:tcPr>
          <w:p w:rsidR="005F6480" w:rsidRPr="00C15F52" w:rsidRDefault="005F6480" w:rsidP="00FD3F29">
            <w:pPr>
              <w:jc w:val="center"/>
              <w:rPr>
                <w:rFonts w:cs="Times New Roman"/>
                <w:color w:val="000000"/>
                <w:sz w:val="16"/>
                <w:szCs w:val="16"/>
                <w:lang w:eastAsia="en-GB"/>
              </w:rPr>
            </w:pPr>
            <w:r>
              <w:rPr>
                <w:rFonts w:cs="Times New Roman"/>
                <w:color w:val="000000"/>
                <w:sz w:val="16"/>
                <w:szCs w:val="16"/>
                <w:lang w:eastAsia="en-GB"/>
              </w:rPr>
              <w:t>859</w:t>
            </w:r>
          </w:p>
        </w:tc>
        <w:tc>
          <w:tcPr>
            <w:tcW w:w="1741" w:type="dxa"/>
            <w:gridSpan w:val="2"/>
            <w:tcBorders>
              <w:bottom w:val="single" w:sz="12" w:space="0" w:color="auto"/>
            </w:tcBorders>
            <w:vAlign w:val="center"/>
          </w:tcPr>
          <w:p w:rsidR="005F6480" w:rsidRPr="00C15F52" w:rsidRDefault="005F6480" w:rsidP="00FD3F29">
            <w:pPr>
              <w:jc w:val="center"/>
              <w:rPr>
                <w:rFonts w:cs="Times New Roman"/>
                <w:color w:val="000000"/>
                <w:sz w:val="16"/>
                <w:szCs w:val="16"/>
                <w:lang w:eastAsia="en-GB"/>
              </w:rPr>
            </w:pPr>
            <w:r>
              <w:rPr>
                <w:rFonts w:cs="Times New Roman"/>
                <w:color w:val="000000"/>
                <w:sz w:val="16"/>
                <w:szCs w:val="16"/>
                <w:lang w:eastAsia="en-GB"/>
              </w:rPr>
              <w:t>190</w:t>
            </w:r>
          </w:p>
        </w:tc>
        <w:tc>
          <w:tcPr>
            <w:tcW w:w="1679" w:type="dxa"/>
            <w:gridSpan w:val="2"/>
            <w:tcBorders>
              <w:bottom w:val="single" w:sz="12" w:space="0" w:color="auto"/>
            </w:tcBorders>
            <w:vAlign w:val="center"/>
          </w:tcPr>
          <w:p w:rsidR="005F6480" w:rsidRPr="00C15F52" w:rsidRDefault="005F6480" w:rsidP="00FD3F29">
            <w:pPr>
              <w:jc w:val="center"/>
              <w:rPr>
                <w:rFonts w:cs="Times New Roman"/>
                <w:color w:val="000000"/>
                <w:sz w:val="16"/>
                <w:szCs w:val="16"/>
                <w:lang w:eastAsia="en-GB"/>
              </w:rPr>
            </w:pPr>
            <w:r>
              <w:rPr>
                <w:rFonts w:cs="Times New Roman"/>
                <w:color w:val="000000"/>
                <w:sz w:val="16"/>
                <w:szCs w:val="16"/>
                <w:lang w:eastAsia="en-GB"/>
              </w:rPr>
              <w:t>962</w:t>
            </w:r>
          </w:p>
        </w:tc>
        <w:tc>
          <w:tcPr>
            <w:tcW w:w="1680" w:type="dxa"/>
            <w:gridSpan w:val="2"/>
            <w:tcBorders>
              <w:bottom w:val="single" w:sz="12" w:space="0" w:color="auto"/>
            </w:tcBorders>
          </w:tcPr>
          <w:p w:rsidR="005F6480" w:rsidRPr="00C15F52" w:rsidRDefault="005F6480" w:rsidP="00FD3F29">
            <w:pPr>
              <w:jc w:val="center"/>
              <w:rPr>
                <w:rFonts w:cs="Times New Roman"/>
                <w:color w:val="000000"/>
                <w:sz w:val="16"/>
                <w:szCs w:val="16"/>
                <w:lang w:eastAsia="en-GB"/>
              </w:rPr>
            </w:pPr>
            <w:r>
              <w:rPr>
                <w:rFonts w:cs="Times New Roman"/>
                <w:color w:val="000000"/>
                <w:sz w:val="16"/>
                <w:szCs w:val="16"/>
                <w:lang w:eastAsia="en-GB"/>
              </w:rPr>
              <w:t>1152</w:t>
            </w:r>
          </w:p>
        </w:tc>
      </w:tr>
      <w:tr w:rsidR="005F6480" w:rsidRPr="00C15F52" w:rsidTr="00B055BB">
        <w:trPr>
          <w:trHeight w:val="20"/>
          <w:jc w:val="center"/>
        </w:trPr>
        <w:tc>
          <w:tcPr>
            <w:tcW w:w="13735" w:type="dxa"/>
            <w:gridSpan w:val="15"/>
            <w:tcBorders>
              <w:bottom w:val="nil"/>
            </w:tcBorders>
          </w:tcPr>
          <w:p w:rsidR="005F6480" w:rsidRPr="00C15F52" w:rsidRDefault="00112DBD" w:rsidP="00CE4BC6">
            <w:pPr>
              <w:jc w:val="both"/>
              <w:rPr>
                <w:rFonts w:cs="Times New Roman"/>
                <w:i/>
                <w:iCs/>
                <w:sz w:val="16"/>
                <w:szCs w:val="16"/>
              </w:rPr>
            </w:pPr>
            <w:r>
              <w:rPr>
                <w:rFonts w:cs="Times New Roman"/>
                <w:i/>
                <w:iCs/>
                <w:sz w:val="16"/>
                <w:szCs w:val="16"/>
              </w:rPr>
              <w:t>Notes</w:t>
            </w:r>
            <w:r>
              <w:rPr>
                <w:rFonts w:cs="Times New Roman"/>
                <w:sz w:val="16"/>
                <w:szCs w:val="16"/>
              </w:rPr>
              <w:t xml:space="preserve">: </w:t>
            </w:r>
            <w:r w:rsidRPr="005A79E1">
              <w:rPr>
                <w:rFonts w:eastAsiaTheme="minorEastAsia" w:cs="Times New Roman"/>
                <w:i/>
                <w:sz w:val="16"/>
                <w:szCs w:val="16"/>
              </w:rPr>
              <w:t>OCGI</w:t>
            </w:r>
            <w:r>
              <w:rPr>
                <w:rFonts w:eastAsiaTheme="minorEastAsia" w:cs="Times New Roman"/>
                <w:sz w:val="16"/>
                <w:szCs w:val="16"/>
              </w:rPr>
              <w:t xml:space="preserve"> denotes the Omani corporate governance index. </w:t>
            </w:r>
            <w:r>
              <w:rPr>
                <w:rFonts w:eastAsiaTheme="minorEastAsia" w:cs="Times New Roman"/>
                <w:i/>
                <w:iCs/>
                <w:sz w:val="16"/>
                <w:szCs w:val="16"/>
              </w:rPr>
              <w:t>I</w:t>
            </w:r>
            <w:r w:rsidRPr="004B26A1">
              <w:rPr>
                <w:rFonts w:eastAsiaTheme="minorEastAsia" w:cs="Times New Roman"/>
                <w:i/>
                <w:iCs/>
                <w:sz w:val="16"/>
                <w:szCs w:val="16"/>
              </w:rPr>
              <w:t>GC</w:t>
            </w:r>
            <w:r>
              <w:rPr>
                <w:rFonts w:eastAsiaTheme="minorEastAsia" w:cs="Times New Roman"/>
                <w:sz w:val="16"/>
                <w:szCs w:val="16"/>
              </w:rPr>
              <w:t xml:space="preserve">  </w:t>
            </w:r>
            <w:r w:rsidRPr="00536B4C">
              <w:rPr>
                <w:rFonts w:eastAsiaTheme="minorEastAsia" w:cs="Times New Roman"/>
                <w:sz w:val="16"/>
                <w:szCs w:val="16"/>
              </w:rPr>
              <w:t>denotes</w:t>
            </w:r>
            <w:r w:rsidRPr="005C2B3F">
              <w:rPr>
                <w:rFonts w:eastAsiaTheme="minorEastAsia" w:cs="Times New Roman"/>
                <w:i/>
                <w:iCs/>
                <w:sz w:val="16"/>
                <w:szCs w:val="16"/>
              </w:rPr>
              <w:t xml:space="preserve"> </w:t>
            </w:r>
            <w:r>
              <w:rPr>
                <w:rFonts w:eastAsiaTheme="minorEastAsia" w:cs="Times New Roman"/>
                <w:i/>
                <w:iCs/>
                <w:sz w:val="16"/>
                <w:szCs w:val="16"/>
              </w:rPr>
              <w:t xml:space="preserve"> Islamic governance committee</w:t>
            </w:r>
            <w:r>
              <w:rPr>
                <w:rFonts w:eastAsiaTheme="minorEastAsia" w:cs="Times New Roman"/>
                <w:sz w:val="16"/>
                <w:szCs w:val="16"/>
              </w:rPr>
              <w:t xml:space="preserve">, </w:t>
            </w:r>
            <w:r w:rsidRPr="00497D49">
              <w:rPr>
                <w:rFonts w:eastAsiaTheme="minorEastAsia" w:cs="Times New Roman"/>
                <w:i/>
                <w:iCs/>
                <w:sz w:val="16"/>
                <w:szCs w:val="16"/>
              </w:rPr>
              <w:t>BSIZ</w:t>
            </w:r>
            <w:r w:rsidRPr="00536B4C">
              <w:rPr>
                <w:rFonts w:cs="Times New Roman"/>
                <w:sz w:val="16"/>
                <w:szCs w:val="16"/>
              </w:rPr>
              <w:t xml:space="preserve"> </w:t>
            </w:r>
            <w:r w:rsidRPr="00536B4C">
              <w:rPr>
                <w:rFonts w:eastAsiaTheme="minorEastAsia" w:cs="Times New Roman"/>
                <w:sz w:val="16"/>
                <w:szCs w:val="16"/>
              </w:rPr>
              <w:t>denotes</w:t>
            </w:r>
            <w:r w:rsidRPr="00536B4C">
              <w:rPr>
                <w:rFonts w:cs="Times New Roman"/>
                <w:sz w:val="16"/>
                <w:szCs w:val="16"/>
              </w:rPr>
              <w:t xml:space="preserve"> </w:t>
            </w:r>
            <w:r w:rsidRPr="00536B4C">
              <w:rPr>
                <w:rFonts w:eastAsiaTheme="minorEastAsia" w:cs="Times New Roman"/>
                <w:sz w:val="16"/>
                <w:szCs w:val="16"/>
              </w:rPr>
              <w:t xml:space="preserve">board size. </w:t>
            </w:r>
            <w:r w:rsidRPr="00497D49">
              <w:rPr>
                <w:rFonts w:eastAsiaTheme="minorEastAsia" w:cs="Times New Roman"/>
                <w:i/>
                <w:iCs/>
                <w:sz w:val="16"/>
                <w:szCs w:val="16"/>
              </w:rPr>
              <w:t>BIG4</w:t>
            </w:r>
            <w:r w:rsidRPr="00536B4C">
              <w:rPr>
                <w:rFonts w:eastAsiaTheme="minorEastAsia" w:cs="Times New Roman"/>
                <w:sz w:val="16"/>
                <w:szCs w:val="16"/>
              </w:rPr>
              <w:t xml:space="preserve"> denotes audit firm size. </w:t>
            </w:r>
            <w:r w:rsidRPr="004E5B8B">
              <w:rPr>
                <w:rFonts w:cs="Times New Roman"/>
                <w:i/>
                <w:iCs/>
                <w:sz w:val="16"/>
                <w:szCs w:val="16"/>
              </w:rPr>
              <w:t>BLKOWN</w:t>
            </w:r>
            <w:r>
              <w:rPr>
                <w:rFonts w:cs="Times New Roman"/>
                <w:i/>
                <w:iCs/>
                <w:sz w:val="16"/>
                <w:szCs w:val="16"/>
              </w:rPr>
              <w:t xml:space="preserve">, </w:t>
            </w:r>
            <w:r w:rsidRPr="004E5B8B">
              <w:rPr>
                <w:rFonts w:cs="Times New Roman"/>
                <w:i/>
                <w:iCs/>
                <w:sz w:val="16"/>
                <w:szCs w:val="16"/>
              </w:rPr>
              <w:t>GOVOWN, INSOWN</w:t>
            </w:r>
            <w:r>
              <w:rPr>
                <w:rFonts w:cs="Times New Roman"/>
                <w:i/>
                <w:iCs/>
                <w:sz w:val="16"/>
                <w:szCs w:val="16"/>
              </w:rPr>
              <w:t xml:space="preserve"> </w:t>
            </w:r>
            <w:r w:rsidRPr="00B14676">
              <w:rPr>
                <w:rFonts w:cs="Times New Roman"/>
                <w:sz w:val="16"/>
                <w:szCs w:val="16"/>
              </w:rPr>
              <w:t>and</w:t>
            </w:r>
            <w:r w:rsidRPr="004E5B8B">
              <w:rPr>
                <w:rFonts w:cs="Times New Roman"/>
                <w:i/>
                <w:iCs/>
                <w:sz w:val="16"/>
                <w:szCs w:val="16"/>
              </w:rPr>
              <w:t xml:space="preserve"> FOROWN</w:t>
            </w:r>
            <w:r>
              <w:rPr>
                <w:rFonts w:cs="Times New Roman"/>
                <w:i/>
                <w:iCs/>
                <w:sz w:val="16"/>
                <w:szCs w:val="16"/>
              </w:rPr>
              <w:t xml:space="preserve"> </w:t>
            </w:r>
            <w:r w:rsidRPr="00536B4C">
              <w:rPr>
                <w:rFonts w:eastAsiaTheme="minorEastAsia" w:cs="Times New Roman"/>
                <w:sz w:val="16"/>
                <w:szCs w:val="16"/>
              </w:rPr>
              <w:t>represent</w:t>
            </w:r>
            <w:r>
              <w:rPr>
                <w:rFonts w:eastAsiaTheme="minorEastAsia" w:cs="Times New Roman"/>
                <w:sz w:val="16"/>
                <w:szCs w:val="16"/>
              </w:rPr>
              <w:t xml:space="preserve"> </w:t>
            </w:r>
            <w:r w:rsidRPr="00536B4C">
              <w:rPr>
                <w:rFonts w:eastAsiaTheme="minorEastAsia" w:cs="Times New Roman"/>
                <w:sz w:val="16"/>
                <w:szCs w:val="16"/>
              </w:rPr>
              <w:t>block ownership</w:t>
            </w:r>
            <w:r>
              <w:rPr>
                <w:rFonts w:eastAsiaTheme="minorEastAsia" w:cs="Times New Roman"/>
                <w:sz w:val="16"/>
                <w:szCs w:val="16"/>
              </w:rPr>
              <w:t xml:space="preserve">, </w:t>
            </w:r>
            <w:r w:rsidRPr="00536B4C">
              <w:rPr>
                <w:rFonts w:eastAsiaTheme="minorEastAsia" w:cs="Times New Roman"/>
                <w:sz w:val="16"/>
                <w:szCs w:val="16"/>
              </w:rPr>
              <w:t>government ownership</w:t>
            </w:r>
            <w:r>
              <w:rPr>
                <w:rFonts w:eastAsiaTheme="minorEastAsia" w:cs="Times New Roman"/>
                <w:sz w:val="16"/>
                <w:szCs w:val="16"/>
              </w:rPr>
              <w:t>,</w:t>
            </w:r>
            <w:r w:rsidRPr="00536B4C">
              <w:rPr>
                <w:rFonts w:eastAsiaTheme="minorEastAsia" w:cs="Times New Roman"/>
                <w:sz w:val="16"/>
                <w:szCs w:val="16"/>
              </w:rPr>
              <w:t xml:space="preserve"> insti</w:t>
            </w:r>
            <w:r>
              <w:rPr>
                <w:rFonts w:eastAsiaTheme="minorEastAsia" w:cs="Times New Roman"/>
                <w:sz w:val="16"/>
                <w:szCs w:val="16"/>
              </w:rPr>
              <w:t xml:space="preserve">tutional </w:t>
            </w:r>
            <w:r w:rsidRPr="00536B4C">
              <w:rPr>
                <w:rFonts w:eastAsiaTheme="minorEastAsia" w:cs="Times New Roman"/>
                <w:sz w:val="16"/>
                <w:szCs w:val="16"/>
              </w:rPr>
              <w:t>ownership</w:t>
            </w:r>
            <w:r>
              <w:rPr>
                <w:rFonts w:eastAsiaTheme="minorEastAsia" w:cs="Times New Roman"/>
                <w:sz w:val="16"/>
                <w:szCs w:val="16"/>
              </w:rPr>
              <w:t xml:space="preserve"> and</w:t>
            </w:r>
            <w:r w:rsidRPr="00536B4C">
              <w:rPr>
                <w:rFonts w:eastAsiaTheme="minorEastAsia" w:cs="Times New Roman"/>
                <w:sz w:val="16"/>
                <w:szCs w:val="16"/>
              </w:rPr>
              <w:t xml:space="preserve"> foreign</w:t>
            </w:r>
            <w:r>
              <w:rPr>
                <w:rFonts w:eastAsiaTheme="minorEastAsia" w:cs="Times New Roman"/>
                <w:sz w:val="16"/>
                <w:szCs w:val="16"/>
              </w:rPr>
              <w:t xml:space="preserve"> </w:t>
            </w:r>
            <w:r w:rsidRPr="00536B4C">
              <w:rPr>
                <w:rFonts w:eastAsiaTheme="minorEastAsia" w:cs="Times New Roman"/>
                <w:sz w:val="16"/>
                <w:szCs w:val="16"/>
              </w:rPr>
              <w:t>ownership structures</w:t>
            </w:r>
            <w:r>
              <w:rPr>
                <w:rFonts w:eastAsiaTheme="minorEastAsia" w:cs="Times New Roman"/>
                <w:sz w:val="16"/>
                <w:szCs w:val="16"/>
              </w:rPr>
              <w:t>, respectively</w:t>
            </w:r>
            <w:r w:rsidRPr="00536B4C">
              <w:rPr>
                <w:rFonts w:eastAsiaTheme="minorEastAsia" w:cs="Times New Roman"/>
                <w:sz w:val="16"/>
                <w:szCs w:val="16"/>
              </w:rPr>
              <w:t>.</w:t>
            </w:r>
            <w:r>
              <w:rPr>
                <w:rFonts w:eastAsiaTheme="minorEastAsia" w:cs="Times New Roman"/>
                <w:sz w:val="16"/>
                <w:szCs w:val="16"/>
              </w:rPr>
              <w:t xml:space="preserve"> </w:t>
            </w:r>
            <w:r w:rsidRPr="00497D49">
              <w:rPr>
                <w:rFonts w:cs="Times New Roman"/>
                <w:i/>
                <w:iCs/>
                <w:sz w:val="16"/>
                <w:szCs w:val="16"/>
              </w:rPr>
              <w:t>LNTA</w:t>
            </w:r>
            <w:r>
              <w:rPr>
                <w:rFonts w:cs="Times New Roman"/>
                <w:sz w:val="16"/>
                <w:szCs w:val="16"/>
              </w:rPr>
              <w:t xml:space="preserve"> </w:t>
            </w:r>
            <w:r>
              <w:rPr>
                <w:rFonts w:eastAsiaTheme="minorEastAsia" w:cs="Times New Roman"/>
                <w:sz w:val="16"/>
                <w:szCs w:val="16"/>
              </w:rPr>
              <w:t xml:space="preserve">denotes firm size. </w:t>
            </w:r>
            <w:r w:rsidRPr="00497D49">
              <w:rPr>
                <w:rFonts w:cs="Times New Roman"/>
                <w:i/>
                <w:iCs/>
                <w:sz w:val="16"/>
                <w:szCs w:val="16"/>
              </w:rPr>
              <w:t>ROA</w:t>
            </w:r>
            <w:r>
              <w:rPr>
                <w:rFonts w:cs="Times New Roman"/>
                <w:sz w:val="16"/>
                <w:szCs w:val="16"/>
              </w:rPr>
              <w:t xml:space="preserve"> </w:t>
            </w:r>
            <w:r>
              <w:rPr>
                <w:rFonts w:eastAsiaTheme="minorEastAsia" w:cs="Times New Roman"/>
                <w:sz w:val="16"/>
                <w:szCs w:val="16"/>
              </w:rPr>
              <w:t xml:space="preserve">denotes firm profitability. </w:t>
            </w:r>
            <w:r w:rsidRPr="00497D49">
              <w:rPr>
                <w:rFonts w:cs="Times New Roman"/>
                <w:i/>
                <w:iCs/>
                <w:sz w:val="16"/>
                <w:szCs w:val="16"/>
              </w:rPr>
              <w:t>GROWTH</w:t>
            </w:r>
            <w:r>
              <w:rPr>
                <w:rFonts w:cs="Times New Roman"/>
                <w:sz w:val="16"/>
                <w:szCs w:val="16"/>
              </w:rPr>
              <w:t xml:space="preserve"> </w:t>
            </w:r>
            <w:r>
              <w:rPr>
                <w:rFonts w:eastAsiaTheme="minorEastAsia" w:cs="Times New Roman"/>
                <w:sz w:val="16"/>
                <w:szCs w:val="16"/>
              </w:rPr>
              <w:t xml:space="preserve">denotes firm growth. </w:t>
            </w:r>
            <w:r w:rsidRPr="00497D49">
              <w:rPr>
                <w:rFonts w:cs="Times New Roman"/>
                <w:i/>
                <w:iCs/>
                <w:sz w:val="16"/>
                <w:szCs w:val="16"/>
              </w:rPr>
              <w:t>LVRG</w:t>
            </w:r>
            <w:r>
              <w:rPr>
                <w:rFonts w:cs="Times New Roman"/>
                <w:sz w:val="16"/>
                <w:szCs w:val="16"/>
              </w:rPr>
              <w:t xml:space="preserve"> </w:t>
            </w:r>
            <w:r>
              <w:rPr>
                <w:rFonts w:eastAsiaTheme="minorEastAsia" w:cs="Times New Roman"/>
                <w:sz w:val="16"/>
                <w:szCs w:val="16"/>
              </w:rPr>
              <w:t xml:space="preserve">denotes firm leverage. Industry dummies represent dummy variables that are used to capture the basic materials sector, consumer goods sector, consumer service sector, financial sector, health care sector, industrial sector, utility sector and </w:t>
            </w:r>
            <w:r>
              <w:rPr>
                <w:rFonts w:eastAsia="Times New Roman" w:cs="Times New Roman"/>
                <w:sz w:val="16"/>
                <w:szCs w:val="16"/>
                <w:lang w:eastAsia="en-GB"/>
              </w:rPr>
              <w:t>telecommunications</w:t>
            </w:r>
            <w:r>
              <w:rPr>
                <w:rFonts w:eastAsiaTheme="minorEastAsia" w:cs="Times New Roman"/>
                <w:sz w:val="16"/>
                <w:szCs w:val="16"/>
              </w:rPr>
              <w:t xml:space="preserve"> sector. Year dummies represent dummy variables that are used to capture year effects (2001-2011). </w:t>
            </w:r>
            <w:r>
              <w:rPr>
                <w:rFonts w:cs="Times New Roman"/>
                <w:sz w:val="16"/>
                <w:szCs w:val="16"/>
              </w:rPr>
              <w:t xml:space="preserve">The asterisks </w:t>
            </w:r>
            <w:r>
              <w:rPr>
                <w:rFonts w:cs="Times New Roman"/>
                <w:sz w:val="16"/>
                <w:szCs w:val="16"/>
                <w:vertAlign w:val="superscript"/>
              </w:rPr>
              <w:t>***</w:t>
            </w:r>
            <w:r>
              <w:rPr>
                <w:rFonts w:cs="Times New Roman"/>
                <w:sz w:val="16"/>
                <w:szCs w:val="16"/>
              </w:rPr>
              <w:t xml:space="preserve">, </w:t>
            </w:r>
            <w:r>
              <w:rPr>
                <w:rFonts w:cs="Times New Roman"/>
                <w:sz w:val="16"/>
                <w:szCs w:val="16"/>
                <w:vertAlign w:val="superscript"/>
              </w:rPr>
              <w:t>**</w:t>
            </w:r>
            <w:r>
              <w:rPr>
                <w:rFonts w:cs="Times New Roman"/>
                <w:sz w:val="16"/>
                <w:szCs w:val="16"/>
              </w:rPr>
              <w:t xml:space="preserve">, </w:t>
            </w:r>
            <w:r>
              <w:rPr>
                <w:rFonts w:cs="Times New Roman"/>
                <w:sz w:val="16"/>
                <w:szCs w:val="16"/>
                <w:vertAlign w:val="superscript"/>
              </w:rPr>
              <w:t>*</w:t>
            </w:r>
            <w:r>
              <w:rPr>
                <w:rFonts w:cs="Times New Roman"/>
                <w:sz w:val="16"/>
                <w:szCs w:val="16"/>
              </w:rPr>
              <w:t xml:space="preserve"> indicate significance at the 1, 5 and 10% levels, respectively. Adj. </w:t>
            </w:r>
            <w:r w:rsidRPr="00497D49">
              <w:rPr>
                <w:rFonts w:cs="Times New Roman"/>
                <w:i/>
                <w:iCs/>
                <w:sz w:val="16"/>
                <w:szCs w:val="16"/>
              </w:rPr>
              <w:t>R</w:t>
            </w:r>
            <w:r w:rsidRPr="00497D49">
              <w:rPr>
                <w:rFonts w:cs="Times New Roman"/>
                <w:i/>
                <w:iCs/>
                <w:sz w:val="16"/>
                <w:szCs w:val="16"/>
                <w:vertAlign w:val="superscript"/>
              </w:rPr>
              <w:t>2</w:t>
            </w:r>
            <w:r>
              <w:rPr>
                <w:rFonts w:cs="Times New Roman"/>
                <w:sz w:val="16"/>
                <w:szCs w:val="16"/>
              </w:rPr>
              <w:t xml:space="preserve"> </w:t>
            </w:r>
            <w:r>
              <w:rPr>
                <w:rFonts w:eastAsiaTheme="minorEastAsia" w:cs="Times New Roman"/>
                <w:sz w:val="16"/>
                <w:szCs w:val="16"/>
              </w:rPr>
              <w:t xml:space="preserve">denotes adjusted </w:t>
            </w:r>
            <w:r w:rsidRPr="001C4B23">
              <w:rPr>
                <w:rFonts w:eastAsiaTheme="minorEastAsia" w:cs="Times New Roman"/>
                <w:i/>
                <w:iCs/>
                <w:sz w:val="16"/>
                <w:szCs w:val="16"/>
              </w:rPr>
              <w:t>R</w:t>
            </w:r>
            <w:r>
              <w:rPr>
                <w:rFonts w:eastAsiaTheme="minorEastAsia" w:cs="Times New Roman"/>
                <w:sz w:val="16"/>
                <w:szCs w:val="16"/>
              </w:rPr>
              <w:t xml:space="preserve"> square. </w:t>
            </w:r>
            <w:r w:rsidRPr="001C4B23">
              <w:rPr>
                <w:rFonts w:eastAsiaTheme="minorEastAsia" w:cs="Times New Roman"/>
                <w:i/>
                <w:iCs/>
                <w:sz w:val="16"/>
                <w:szCs w:val="16"/>
              </w:rPr>
              <w:t>F</w:t>
            </w:r>
            <w:r>
              <w:rPr>
                <w:rFonts w:eastAsiaTheme="minorEastAsia" w:cs="Times New Roman"/>
                <w:sz w:val="16"/>
                <w:szCs w:val="16"/>
              </w:rPr>
              <w:t xml:space="preserve">-Stat denotes </w:t>
            </w:r>
            <w:r>
              <w:rPr>
                <w:rFonts w:cs="Times New Roman"/>
                <w:sz w:val="16"/>
                <w:szCs w:val="16"/>
              </w:rPr>
              <w:t xml:space="preserve">the </w:t>
            </w:r>
            <w:r w:rsidRPr="001C4B23">
              <w:rPr>
                <w:rFonts w:cs="Times New Roman"/>
                <w:i/>
                <w:iCs/>
                <w:sz w:val="16"/>
                <w:szCs w:val="16"/>
              </w:rPr>
              <w:t>F</w:t>
            </w:r>
            <w:r>
              <w:rPr>
                <w:rFonts w:cs="Times New Roman"/>
                <w:sz w:val="16"/>
                <w:szCs w:val="16"/>
              </w:rPr>
              <w:t>-statistics.</w:t>
            </w:r>
          </w:p>
        </w:tc>
      </w:tr>
    </w:tbl>
    <w:p w:rsidR="005A79E1" w:rsidRDefault="005A79E1" w:rsidP="00610A52">
      <w:pPr>
        <w:pStyle w:val="BodyText"/>
        <w:rPr>
          <w:rFonts w:cs="Times New Roman"/>
        </w:rPr>
      </w:pPr>
    </w:p>
    <w:p w:rsidR="00A15F40" w:rsidRPr="000F080A" w:rsidRDefault="00A15F40" w:rsidP="005A79E1">
      <w:pPr>
        <w:pStyle w:val="Heading1"/>
        <w:numPr>
          <w:ilvl w:val="0"/>
          <w:numId w:val="0"/>
        </w:numPr>
        <w:ind w:left="432" w:hanging="432"/>
        <w:rPr>
          <w:rFonts w:ascii="Times New Roman" w:hAnsi="Times New Roman"/>
          <w:sz w:val="24"/>
          <w:szCs w:val="24"/>
        </w:rPr>
      </w:pPr>
    </w:p>
    <w:sectPr w:rsidR="00A15F40" w:rsidRPr="000F080A" w:rsidSect="00EF1D3F">
      <w:pgSz w:w="16838" w:h="11906" w:orient="landscape" w:code="9"/>
      <w:pgMar w:top="1247" w:right="1247" w:bottom="1247" w:left="124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D0" w:rsidRDefault="001C1DD0" w:rsidP="0097029A">
      <w:r>
        <w:separator/>
      </w:r>
    </w:p>
  </w:endnote>
  <w:endnote w:type="continuationSeparator" w:id="0">
    <w:p w:rsidR="001C1DD0" w:rsidRDefault="001C1DD0" w:rsidP="0097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092631"/>
      <w:docPartObj>
        <w:docPartGallery w:val="Page Numbers (Bottom of Page)"/>
        <w:docPartUnique/>
      </w:docPartObj>
    </w:sdtPr>
    <w:sdtEndPr>
      <w:rPr>
        <w:noProof/>
      </w:rPr>
    </w:sdtEndPr>
    <w:sdtContent>
      <w:p w:rsidR="00A92AEE" w:rsidRDefault="00A92AEE">
        <w:pPr>
          <w:pStyle w:val="Footer"/>
          <w:jc w:val="center"/>
        </w:pPr>
        <w:r>
          <w:fldChar w:fldCharType="begin"/>
        </w:r>
        <w:r>
          <w:instrText xml:space="preserve"> PAGE   \* MERGEFORMAT </w:instrText>
        </w:r>
        <w:r>
          <w:fldChar w:fldCharType="separate"/>
        </w:r>
        <w:r w:rsidR="001F0DE8">
          <w:rPr>
            <w:noProof/>
          </w:rPr>
          <w:t>1</w:t>
        </w:r>
        <w:r>
          <w:rPr>
            <w:noProof/>
          </w:rPr>
          <w:fldChar w:fldCharType="end"/>
        </w:r>
      </w:p>
    </w:sdtContent>
  </w:sdt>
  <w:p w:rsidR="00A92AEE" w:rsidRDefault="00A92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D0" w:rsidRDefault="001C1DD0" w:rsidP="0097029A">
      <w:r>
        <w:separator/>
      </w:r>
    </w:p>
  </w:footnote>
  <w:footnote w:type="continuationSeparator" w:id="0">
    <w:p w:rsidR="001C1DD0" w:rsidRDefault="001C1DD0" w:rsidP="0097029A">
      <w:r>
        <w:continuationSeparator/>
      </w:r>
    </w:p>
  </w:footnote>
  <w:footnote w:id="1">
    <w:p w:rsidR="00524388" w:rsidRPr="005B4DE9" w:rsidRDefault="00524388" w:rsidP="00524388">
      <w:pPr>
        <w:jc w:val="both"/>
        <w:rPr>
          <w:sz w:val="20"/>
          <w:szCs w:val="20"/>
        </w:rPr>
      </w:pPr>
      <w:r w:rsidRPr="00BB6FF4">
        <w:rPr>
          <w:rStyle w:val="FootnoteReference"/>
          <w:rFonts w:ascii="Times New Roman" w:hAnsi="Times New Roman"/>
          <w:szCs w:val="20"/>
        </w:rPr>
        <w:footnoteRef/>
      </w:r>
      <w:r w:rsidRPr="00BB6FF4">
        <w:rPr>
          <w:rFonts w:cs="Times New Roman"/>
          <w:sz w:val="20"/>
          <w:szCs w:val="20"/>
        </w:rPr>
        <w:t xml:space="preserve">Corresponding author. Address for correspondence: </w:t>
      </w:r>
      <w:r w:rsidRPr="005B4DE9">
        <w:rPr>
          <w:rFonts w:cs="Times New Roman"/>
          <w:sz w:val="20"/>
          <w:szCs w:val="20"/>
        </w:rPr>
        <w:t>Financial Ethics and Governance Research Group, Department of Accountancy and Finance, The Business School</w:t>
      </w:r>
      <w:r w:rsidRPr="005B4DE9">
        <w:rPr>
          <w:rFonts w:cs="Times New Roman"/>
          <w:bCs/>
          <w:sz w:val="20"/>
          <w:szCs w:val="20"/>
        </w:rPr>
        <w:t xml:space="preserve">, University of Huddersfield, </w:t>
      </w:r>
      <w:r w:rsidRPr="005B4DE9">
        <w:rPr>
          <w:rFonts w:cs="Times New Roman"/>
          <w:sz w:val="20"/>
          <w:szCs w:val="20"/>
        </w:rPr>
        <w:t>Queensgate Campus, Queensgate</w:t>
      </w:r>
      <w:r w:rsidRPr="005B4DE9">
        <w:rPr>
          <w:rFonts w:cs="Times New Roman"/>
          <w:bCs/>
          <w:sz w:val="20"/>
          <w:szCs w:val="20"/>
        </w:rPr>
        <w:t>, Huddersfield, HD1 3DH, UK. Tel: +44 (0) 148 447 1038. Fax: +44 (0) 148 447 3148. E-mail: c.ntim@hud.ac.uk.</w:t>
      </w:r>
      <w:r w:rsidRPr="005B4DE9">
        <w:rPr>
          <w:rFonts w:cs="Times New Roman"/>
          <w:sz w:val="20"/>
          <w:szCs w:val="20"/>
        </w:rPr>
        <w:t xml:space="preserve"> </w:t>
      </w:r>
    </w:p>
  </w:footnote>
  <w:footnote w:id="2">
    <w:p w:rsidR="00A92AEE" w:rsidRPr="007829E9" w:rsidRDefault="00A92AEE" w:rsidP="00952D49">
      <w:pPr>
        <w:pStyle w:val="FootnoteText"/>
        <w:spacing w:after="0"/>
        <w:ind w:left="0" w:firstLine="0"/>
        <w:jc w:val="both"/>
        <w:rPr>
          <w:rFonts w:ascii="Times New Roman" w:hAnsi="Times New Roman" w:cs="Times New Roman"/>
          <w:sz w:val="18"/>
          <w:szCs w:val="18"/>
        </w:rPr>
      </w:pPr>
      <w:r w:rsidRPr="007829E9">
        <w:rPr>
          <w:rStyle w:val="FootnoteReference"/>
          <w:rFonts w:ascii="Times New Roman" w:hAnsi="Times New Roman"/>
          <w:sz w:val="18"/>
          <w:szCs w:val="18"/>
        </w:rPr>
        <w:footnoteRef/>
      </w:r>
      <w:r w:rsidRPr="007829E9">
        <w:rPr>
          <w:rFonts w:ascii="Times New Roman" w:hAnsi="Times New Roman" w:cs="Times New Roman"/>
          <w:sz w:val="18"/>
          <w:szCs w:val="18"/>
        </w:rPr>
        <w:t xml:space="preserve">Similar to other board </w:t>
      </w:r>
      <w:r>
        <w:rPr>
          <w:rFonts w:ascii="Times New Roman" w:hAnsi="Times New Roman" w:cs="Times New Roman"/>
          <w:sz w:val="18"/>
          <w:szCs w:val="18"/>
        </w:rPr>
        <w:t>sub</w:t>
      </w:r>
      <w:r w:rsidRPr="007829E9">
        <w:rPr>
          <w:rFonts w:ascii="Times New Roman" w:hAnsi="Times New Roman" w:cs="Times New Roman"/>
          <w:sz w:val="18"/>
          <w:szCs w:val="18"/>
        </w:rPr>
        <w:t xml:space="preserve">committees, </w:t>
      </w:r>
      <w:r>
        <w:rPr>
          <w:rFonts w:ascii="Times New Roman" w:hAnsi="Times New Roman" w:cs="Times New Roman"/>
          <w:sz w:val="18"/>
          <w:szCs w:val="18"/>
        </w:rPr>
        <w:t xml:space="preserve">the </w:t>
      </w:r>
      <w:r w:rsidRPr="007829E9">
        <w:rPr>
          <w:rFonts w:ascii="Times New Roman" w:hAnsi="Times New Roman" w:cs="Times New Roman"/>
          <w:sz w:val="18"/>
          <w:szCs w:val="18"/>
        </w:rPr>
        <w:t>S</w:t>
      </w:r>
      <w:r>
        <w:rPr>
          <w:rFonts w:ascii="Times New Roman" w:hAnsi="Times New Roman" w:cs="Times New Roman"/>
          <w:sz w:val="18"/>
          <w:szCs w:val="18"/>
        </w:rPr>
        <w:t>SB is</w:t>
      </w:r>
      <w:r w:rsidRPr="007829E9">
        <w:rPr>
          <w:rFonts w:ascii="Times New Roman" w:hAnsi="Times New Roman" w:cs="Times New Roman"/>
          <w:sz w:val="18"/>
          <w:szCs w:val="18"/>
        </w:rPr>
        <w:t xml:space="preserve"> recommended by </w:t>
      </w:r>
      <w:r>
        <w:rPr>
          <w:rFonts w:ascii="Times New Roman" w:hAnsi="Times New Roman" w:cs="Times New Roman"/>
          <w:sz w:val="18"/>
          <w:szCs w:val="18"/>
        </w:rPr>
        <w:t>a</w:t>
      </w:r>
      <w:r w:rsidRPr="007829E9">
        <w:rPr>
          <w:rFonts w:ascii="Times New Roman" w:hAnsi="Times New Roman" w:cs="Times New Roman"/>
          <w:sz w:val="18"/>
          <w:szCs w:val="18"/>
        </w:rPr>
        <w:t xml:space="preserve"> firm</w:t>
      </w:r>
      <w:r>
        <w:rPr>
          <w:rFonts w:ascii="Times New Roman" w:hAnsi="Times New Roman" w:cs="Times New Roman"/>
          <w:sz w:val="18"/>
          <w:szCs w:val="18"/>
        </w:rPr>
        <w:t>’</w:t>
      </w:r>
      <w:r w:rsidRPr="007829E9">
        <w:rPr>
          <w:rFonts w:ascii="Times New Roman" w:hAnsi="Times New Roman" w:cs="Times New Roman"/>
          <w:sz w:val="18"/>
          <w:szCs w:val="18"/>
        </w:rPr>
        <w:t>s board</w:t>
      </w:r>
      <w:r>
        <w:rPr>
          <w:rFonts w:ascii="Times New Roman" w:hAnsi="Times New Roman" w:cs="Times New Roman"/>
          <w:sz w:val="18"/>
          <w:szCs w:val="18"/>
        </w:rPr>
        <w:t xml:space="preserve"> for approval by shareholders at a general assembly meeting</w:t>
      </w:r>
      <w:r w:rsidRPr="007829E9">
        <w:rPr>
          <w:rFonts w:ascii="Times New Roman" w:hAnsi="Times New Roman" w:cs="Times New Roman"/>
          <w:sz w:val="18"/>
          <w:szCs w:val="18"/>
        </w:rPr>
        <w:t xml:space="preserve">. </w:t>
      </w:r>
    </w:p>
  </w:footnote>
  <w:footnote w:id="3">
    <w:p w:rsidR="00A92AEE" w:rsidRPr="000350D3" w:rsidRDefault="00A92AEE" w:rsidP="00E7062D">
      <w:pPr>
        <w:autoSpaceDE w:val="0"/>
        <w:autoSpaceDN w:val="0"/>
        <w:adjustRightInd w:val="0"/>
        <w:jc w:val="both"/>
        <w:rPr>
          <w:rFonts w:cs="Times New Roman"/>
          <w:sz w:val="18"/>
          <w:szCs w:val="18"/>
        </w:rPr>
      </w:pPr>
      <w:r>
        <w:rPr>
          <w:rStyle w:val="FootnoteReference"/>
        </w:rPr>
        <w:footnoteRef/>
      </w:r>
      <w:r w:rsidRPr="000350D3">
        <w:rPr>
          <w:rFonts w:cs="Times New Roman"/>
          <w:sz w:val="18"/>
          <w:szCs w:val="18"/>
        </w:rPr>
        <w:t xml:space="preserve">There were three main reasons for setting these criteria. First, the data collection started with financial year 2001 since it was the first year for which data was available. Second, the sample ends in the 2011 because it was the latest year for which data was available. Finally, using fewer than 10 observations can render the estimated coefficients inefficient since the EM measures used in this study require an estimation of a cross-sectional regression for each industry (McNichols, 2000). Using these criteria, and as outlined in Table 1, the sample procedure produced unbalanced panel data of 116 unique firms (i.e., a total of 1,152 firm year observations over the 11 years investigated). To the best of our knowledge, this is by far the largest dataset to be used in any </w:t>
      </w:r>
      <w:r w:rsidRPr="000350D3">
        <w:rPr>
          <w:sz w:val="18"/>
          <w:szCs w:val="18"/>
        </w:rPr>
        <w:t>Middle Eastern and North African</w:t>
      </w:r>
      <w:r w:rsidRPr="000350D3">
        <w:rPr>
          <w:rFonts w:cs="Times New Roman"/>
          <w:sz w:val="18"/>
          <w:szCs w:val="18"/>
        </w:rPr>
        <w:t xml:space="preserve"> study on CG to date. We collected all our CG data from corporate annual reports, which were downloaded from the </w:t>
      </w:r>
      <w:r w:rsidRPr="000350D3">
        <w:rPr>
          <w:rFonts w:cs="Times New Roman"/>
          <w:i/>
          <w:sz w:val="18"/>
          <w:szCs w:val="18"/>
        </w:rPr>
        <w:t xml:space="preserve">Perfect Information Database </w:t>
      </w:r>
      <w:r w:rsidRPr="000350D3">
        <w:rPr>
          <w:rFonts w:cs="Times New Roman"/>
          <w:sz w:val="18"/>
          <w:szCs w:val="18"/>
        </w:rPr>
        <w:t xml:space="preserve">and Muscat Security Market website, whilst financial (i.e., accounting and market) data was collected from </w:t>
      </w:r>
      <w:r w:rsidRPr="000350D3">
        <w:rPr>
          <w:rFonts w:cs="Times New Roman"/>
          <w:i/>
          <w:sz w:val="18"/>
          <w:szCs w:val="18"/>
        </w:rPr>
        <w:t>DataStream</w:t>
      </w:r>
      <w:r w:rsidRPr="000350D3">
        <w:rPr>
          <w:rFonts w:cs="Times New Roman"/>
          <w:sz w:val="18"/>
          <w:szCs w:val="18"/>
        </w:rPr>
        <w:t xml:space="preserve">.  </w:t>
      </w:r>
    </w:p>
    <w:p w:rsidR="00A92AEE" w:rsidRDefault="00A92AEE">
      <w:pPr>
        <w:pStyle w:val="FootnoteText"/>
      </w:pPr>
    </w:p>
  </w:footnote>
  <w:footnote w:id="4">
    <w:p w:rsidR="00A92AEE" w:rsidRPr="00B27DB1" w:rsidRDefault="00A92AEE" w:rsidP="00F76586">
      <w:pPr>
        <w:pStyle w:val="FootnoteText"/>
        <w:spacing w:after="0"/>
        <w:ind w:left="0" w:firstLine="0"/>
        <w:jc w:val="both"/>
        <w:rPr>
          <w:rFonts w:ascii="Times New Roman" w:hAnsi="Times New Roman" w:cs="Times New Roman"/>
          <w:sz w:val="18"/>
          <w:szCs w:val="18"/>
        </w:rPr>
      </w:pPr>
      <w:r w:rsidRPr="00B27DB1">
        <w:rPr>
          <w:rStyle w:val="FootnoteReference"/>
          <w:rFonts w:ascii="Times New Roman" w:hAnsi="Times New Roman"/>
          <w:sz w:val="18"/>
          <w:szCs w:val="18"/>
        </w:rPr>
        <w:footnoteRef/>
      </w:r>
      <w:r>
        <w:rPr>
          <w:rFonts w:ascii="Times New Roman" w:hAnsi="Times New Roman" w:cs="Times New Roman"/>
          <w:sz w:val="18"/>
          <w:szCs w:val="18"/>
        </w:rPr>
        <w:t xml:space="preserve">The </w:t>
      </w:r>
      <w:r w:rsidRPr="004B0C43">
        <w:rPr>
          <w:rFonts w:ascii="Times New Roman" w:hAnsi="Times New Roman" w:cs="Times New Roman"/>
          <w:sz w:val="18"/>
          <w:szCs w:val="18"/>
        </w:rPr>
        <w:t xml:space="preserve">OLS assumptions, namely linearity, normality, multicollinearity, autocorrelation and </w:t>
      </w:r>
      <w:r w:rsidRPr="004B0C43">
        <w:rPr>
          <w:rFonts w:ascii="Times New Roman" w:hAnsi="Times New Roman" w:cs="Times New Roman"/>
          <w:bCs/>
          <w:sz w:val="18"/>
          <w:szCs w:val="18"/>
        </w:rPr>
        <w:t>heteroskedasticity were tested in order to ensure that OLS regression</w:t>
      </w:r>
      <w:r>
        <w:rPr>
          <w:rFonts w:ascii="Times New Roman" w:hAnsi="Times New Roman" w:cs="Times New Roman"/>
          <w:bCs/>
          <w:sz w:val="18"/>
          <w:szCs w:val="18"/>
        </w:rPr>
        <w:t xml:space="preserve"> technique</w:t>
      </w:r>
      <w:r w:rsidRPr="004B0C43">
        <w:rPr>
          <w:rFonts w:ascii="Times New Roman" w:hAnsi="Times New Roman" w:cs="Times New Roman"/>
          <w:bCs/>
          <w:sz w:val="18"/>
          <w:szCs w:val="18"/>
        </w:rPr>
        <w:t xml:space="preserve"> is statistically appropriate to</w:t>
      </w:r>
      <w:r>
        <w:rPr>
          <w:rFonts w:ascii="Times New Roman" w:hAnsi="Times New Roman" w:cs="Times New Roman"/>
          <w:bCs/>
          <w:sz w:val="18"/>
          <w:szCs w:val="18"/>
        </w:rPr>
        <w:t xml:space="preserve"> be used to</w:t>
      </w:r>
      <w:r w:rsidRPr="004B0C43">
        <w:rPr>
          <w:rFonts w:ascii="Times New Roman" w:hAnsi="Times New Roman" w:cs="Times New Roman"/>
          <w:bCs/>
          <w:sz w:val="18"/>
          <w:szCs w:val="18"/>
        </w:rPr>
        <w:t xml:space="preserve"> perform our </w:t>
      </w:r>
      <w:r>
        <w:rPr>
          <w:rFonts w:ascii="Times New Roman" w:hAnsi="Times New Roman" w:cs="Times New Roman"/>
          <w:bCs/>
          <w:sz w:val="18"/>
          <w:szCs w:val="18"/>
        </w:rPr>
        <w:t xml:space="preserve">regression </w:t>
      </w:r>
      <w:r w:rsidR="005C6C02">
        <w:rPr>
          <w:rFonts w:ascii="Times New Roman" w:hAnsi="Times New Roman" w:cs="Times New Roman"/>
          <w:bCs/>
          <w:sz w:val="18"/>
          <w:szCs w:val="18"/>
        </w:rPr>
        <w:t>analysis</w:t>
      </w:r>
      <w:r w:rsidRPr="00CA07C3">
        <w:rPr>
          <w:rFonts w:cs="Times New Roman"/>
          <w:bCs/>
          <w:sz w:val="22"/>
        </w:rPr>
        <w:t>.</w:t>
      </w:r>
      <w:r w:rsidRPr="00B27DB1">
        <w:rPr>
          <w:rFonts w:ascii="Times New Roman" w:hAnsi="Times New Roman" w:cs="Times New Roman"/>
          <w:sz w:val="18"/>
          <w:szCs w:val="18"/>
        </w:rPr>
        <w:t>The effects of outliers were minimi</w:t>
      </w:r>
      <w:r>
        <w:rPr>
          <w:rFonts w:ascii="Times New Roman" w:hAnsi="Times New Roman" w:cs="Times New Roman"/>
          <w:sz w:val="18"/>
          <w:szCs w:val="18"/>
        </w:rPr>
        <w:t>s</w:t>
      </w:r>
      <w:r w:rsidRPr="00B27DB1">
        <w:rPr>
          <w:rFonts w:ascii="Times New Roman" w:hAnsi="Times New Roman" w:cs="Times New Roman"/>
          <w:sz w:val="18"/>
          <w:szCs w:val="18"/>
        </w:rPr>
        <w:t>e</w:t>
      </w:r>
      <w:r>
        <w:rPr>
          <w:rFonts w:ascii="Times New Roman" w:hAnsi="Times New Roman" w:cs="Times New Roman"/>
          <w:sz w:val="18"/>
          <w:szCs w:val="18"/>
        </w:rPr>
        <w:t>d by winsorising, and t</w:t>
      </w:r>
      <w:r w:rsidRPr="004B0C43">
        <w:rPr>
          <w:rFonts w:ascii="Times New Roman" w:hAnsi="Times New Roman" w:cs="Times New Roman"/>
          <w:sz w:val="18"/>
          <w:szCs w:val="18"/>
        </w:rPr>
        <w:t>he first-order</w:t>
      </w:r>
      <w:r>
        <w:rPr>
          <w:sz w:val="23"/>
          <w:szCs w:val="23"/>
        </w:rPr>
        <w:t xml:space="preserve"> </w:t>
      </w:r>
      <w:r>
        <w:rPr>
          <w:rFonts w:ascii="Times New Roman" w:hAnsi="Times New Roman" w:cs="Times New Roman"/>
          <w:sz w:val="18"/>
          <w:szCs w:val="18"/>
        </w:rPr>
        <w:t>autoregressive method</w:t>
      </w:r>
      <w:r w:rsidRPr="00B27DB1">
        <w:rPr>
          <w:rFonts w:ascii="Times New Roman" w:hAnsi="Times New Roman" w:cs="Times New Roman"/>
          <w:sz w:val="18"/>
          <w:szCs w:val="18"/>
        </w:rPr>
        <w:t xml:space="preserve"> </w:t>
      </w:r>
      <w:r>
        <w:rPr>
          <w:rFonts w:ascii="Times New Roman" w:hAnsi="Times New Roman" w:cs="Times New Roman"/>
          <w:sz w:val="18"/>
          <w:szCs w:val="18"/>
        </w:rPr>
        <w:t xml:space="preserve">was adopted </w:t>
      </w:r>
      <w:r w:rsidRPr="00B27DB1">
        <w:rPr>
          <w:rFonts w:ascii="Times New Roman" w:hAnsi="Times New Roman" w:cs="Times New Roman"/>
          <w:sz w:val="18"/>
          <w:szCs w:val="18"/>
        </w:rPr>
        <w:t xml:space="preserve">in order to take account of serial correlation </w:t>
      </w:r>
      <w:r w:rsidRPr="004B0C43">
        <w:rPr>
          <w:rFonts w:ascii="Times New Roman" w:hAnsi="Times New Roman" w:cs="Times New Roman"/>
          <w:sz w:val="18"/>
          <w:szCs w:val="18"/>
        </w:rPr>
        <w:t>and heteroskedasticity</w:t>
      </w:r>
      <w:r w:rsidRPr="00B27DB1">
        <w:rPr>
          <w:rFonts w:ascii="Times New Roman" w:hAnsi="Times New Roman" w:cs="Times New Roman"/>
          <w:sz w:val="18"/>
          <w:szCs w:val="18"/>
        </w:rPr>
        <w:t>.</w:t>
      </w:r>
      <w:r>
        <w:rPr>
          <w:rFonts w:ascii="Times New Roman" w:hAnsi="Times New Roman" w:cs="Times New Roman"/>
          <w:sz w:val="18"/>
          <w:szCs w:val="18"/>
        </w:rPr>
        <w:t xml:space="preserve"> </w:t>
      </w:r>
      <w:r w:rsidRPr="004B0C43">
        <w:rPr>
          <w:rFonts w:ascii="Times New Roman" w:hAnsi="Times New Roman" w:cs="Times New Roman"/>
          <w:sz w:val="18"/>
          <w:szCs w:val="18"/>
        </w:rPr>
        <w:t>Overall, the diagnostics for the OLS</w:t>
      </w:r>
      <w:r>
        <w:rPr>
          <w:sz w:val="23"/>
          <w:szCs w:val="23"/>
        </w:rPr>
        <w:t xml:space="preserve"> </w:t>
      </w:r>
      <w:r w:rsidRPr="004B0C43">
        <w:rPr>
          <w:rFonts w:ascii="Times New Roman" w:hAnsi="Times New Roman" w:cs="Times New Roman"/>
          <w:sz w:val="18"/>
          <w:szCs w:val="18"/>
        </w:rPr>
        <w:t xml:space="preserve">assumptions indicate that </w:t>
      </w:r>
      <w:r>
        <w:rPr>
          <w:rFonts w:ascii="Times New Roman" w:hAnsi="Times New Roman" w:cs="Times New Roman"/>
          <w:sz w:val="18"/>
          <w:szCs w:val="18"/>
        </w:rPr>
        <w:t xml:space="preserve">the </w:t>
      </w:r>
      <w:r w:rsidRPr="004B0C43">
        <w:rPr>
          <w:rFonts w:ascii="Times New Roman" w:hAnsi="Times New Roman" w:cs="Times New Roman"/>
          <w:sz w:val="18"/>
          <w:szCs w:val="18"/>
        </w:rPr>
        <w:t xml:space="preserve">OLS </w:t>
      </w:r>
      <w:r>
        <w:rPr>
          <w:rFonts w:ascii="Times New Roman" w:hAnsi="Times New Roman" w:cs="Times New Roman"/>
          <w:sz w:val="18"/>
          <w:szCs w:val="18"/>
        </w:rPr>
        <w:t xml:space="preserve">estimation tool </w:t>
      </w:r>
      <w:r w:rsidRPr="004B0C43">
        <w:rPr>
          <w:rFonts w:ascii="Times New Roman" w:hAnsi="Times New Roman" w:cs="Times New Roman"/>
          <w:sz w:val="18"/>
          <w:szCs w:val="18"/>
        </w:rPr>
        <w:t>is statistically appropriate as a main estimation method to perform</w:t>
      </w:r>
      <w:r>
        <w:rPr>
          <w:rFonts w:ascii="Times New Roman" w:hAnsi="Times New Roman" w:cs="Times New Roman"/>
          <w:sz w:val="18"/>
          <w:szCs w:val="18"/>
        </w:rPr>
        <w:t xml:space="preserve"> our</w:t>
      </w:r>
      <w:r w:rsidRPr="004B0C43">
        <w:rPr>
          <w:rFonts w:ascii="Times New Roman" w:hAnsi="Times New Roman" w:cs="Times New Roman"/>
          <w:sz w:val="18"/>
          <w:szCs w:val="18"/>
        </w:rPr>
        <w:t xml:space="preserve"> OLS regression </w:t>
      </w:r>
      <w:r w:rsidR="005C6C02">
        <w:rPr>
          <w:rFonts w:ascii="Times New Roman" w:hAnsi="Times New Roman" w:cs="Times New Roman"/>
          <w:sz w:val="18"/>
          <w:szCs w:val="18"/>
        </w:rPr>
        <w:t>analysis</w:t>
      </w:r>
      <w:r w:rsidRPr="004B0C43">
        <w:rPr>
          <w:rFonts w:ascii="Times New Roman" w:hAnsi="Times New Roman" w:cs="Times New Roman"/>
          <w:sz w:val="18"/>
          <w:szCs w:val="18"/>
        </w:rPr>
        <w:t>.</w:t>
      </w:r>
    </w:p>
  </w:footnote>
  <w:footnote w:id="5">
    <w:p w:rsidR="00A92AEE" w:rsidRDefault="00A92AEE" w:rsidP="00E002FE">
      <w:pPr>
        <w:pStyle w:val="FootnoteText"/>
        <w:spacing w:after="0"/>
        <w:ind w:left="0" w:firstLine="0"/>
        <w:jc w:val="both"/>
      </w:pPr>
      <w:r>
        <w:rPr>
          <w:rStyle w:val="FootnoteReference"/>
        </w:rPr>
        <w:footnoteRef/>
      </w:r>
      <w:r w:rsidRPr="0075139C">
        <w:rPr>
          <w:rFonts w:ascii="Times New Roman" w:hAnsi="Times New Roman" w:cs="Times New Roman"/>
          <w:sz w:val="18"/>
          <w:szCs w:val="18"/>
        </w:rPr>
        <w:t xml:space="preserve">As previously noted, both financial and non-financial firms were included in the main analysis. </w:t>
      </w:r>
      <w:r>
        <w:rPr>
          <w:rFonts w:ascii="Times New Roman" w:hAnsi="Times New Roman" w:cs="Times New Roman"/>
          <w:sz w:val="18"/>
          <w:szCs w:val="18"/>
        </w:rPr>
        <w:t>In this regard, and a</w:t>
      </w:r>
      <w:r w:rsidRPr="0075139C">
        <w:rPr>
          <w:rFonts w:ascii="Times New Roman" w:hAnsi="Times New Roman" w:cs="Times New Roman"/>
          <w:sz w:val="18"/>
          <w:szCs w:val="18"/>
        </w:rPr>
        <w:t xml:space="preserve">lthough the nature of financial firms’ accruals may differ from those of non-financial firms, prior studies that examine the relation between CG and EM have not provided any empirical evidence to confirm the theoretical argument that the impact of CG on accruals in non-financial firms is not comparable to those in financial firms because the latter are subject to more specific accounting requirements. As a result, </w:t>
      </w:r>
      <w:r>
        <w:rPr>
          <w:rFonts w:ascii="Times New Roman" w:hAnsi="Times New Roman" w:cs="Times New Roman"/>
          <w:sz w:val="18"/>
          <w:szCs w:val="18"/>
        </w:rPr>
        <w:t>we aim</w:t>
      </w:r>
      <w:r w:rsidRPr="0075139C">
        <w:rPr>
          <w:rFonts w:ascii="Times New Roman" w:hAnsi="Times New Roman" w:cs="Times New Roman"/>
          <w:sz w:val="18"/>
          <w:szCs w:val="18"/>
        </w:rPr>
        <w:t xml:space="preserve"> to provide empirical evidence of whether there</w:t>
      </w:r>
      <w:r>
        <w:rPr>
          <w:rFonts w:ascii="Times New Roman" w:hAnsi="Times New Roman" w:cs="Times New Roman"/>
          <w:sz w:val="18"/>
          <w:szCs w:val="18"/>
        </w:rPr>
        <w:t xml:space="preserve"> is a significant difference in CG’s influence on EM</w:t>
      </w:r>
      <w:r w:rsidRPr="0075139C">
        <w:rPr>
          <w:rFonts w:ascii="Times New Roman" w:hAnsi="Times New Roman" w:cs="Times New Roman"/>
          <w:sz w:val="18"/>
          <w:szCs w:val="18"/>
        </w:rPr>
        <w:t xml:space="preserve"> between financial and non-financial firms i</w:t>
      </w:r>
      <w:r>
        <w:rPr>
          <w:rFonts w:ascii="Times New Roman" w:hAnsi="Times New Roman" w:cs="Times New Roman"/>
          <w:sz w:val="18"/>
          <w:szCs w:val="18"/>
        </w:rPr>
        <w:t>n an emerging country like Oman</w:t>
      </w:r>
      <w:r w:rsidRPr="0075139C">
        <w:rPr>
          <w:rFonts w:ascii="Times New Roman" w:hAnsi="Times New Roman" w:cs="Times New Roman"/>
          <w:sz w:val="18"/>
          <w:szCs w:val="18"/>
        </w:rPr>
        <w:t xml:space="preserve">. </w:t>
      </w:r>
    </w:p>
  </w:footnote>
  <w:footnote w:id="6">
    <w:p w:rsidR="00A92AEE" w:rsidRPr="00EC7953" w:rsidRDefault="00A92AEE" w:rsidP="00E002FE">
      <w:pPr>
        <w:pStyle w:val="FootnoteText"/>
        <w:spacing w:after="0"/>
        <w:ind w:left="0" w:firstLine="0"/>
        <w:jc w:val="both"/>
        <w:rPr>
          <w:rFonts w:ascii="Times New Roman" w:hAnsi="Times New Roman" w:cs="Times New Roman"/>
          <w:sz w:val="18"/>
          <w:szCs w:val="18"/>
        </w:rPr>
      </w:pPr>
      <w:r w:rsidRPr="00EC7953">
        <w:rPr>
          <w:rStyle w:val="FootnoteReference"/>
          <w:rFonts w:ascii="Times New Roman" w:hAnsi="Times New Roman"/>
          <w:sz w:val="18"/>
          <w:szCs w:val="18"/>
        </w:rPr>
        <w:footnoteRef/>
      </w:r>
      <w:r w:rsidRPr="00EC7953">
        <w:rPr>
          <w:rFonts w:ascii="Times New Roman" w:hAnsi="Times New Roman" w:cs="Times New Roman"/>
          <w:sz w:val="18"/>
          <w:szCs w:val="18"/>
        </w:rPr>
        <w:t xml:space="preserve">The potential of this problem arises when the </w:t>
      </w:r>
      <w:r w:rsidRPr="00EC7953">
        <w:rPr>
          <w:rFonts w:ascii="Times New Roman" w:hAnsi="Times New Roman" w:cs="Times New Roman"/>
          <w:i/>
          <w:sz w:val="18"/>
          <w:szCs w:val="18"/>
        </w:rPr>
        <w:t xml:space="preserve">OCGI </w:t>
      </w:r>
      <w:r w:rsidRPr="00EC7953">
        <w:rPr>
          <w:rFonts w:ascii="Times New Roman" w:hAnsi="Times New Roman" w:cs="Times New Roman"/>
          <w:sz w:val="18"/>
          <w:szCs w:val="18"/>
        </w:rPr>
        <w:t>assumed to be exogenous in equation (</w:t>
      </w:r>
      <w:r>
        <w:rPr>
          <w:rFonts w:ascii="Times New Roman" w:hAnsi="Times New Roman" w:cs="Times New Roman"/>
          <w:sz w:val="18"/>
          <w:szCs w:val="18"/>
        </w:rPr>
        <w:t>4</w:t>
      </w:r>
      <w:r w:rsidRPr="00EC7953">
        <w:rPr>
          <w:rFonts w:ascii="Times New Roman" w:hAnsi="Times New Roman" w:cs="Times New Roman"/>
          <w:sz w:val="18"/>
          <w:szCs w:val="18"/>
        </w:rPr>
        <w:t>) is associated with the error term because an important control variable is not included in the mode</w:t>
      </w:r>
      <w:r>
        <w:rPr>
          <w:rFonts w:ascii="Times New Roman" w:hAnsi="Times New Roman" w:cs="Times New Roman"/>
          <w:sz w:val="18"/>
          <w:szCs w:val="18"/>
        </w:rPr>
        <w:t>l (e.g., unavailability of data</w:t>
      </w:r>
      <w:r w:rsidRPr="00EC7953">
        <w:rPr>
          <w:rFonts w:ascii="Times New Roman" w:hAnsi="Times New Roman" w:cs="Times New Roman"/>
          <w:sz w:val="18"/>
          <w:szCs w:val="18"/>
        </w:rPr>
        <w:t xml:space="preserve">) </w:t>
      </w:r>
      <w:r>
        <w:rPr>
          <w:rFonts w:ascii="Times New Roman" w:hAnsi="Times New Roman" w:cs="Times New Roman"/>
          <w:sz w:val="18"/>
          <w:szCs w:val="18"/>
        </w:rPr>
        <w:t>and/</w:t>
      </w:r>
      <w:r w:rsidRPr="00EC7953">
        <w:rPr>
          <w:rFonts w:ascii="Times New Roman" w:hAnsi="Times New Roman" w:cs="Times New Roman"/>
          <w:sz w:val="18"/>
          <w:szCs w:val="18"/>
        </w:rPr>
        <w:t xml:space="preserve">or when the dependent variable simultaneously determines the independent variable (Wooldridge, 2009). </w:t>
      </w:r>
    </w:p>
  </w:footnote>
  <w:footnote w:id="7">
    <w:p w:rsidR="00A92AEE" w:rsidRPr="00AC22B1" w:rsidRDefault="00A92AEE" w:rsidP="00F76586">
      <w:pPr>
        <w:pStyle w:val="FootnoteText"/>
        <w:spacing w:after="0"/>
        <w:ind w:left="0" w:firstLine="0"/>
        <w:jc w:val="both"/>
        <w:rPr>
          <w:rFonts w:ascii="Times New Roman" w:hAnsi="Times New Roman" w:cs="Times New Roman"/>
          <w:sz w:val="18"/>
          <w:szCs w:val="18"/>
        </w:rPr>
      </w:pPr>
      <w:r w:rsidRPr="00EC7953">
        <w:rPr>
          <w:rStyle w:val="FootnoteReference"/>
          <w:rFonts w:ascii="Times New Roman" w:hAnsi="Times New Roman"/>
          <w:sz w:val="18"/>
          <w:szCs w:val="18"/>
        </w:rPr>
        <w:footnoteRef/>
      </w:r>
      <w:r w:rsidRPr="00EC7953">
        <w:rPr>
          <w:rFonts w:ascii="Times New Roman" w:hAnsi="Times New Roman" w:cs="Times New Roman"/>
          <w:sz w:val="18"/>
          <w:szCs w:val="18"/>
        </w:rPr>
        <w:t>The choice of the alternative CG variables is based on the theoretical</w:t>
      </w:r>
      <w:r>
        <w:rPr>
          <w:rFonts w:ascii="Times New Roman" w:hAnsi="Times New Roman" w:cs="Times New Roman"/>
          <w:sz w:val="18"/>
          <w:szCs w:val="18"/>
        </w:rPr>
        <w:t xml:space="preserve"> literature</w:t>
      </w:r>
      <w:r w:rsidRPr="00EC7953">
        <w:rPr>
          <w:rFonts w:ascii="Times New Roman" w:hAnsi="Times New Roman" w:cs="Times New Roman"/>
          <w:sz w:val="18"/>
          <w:szCs w:val="18"/>
        </w:rPr>
        <w:t xml:space="preserve">, empirical literature and the availability of data. Drawing from </w:t>
      </w:r>
      <w:r>
        <w:rPr>
          <w:rFonts w:ascii="Times New Roman" w:hAnsi="Times New Roman" w:cs="Times New Roman"/>
          <w:sz w:val="18"/>
          <w:szCs w:val="18"/>
        </w:rPr>
        <w:t>prior</w:t>
      </w:r>
      <w:r w:rsidRPr="00EC7953">
        <w:rPr>
          <w:rFonts w:ascii="Times New Roman" w:hAnsi="Times New Roman" w:cs="Times New Roman"/>
          <w:sz w:val="18"/>
          <w:szCs w:val="18"/>
        </w:rPr>
        <w:t xml:space="preserve"> literature (e.g., Lipton </w:t>
      </w:r>
      <w:r w:rsidRPr="00475333">
        <w:rPr>
          <w:rFonts w:ascii="Times New Roman" w:hAnsi="Times New Roman" w:cs="Times New Roman"/>
          <w:sz w:val="18"/>
          <w:szCs w:val="18"/>
        </w:rPr>
        <w:t>&amp;</w:t>
      </w:r>
      <w:r w:rsidRPr="00D07A46">
        <w:rPr>
          <w:rFonts w:ascii="Times New Roman" w:hAnsi="Times New Roman" w:cs="Times New Roman"/>
          <w:sz w:val="18"/>
          <w:szCs w:val="18"/>
        </w:rPr>
        <w:t xml:space="preserve"> Lorsch, 1992; Vafeas, 1999; Haniffa </w:t>
      </w:r>
      <w:r w:rsidRPr="00EC7953">
        <w:rPr>
          <w:rFonts w:ascii="Times New Roman" w:hAnsi="Times New Roman" w:cs="Times New Roman"/>
          <w:sz w:val="18"/>
          <w:szCs w:val="18"/>
        </w:rPr>
        <w:t xml:space="preserve">&amp; Cooke, 2002; Petra, 2005; Bowen </w:t>
      </w:r>
      <w:r w:rsidRPr="00BD0005">
        <w:rPr>
          <w:rFonts w:ascii="Times New Roman" w:hAnsi="Times New Roman" w:cs="Times New Roman"/>
          <w:iCs/>
          <w:sz w:val="18"/>
          <w:szCs w:val="18"/>
        </w:rPr>
        <w:t>et al</w:t>
      </w:r>
      <w:r w:rsidRPr="00EC7953">
        <w:rPr>
          <w:rFonts w:ascii="Times New Roman" w:hAnsi="Times New Roman" w:cs="Times New Roman"/>
          <w:sz w:val="18"/>
          <w:szCs w:val="18"/>
        </w:rPr>
        <w:t xml:space="preserve">., 2008; McCabe &amp; Nowak, 2008; Tariq </w:t>
      </w:r>
      <w:r w:rsidRPr="00BD0005">
        <w:rPr>
          <w:rFonts w:ascii="Times New Roman" w:hAnsi="Times New Roman" w:cs="Times New Roman"/>
          <w:iCs/>
          <w:sz w:val="18"/>
          <w:szCs w:val="18"/>
        </w:rPr>
        <w:t>et al</w:t>
      </w:r>
      <w:r>
        <w:rPr>
          <w:rFonts w:ascii="Times New Roman" w:hAnsi="Times New Roman" w:cs="Times New Roman"/>
          <w:iCs/>
          <w:sz w:val="18"/>
          <w:szCs w:val="18"/>
        </w:rPr>
        <w:t>.</w:t>
      </w:r>
      <w:r w:rsidRPr="00EC7953">
        <w:rPr>
          <w:rFonts w:ascii="Times New Roman" w:hAnsi="Times New Roman" w:cs="Times New Roman"/>
          <w:sz w:val="18"/>
          <w:szCs w:val="18"/>
        </w:rPr>
        <w:t xml:space="preserve">, 2014), the four </w:t>
      </w:r>
      <w:r>
        <w:rPr>
          <w:rFonts w:ascii="Times New Roman" w:hAnsi="Times New Roman" w:cs="Times New Roman"/>
          <w:sz w:val="18"/>
          <w:szCs w:val="18"/>
        </w:rPr>
        <w:t xml:space="preserve">new </w:t>
      </w:r>
      <w:r w:rsidRPr="00AC22B1">
        <w:rPr>
          <w:rFonts w:ascii="Times New Roman" w:hAnsi="Times New Roman" w:cs="Times New Roman"/>
          <w:sz w:val="18"/>
          <w:szCs w:val="18"/>
        </w:rPr>
        <w:t xml:space="preserve">alternative CG variables include, board diversity on the basis of </w:t>
      </w:r>
      <w:r>
        <w:rPr>
          <w:rFonts w:ascii="Times New Roman" w:hAnsi="Times New Roman" w:cs="Times New Roman"/>
          <w:sz w:val="18"/>
          <w:szCs w:val="18"/>
        </w:rPr>
        <w:t>nationality</w:t>
      </w:r>
      <w:r w:rsidRPr="00AC22B1">
        <w:rPr>
          <w:rFonts w:ascii="Times New Roman" w:hAnsi="Times New Roman" w:cs="Times New Roman"/>
          <w:sz w:val="18"/>
          <w:szCs w:val="18"/>
        </w:rPr>
        <w:t>, the number of non-executive directors on the board, capital expenditure and the number of board meetings.</w:t>
      </w:r>
    </w:p>
  </w:footnote>
  <w:footnote w:id="8">
    <w:p w:rsidR="005C6C02" w:rsidRDefault="005C6C02" w:rsidP="003E2E58">
      <w:pPr>
        <w:pStyle w:val="FootnoteText"/>
        <w:jc w:val="both"/>
      </w:pPr>
      <w:r>
        <w:rPr>
          <w:rStyle w:val="FootnoteReference"/>
        </w:rPr>
        <w:footnoteRef/>
      </w:r>
      <w:r>
        <w:rPr>
          <w:rFonts w:ascii="Times New Roman" w:hAnsi="Times New Roman" w:cs="Times New Roman"/>
        </w:rPr>
        <w:t>Additionally and in an untabulated results, we conduct fixed-effect estimation in order to account for</w:t>
      </w:r>
      <w:r w:rsidR="003E2E58">
        <w:rPr>
          <w:rFonts w:ascii="Times New Roman" w:hAnsi="Times New Roman" w:cs="Times New Roman"/>
        </w:rPr>
        <w:t xml:space="preserve"> the</w:t>
      </w:r>
      <w:r>
        <w:rPr>
          <w:rFonts w:ascii="Times New Roman" w:hAnsi="Times New Roman" w:cs="Times New Roman"/>
        </w:rPr>
        <w:t xml:space="preserve"> potential </w:t>
      </w:r>
      <w:r w:rsidR="003E2E58">
        <w:rPr>
          <w:rFonts w:ascii="Times New Roman" w:hAnsi="Times New Roman" w:cs="Times New Roman"/>
        </w:rPr>
        <w:t xml:space="preserve">existence of </w:t>
      </w:r>
      <w:r>
        <w:rPr>
          <w:rFonts w:ascii="Times New Roman" w:hAnsi="Times New Roman" w:cs="Times New Roman"/>
        </w:rPr>
        <w:t>firm-level hetereogenities, such as company culture</w:t>
      </w:r>
      <w:r w:rsidR="003E2E58">
        <w:rPr>
          <w:rFonts w:ascii="Times New Roman" w:hAnsi="Times New Roman" w:cs="Times New Roman"/>
        </w:rPr>
        <w:t xml:space="preserve"> – with the central tenor of our findings remaining qualitatively or essentially the same</w:t>
      </w:r>
      <w:r w:rsidR="00913CA6">
        <w:rPr>
          <w:rFonts w:ascii="Times New Roman" w:hAnsi="Times New Roman" w:cs="Times New Roman"/>
        </w:rPr>
        <w:t>, as reported previously</w:t>
      </w:r>
      <w:r w:rsidR="003E2E58">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EE" w:rsidRDefault="00A92AEE">
    <w:pPr>
      <w:pStyle w:val="Header"/>
    </w:pPr>
  </w:p>
  <w:p w:rsidR="00A92AEE" w:rsidRDefault="00A92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00444"/>
    <w:multiLevelType w:val="multilevel"/>
    <w:tmpl w:val="C9901FF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C576E3"/>
    <w:multiLevelType w:val="multilevel"/>
    <w:tmpl w:val="8D58F32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0BF7B59"/>
    <w:multiLevelType w:val="multilevel"/>
    <w:tmpl w:val="CEFE7A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A5E0478"/>
    <w:multiLevelType w:val="multilevel"/>
    <w:tmpl w:val="554CB3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D9854E1"/>
    <w:multiLevelType w:val="multilevel"/>
    <w:tmpl w:val="1C2C4CB8"/>
    <w:lvl w:ilvl="0">
      <w:start w:val="1"/>
      <w:numFmt w:val="decimal"/>
      <w:pStyle w:val="Heading1"/>
      <w:lvlText w:val="%1"/>
      <w:lvlJc w:val="left"/>
      <w:pPr>
        <w:ind w:left="574" w:hanging="432"/>
      </w:pPr>
      <w:rPr>
        <w:rFonts w:cs="Times New Roman"/>
        <w:b/>
        <w:bCs/>
        <w:sz w:val="24"/>
        <w:szCs w:val="24"/>
      </w:rPr>
    </w:lvl>
    <w:lvl w:ilvl="1">
      <w:start w:val="1"/>
      <w:numFmt w:val="decimal"/>
      <w:pStyle w:val="Heading2"/>
      <w:lvlText w:val="%1.%2"/>
      <w:lvlJc w:val="left"/>
      <w:pPr>
        <w:ind w:left="4971" w:hanging="576"/>
      </w:pPr>
      <w:rPr>
        <w:rFonts w:cs="Times New Roman"/>
      </w:rPr>
    </w:lvl>
    <w:lvl w:ilvl="2">
      <w:start w:val="1"/>
      <w:numFmt w:val="decimal"/>
      <w:pStyle w:val="Heading3"/>
      <w:lvlText w:val="%1.%2.%3"/>
      <w:lvlJc w:val="left"/>
      <w:pPr>
        <w:ind w:left="1288" w:hanging="720"/>
      </w:pPr>
      <w:rPr>
        <w:rFonts w:cs="Times New Roman"/>
      </w:rPr>
    </w:lvl>
    <w:lvl w:ilvl="3">
      <w:start w:val="1"/>
      <w:numFmt w:val="decimal"/>
      <w:pStyle w:val="Heading4"/>
      <w:lvlText w:val="%1.%2.%3.%4"/>
      <w:lvlJc w:val="left"/>
      <w:pPr>
        <w:ind w:left="1574" w:hanging="864"/>
      </w:pPr>
      <w:rPr>
        <w:rFonts w:cs="Times New Roman"/>
        <w:b/>
        <w:bCs/>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15:restartNumberingAfterBreak="0">
    <w:nsid w:val="5E1C2712"/>
    <w:multiLevelType w:val="multilevel"/>
    <w:tmpl w:val="46F2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AE343B6"/>
    <w:multiLevelType w:val="multilevel"/>
    <w:tmpl w:val="C388EB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A433F52"/>
    <w:multiLevelType w:val="hybridMultilevel"/>
    <w:tmpl w:val="13D077C8"/>
    <w:lvl w:ilvl="0" w:tplc="4B8ED8C2">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4"/>
  </w:num>
  <w:num w:numId="2">
    <w:abstractNumId w:val="7"/>
  </w:num>
  <w:num w:numId="3">
    <w:abstractNumId w:val="2"/>
  </w:num>
  <w:num w:numId="4">
    <w:abstractNumId w:val="0"/>
  </w:num>
  <w:num w:numId="5">
    <w:abstractNumId w:val="6"/>
  </w:num>
  <w:num w:numId="6">
    <w:abstractNumId w:val="3"/>
  </w:num>
  <w:num w:numId="7">
    <w:abstractNumId w:val="5"/>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75"/>
    <w:rsid w:val="0000328A"/>
    <w:rsid w:val="0000390A"/>
    <w:rsid w:val="00004580"/>
    <w:rsid w:val="000054E9"/>
    <w:rsid w:val="00007803"/>
    <w:rsid w:val="00007993"/>
    <w:rsid w:val="00010F55"/>
    <w:rsid w:val="00012CB6"/>
    <w:rsid w:val="00013A5A"/>
    <w:rsid w:val="00015016"/>
    <w:rsid w:val="000167A7"/>
    <w:rsid w:val="00017829"/>
    <w:rsid w:val="00023C7C"/>
    <w:rsid w:val="000244EA"/>
    <w:rsid w:val="0002525F"/>
    <w:rsid w:val="00025B6F"/>
    <w:rsid w:val="00030CE5"/>
    <w:rsid w:val="00033362"/>
    <w:rsid w:val="0003415A"/>
    <w:rsid w:val="000350D3"/>
    <w:rsid w:val="000351B4"/>
    <w:rsid w:val="00035840"/>
    <w:rsid w:val="000367D1"/>
    <w:rsid w:val="00036A5A"/>
    <w:rsid w:val="00036F2D"/>
    <w:rsid w:val="00037C20"/>
    <w:rsid w:val="00037EB3"/>
    <w:rsid w:val="000402A3"/>
    <w:rsid w:val="0004067D"/>
    <w:rsid w:val="00043884"/>
    <w:rsid w:val="00044A05"/>
    <w:rsid w:val="0004533E"/>
    <w:rsid w:val="0004571A"/>
    <w:rsid w:val="000503C7"/>
    <w:rsid w:val="0005206E"/>
    <w:rsid w:val="0005242B"/>
    <w:rsid w:val="00054757"/>
    <w:rsid w:val="000550D5"/>
    <w:rsid w:val="00055792"/>
    <w:rsid w:val="0005722B"/>
    <w:rsid w:val="0006049C"/>
    <w:rsid w:val="00060715"/>
    <w:rsid w:val="00060896"/>
    <w:rsid w:val="0006138F"/>
    <w:rsid w:val="00064316"/>
    <w:rsid w:val="000643D9"/>
    <w:rsid w:val="00064A63"/>
    <w:rsid w:val="00064F33"/>
    <w:rsid w:val="0006528F"/>
    <w:rsid w:val="00065D81"/>
    <w:rsid w:val="0006657F"/>
    <w:rsid w:val="0007068A"/>
    <w:rsid w:val="00071929"/>
    <w:rsid w:val="00071D01"/>
    <w:rsid w:val="00072FF5"/>
    <w:rsid w:val="00073D60"/>
    <w:rsid w:val="00074EFB"/>
    <w:rsid w:val="0007600F"/>
    <w:rsid w:val="000771A3"/>
    <w:rsid w:val="00077B0B"/>
    <w:rsid w:val="00080932"/>
    <w:rsid w:val="00084AF7"/>
    <w:rsid w:val="000857E0"/>
    <w:rsid w:val="0008739D"/>
    <w:rsid w:val="00087B2F"/>
    <w:rsid w:val="000933FA"/>
    <w:rsid w:val="000947AE"/>
    <w:rsid w:val="0009508B"/>
    <w:rsid w:val="00095795"/>
    <w:rsid w:val="00095C52"/>
    <w:rsid w:val="00095D44"/>
    <w:rsid w:val="00095DD3"/>
    <w:rsid w:val="00096558"/>
    <w:rsid w:val="000968D6"/>
    <w:rsid w:val="00096D18"/>
    <w:rsid w:val="000A09AC"/>
    <w:rsid w:val="000A121C"/>
    <w:rsid w:val="000A3315"/>
    <w:rsid w:val="000A46F9"/>
    <w:rsid w:val="000B152D"/>
    <w:rsid w:val="000B1A67"/>
    <w:rsid w:val="000B37AE"/>
    <w:rsid w:val="000B64F1"/>
    <w:rsid w:val="000B69E2"/>
    <w:rsid w:val="000C084F"/>
    <w:rsid w:val="000C1CD8"/>
    <w:rsid w:val="000C34D6"/>
    <w:rsid w:val="000C4669"/>
    <w:rsid w:val="000C5464"/>
    <w:rsid w:val="000C6229"/>
    <w:rsid w:val="000C6564"/>
    <w:rsid w:val="000C7B86"/>
    <w:rsid w:val="000C7D5C"/>
    <w:rsid w:val="000D065A"/>
    <w:rsid w:val="000D0CDD"/>
    <w:rsid w:val="000D121B"/>
    <w:rsid w:val="000D27F5"/>
    <w:rsid w:val="000D4B7F"/>
    <w:rsid w:val="000D5050"/>
    <w:rsid w:val="000D5108"/>
    <w:rsid w:val="000D7936"/>
    <w:rsid w:val="000E062A"/>
    <w:rsid w:val="000E2A8E"/>
    <w:rsid w:val="000E2ABC"/>
    <w:rsid w:val="000E3577"/>
    <w:rsid w:val="000E3C12"/>
    <w:rsid w:val="000E3D13"/>
    <w:rsid w:val="000E5E49"/>
    <w:rsid w:val="000E6FB7"/>
    <w:rsid w:val="000F080A"/>
    <w:rsid w:val="000F0ED5"/>
    <w:rsid w:val="000F273C"/>
    <w:rsid w:val="000F3823"/>
    <w:rsid w:val="000F3B10"/>
    <w:rsid w:val="000F45CC"/>
    <w:rsid w:val="000F4673"/>
    <w:rsid w:val="000F4F89"/>
    <w:rsid w:val="000F58A5"/>
    <w:rsid w:val="000F6CB0"/>
    <w:rsid w:val="00101156"/>
    <w:rsid w:val="0010238F"/>
    <w:rsid w:val="00102963"/>
    <w:rsid w:val="00103F57"/>
    <w:rsid w:val="001077FF"/>
    <w:rsid w:val="00112DBD"/>
    <w:rsid w:val="00114D76"/>
    <w:rsid w:val="00115423"/>
    <w:rsid w:val="00115A27"/>
    <w:rsid w:val="0011666D"/>
    <w:rsid w:val="00116877"/>
    <w:rsid w:val="00120904"/>
    <w:rsid w:val="00120D06"/>
    <w:rsid w:val="001211F6"/>
    <w:rsid w:val="001213C8"/>
    <w:rsid w:val="001216AC"/>
    <w:rsid w:val="00121CB4"/>
    <w:rsid w:val="001243D5"/>
    <w:rsid w:val="0012475A"/>
    <w:rsid w:val="00125301"/>
    <w:rsid w:val="001254F0"/>
    <w:rsid w:val="00125BE3"/>
    <w:rsid w:val="00125BF8"/>
    <w:rsid w:val="001261B3"/>
    <w:rsid w:val="00126AA5"/>
    <w:rsid w:val="001270E3"/>
    <w:rsid w:val="0013032E"/>
    <w:rsid w:val="00132DBD"/>
    <w:rsid w:val="001336E7"/>
    <w:rsid w:val="00133A34"/>
    <w:rsid w:val="00133D09"/>
    <w:rsid w:val="001340EF"/>
    <w:rsid w:val="00135C30"/>
    <w:rsid w:val="00136F5D"/>
    <w:rsid w:val="00137375"/>
    <w:rsid w:val="00140299"/>
    <w:rsid w:val="00143046"/>
    <w:rsid w:val="00144AFE"/>
    <w:rsid w:val="00144EB1"/>
    <w:rsid w:val="00146D08"/>
    <w:rsid w:val="00146D16"/>
    <w:rsid w:val="00147F38"/>
    <w:rsid w:val="00151364"/>
    <w:rsid w:val="00153163"/>
    <w:rsid w:val="001534EC"/>
    <w:rsid w:val="00154BB8"/>
    <w:rsid w:val="001563F0"/>
    <w:rsid w:val="001573E5"/>
    <w:rsid w:val="001600A0"/>
    <w:rsid w:val="00160B8C"/>
    <w:rsid w:val="00161942"/>
    <w:rsid w:val="0016350D"/>
    <w:rsid w:val="00163D96"/>
    <w:rsid w:val="00164B42"/>
    <w:rsid w:val="00166059"/>
    <w:rsid w:val="0016620A"/>
    <w:rsid w:val="0016666E"/>
    <w:rsid w:val="00166AA3"/>
    <w:rsid w:val="00167A27"/>
    <w:rsid w:val="00167C41"/>
    <w:rsid w:val="00171014"/>
    <w:rsid w:val="001716C7"/>
    <w:rsid w:val="0017322A"/>
    <w:rsid w:val="0017435A"/>
    <w:rsid w:val="001750FC"/>
    <w:rsid w:val="00175B45"/>
    <w:rsid w:val="00175BF3"/>
    <w:rsid w:val="00176DBC"/>
    <w:rsid w:val="00177878"/>
    <w:rsid w:val="00177DBF"/>
    <w:rsid w:val="00181D3B"/>
    <w:rsid w:val="00181D45"/>
    <w:rsid w:val="00181E0F"/>
    <w:rsid w:val="00182CAC"/>
    <w:rsid w:val="001830C3"/>
    <w:rsid w:val="00183DCD"/>
    <w:rsid w:val="00185374"/>
    <w:rsid w:val="00185938"/>
    <w:rsid w:val="00185A0D"/>
    <w:rsid w:val="00185BF5"/>
    <w:rsid w:val="0018624E"/>
    <w:rsid w:val="00195227"/>
    <w:rsid w:val="00196870"/>
    <w:rsid w:val="001A37E1"/>
    <w:rsid w:val="001A49C1"/>
    <w:rsid w:val="001A4D76"/>
    <w:rsid w:val="001A5525"/>
    <w:rsid w:val="001A5B99"/>
    <w:rsid w:val="001A5C29"/>
    <w:rsid w:val="001A65C5"/>
    <w:rsid w:val="001A75AE"/>
    <w:rsid w:val="001A7DCA"/>
    <w:rsid w:val="001B197A"/>
    <w:rsid w:val="001B3E1F"/>
    <w:rsid w:val="001B4A8A"/>
    <w:rsid w:val="001B4E75"/>
    <w:rsid w:val="001B528D"/>
    <w:rsid w:val="001B54E3"/>
    <w:rsid w:val="001B573F"/>
    <w:rsid w:val="001B597B"/>
    <w:rsid w:val="001B6235"/>
    <w:rsid w:val="001C144B"/>
    <w:rsid w:val="001C15F3"/>
    <w:rsid w:val="001C1DD0"/>
    <w:rsid w:val="001C3C40"/>
    <w:rsid w:val="001C481C"/>
    <w:rsid w:val="001C4B23"/>
    <w:rsid w:val="001C534C"/>
    <w:rsid w:val="001C55E2"/>
    <w:rsid w:val="001D0871"/>
    <w:rsid w:val="001D2758"/>
    <w:rsid w:val="001D2DB0"/>
    <w:rsid w:val="001D3110"/>
    <w:rsid w:val="001D4A7E"/>
    <w:rsid w:val="001D4FFE"/>
    <w:rsid w:val="001D5768"/>
    <w:rsid w:val="001D5AD9"/>
    <w:rsid w:val="001D5D7F"/>
    <w:rsid w:val="001D616F"/>
    <w:rsid w:val="001D66F5"/>
    <w:rsid w:val="001D7CBE"/>
    <w:rsid w:val="001E00A2"/>
    <w:rsid w:val="001E259F"/>
    <w:rsid w:val="001E25F8"/>
    <w:rsid w:val="001E31EB"/>
    <w:rsid w:val="001E39D0"/>
    <w:rsid w:val="001F0DE8"/>
    <w:rsid w:val="001F4442"/>
    <w:rsid w:val="001F4A1A"/>
    <w:rsid w:val="001F4B7A"/>
    <w:rsid w:val="001F6774"/>
    <w:rsid w:val="001F6C78"/>
    <w:rsid w:val="002056D8"/>
    <w:rsid w:val="00205BE4"/>
    <w:rsid w:val="002062B3"/>
    <w:rsid w:val="00206783"/>
    <w:rsid w:val="00207A4F"/>
    <w:rsid w:val="00210416"/>
    <w:rsid w:val="00210A8B"/>
    <w:rsid w:val="00211136"/>
    <w:rsid w:val="00211497"/>
    <w:rsid w:val="00212BF2"/>
    <w:rsid w:val="0021305A"/>
    <w:rsid w:val="00213289"/>
    <w:rsid w:val="00213856"/>
    <w:rsid w:val="00214726"/>
    <w:rsid w:val="002158D2"/>
    <w:rsid w:val="00216008"/>
    <w:rsid w:val="00216A7D"/>
    <w:rsid w:val="00216CE6"/>
    <w:rsid w:val="00216DB7"/>
    <w:rsid w:val="002179B1"/>
    <w:rsid w:val="00217D65"/>
    <w:rsid w:val="0022039D"/>
    <w:rsid w:val="00221265"/>
    <w:rsid w:val="00222563"/>
    <w:rsid w:val="00222CB0"/>
    <w:rsid w:val="002237F4"/>
    <w:rsid w:val="00230DEA"/>
    <w:rsid w:val="0023166C"/>
    <w:rsid w:val="0023280B"/>
    <w:rsid w:val="002328F6"/>
    <w:rsid w:val="002352E6"/>
    <w:rsid w:val="00236198"/>
    <w:rsid w:val="002401F2"/>
    <w:rsid w:val="00240481"/>
    <w:rsid w:val="002414B4"/>
    <w:rsid w:val="002416BC"/>
    <w:rsid w:val="00241FAF"/>
    <w:rsid w:val="00244AD0"/>
    <w:rsid w:val="00245107"/>
    <w:rsid w:val="00246962"/>
    <w:rsid w:val="0024703C"/>
    <w:rsid w:val="002517B5"/>
    <w:rsid w:val="00252FDC"/>
    <w:rsid w:val="0025372D"/>
    <w:rsid w:val="00253A8A"/>
    <w:rsid w:val="00257F2A"/>
    <w:rsid w:val="00260585"/>
    <w:rsid w:val="00260971"/>
    <w:rsid w:val="00264142"/>
    <w:rsid w:val="002666E6"/>
    <w:rsid w:val="002717AF"/>
    <w:rsid w:val="002720C9"/>
    <w:rsid w:val="00272812"/>
    <w:rsid w:val="00272C68"/>
    <w:rsid w:val="002747B9"/>
    <w:rsid w:val="00275BA4"/>
    <w:rsid w:val="00276BEA"/>
    <w:rsid w:val="00277B55"/>
    <w:rsid w:val="002800A5"/>
    <w:rsid w:val="00282A19"/>
    <w:rsid w:val="00282B2F"/>
    <w:rsid w:val="00284241"/>
    <w:rsid w:val="00284EDA"/>
    <w:rsid w:val="0028536B"/>
    <w:rsid w:val="00285983"/>
    <w:rsid w:val="00285FE2"/>
    <w:rsid w:val="0028742C"/>
    <w:rsid w:val="002904B8"/>
    <w:rsid w:val="00290614"/>
    <w:rsid w:val="002921B7"/>
    <w:rsid w:val="0029229E"/>
    <w:rsid w:val="0029239A"/>
    <w:rsid w:val="002925B7"/>
    <w:rsid w:val="0029279C"/>
    <w:rsid w:val="002943EE"/>
    <w:rsid w:val="00295BD3"/>
    <w:rsid w:val="002962DD"/>
    <w:rsid w:val="002970C2"/>
    <w:rsid w:val="00297AED"/>
    <w:rsid w:val="002A0990"/>
    <w:rsid w:val="002A10B8"/>
    <w:rsid w:val="002A2044"/>
    <w:rsid w:val="002A3B46"/>
    <w:rsid w:val="002A5948"/>
    <w:rsid w:val="002A6A0B"/>
    <w:rsid w:val="002A76BC"/>
    <w:rsid w:val="002A7D3A"/>
    <w:rsid w:val="002B031D"/>
    <w:rsid w:val="002B1641"/>
    <w:rsid w:val="002B1FA7"/>
    <w:rsid w:val="002B2866"/>
    <w:rsid w:val="002B3781"/>
    <w:rsid w:val="002B53ED"/>
    <w:rsid w:val="002B5DB2"/>
    <w:rsid w:val="002B6D1C"/>
    <w:rsid w:val="002B70E7"/>
    <w:rsid w:val="002C0386"/>
    <w:rsid w:val="002C0A96"/>
    <w:rsid w:val="002C0E31"/>
    <w:rsid w:val="002C0ED2"/>
    <w:rsid w:val="002C11B7"/>
    <w:rsid w:val="002C149F"/>
    <w:rsid w:val="002C19EB"/>
    <w:rsid w:val="002C5083"/>
    <w:rsid w:val="002C5AA5"/>
    <w:rsid w:val="002C667C"/>
    <w:rsid w:val="002C6D56"/>
    <w:rsid w:val="002C7BBF"/>
    <w:rsid w:val="002D0DD4"/>
    <w:rsid w:val="002D182B"/>
    <w:rsid w:val="002D1DF1"/>
    <w:rsid w:val="002D38C6"/>
    <w:rsid w:val="002D5AFD"/>
    <w:rsid w:val="002D5B17"/>
    <w:rsid w:val="002D5B1B"/>
    <w:rsid w:val="002D72D6"/>
    <w:rsid w:val="002D7D10"/>
    <w:rsid w:val="002E0681"/>
    <w:rsid w:val="002E102A"/>
    <w:rsid w:val="002E1853"/>
    <w:rsid w:val="002E23B9"/>
    <w:rsid w:val="002E3A09"/>
    <w:rsid w:val="002E5908"/>
    <w:rsid w:val="002E5C91"/>
    <w:rsid w:val="002E653C"/>
    <w:rsid w:val="002E698C"/>
    <w:rsid w:val="002F0A88"/>
    <w:rsid w:val="002F2B11"/>
    <w:rsid w:val="002F2BD1"/>
    <w:rsid w:val="002F408F"/>
    <w:rsid w:val="002F4B2F"/>
    <w:rsid w:val="002F7B11"/>
    <w:rsid w:val="002F7B18"/>
    <w:rsid w:val="002F7D69"/>
    <w:rsid w:val="002F7DA7"/>
    <w:rsid w:val="002F7E6F"/>
    <w:rsid w:val="00302368"/>
    <w:rsid w:val="00302D67"/>
    <w:rsid w:val="0030439F"/>
    <w:rsid w:val="0030462B"/>
    <w:rsid w:val="00304F69"/>
    <w:rsid w:val="00306A1A"/>
    <w:rsid w:val="00310E48"/>
    <w:rsid w:val="00311462"/>
    <w:rsid w:val="003128A2"/>
    <w:rsid w:val="00313823"/>
    <w:rsid w:val="00313FE3"/>
    <w:rsid w:val="00314729"/>
    <w:rsid w:val="0031500A"/>
    <w:rsid w:val="00316869"/>
    <w:rsid w:val="00316FAF"/>
    <w:rsid w:val="0031759F"/>
    <w:rsid w:val="003214B9"/>
    <w:rsid w:val="00321DB3"/>
    <w:rsid w:val="00322CD2"/>
    <w:rsid w:val="003233BD"/>
    <w:rsid w:val="003270BE"/>
    <w:rsid w:val="00330DD3"/>
    <w:rsid w:val="003313C5"/>
    <w:rsid w:val="003321FC"/>
    <w:rsid w:val="00334F35"/>
    <w:rsid w:val="0033504B"/>
    <w:rsid w:val="00336CEA"/>
    <w:rsid w:val="00337402"/>
    <w:rsid w:val="00337EAB"/>
    <w:rsid w:val="003400CC"/>
    <w:rsid w:val="00342763"/>
    <w:rsid w:val="00342768"/>
    <w:rsid w:val="003431F6"/>
    <w:rsid w:val="0034335F"/>
    <w:rsid w:val="00343E3D"/>
    <w:rsid w:val="00344F4A"/>
    <w:rsid w:val="00345311"/>
    <w:rsid w:val="003453D4"/>
    <w:rsid w:val="003460C4"/>
    <w:rsid w:val="003465FF"/>
    <w:rsid w:val="0034791E"/>
    <w:rsid w:val="00350D26"/>
    <w:rsid w:val="003516A6"/>
    <w:rsid w:val="00351ABC"/>
    <w:rsid w:val="003530D8"/>
    <w:rsid w:val="003565A2"/>
    <w:rsid w:val="00356EE3"/>
    <w:rsid w:val="00357F5C"/>
    <w:rsid w:val="00360C73"/>
    <w:rsid w:val="00360C96"/>
    <w:rsid w:val="00364C4E"/>
    <w:rsid w:val="003672DB"/>
    <w:rsid w:val="00367FC7"/>
    <w:rsid w:val="00370C73"/>
    <w:rsid w:val="00371399"/>
    <w:rsid w:val="00371E8D"/>
    <w:rsid w:val="00372B08"/>
    <w:rsid w:val="00373305"/>
    <w:rsid w:val="0037585D"/>
    <w:rsid w:val="003765DF"/>
    <w:rsid w:val="00380BD2"/>
    <w:rsid w:val="003839EC"/>
    <w:rsid w:val="0038591D"/>
    <w:rsid w:val="00386589"/>
    <w:rsid w:val="00387824"/>
    <w:rsid w:val="003908CA"/>
    <w:rsid w:val="00395DB2"/>
    <w:rsid w:val="0039606A"/>
    <w:rsid w:val="0039789E"/>
    <w:rsid w:val="00397DE2"/>
    <w:rsid w:val="003A025C"/>
    <w:rsid w:val="003A06F2"/>
    <w:rsid w:val="003A0700"/>
    <w:rsid w:val="003A161C"/>
    <w:rsid w:val="003A398D"/>
    <w:rsid w:val="003A5053"/>
    <w:rsid w:val="003A72DB"/>
    <w:rsid w:val="003A7545"/>
    <w:rsid w:val="003B0EAD"/>
    <w:rsid w:val="003B123E"/>
    <w:rsid w:val="003B1D46"/>
    <w:rsid w:val="003B1E81"/>
    <w:rsid w:val="003B2E38"/>
    <w:rsid w:val="003B344A"/>
    <w:rsid w:val="003B5202"/>
    <w:rsid w:val="003B6E97"/>
    <w:rsid w:val="003C04DE"/>
    <w:rsid w:val="003C0E27"/>
    <w:rsid w:val="003C0FD2"/>
    <w:rsid w:val="003C1142"/>
    <w:rsid w:val="003C1500"/>
    <w:rsid w:val="003C3572"/>
    <w:rsid w:val="003C3948"/>
    <w:rsid w:val="003C3CA8"/>
    <w:rsid w:val="003C4D19"/>
    <w:rsid w:val="003C554C"/>
    <w:rsid w:val="003C5580"/>
    <w:rsid w:val="003C738A"/>
    <w:rsid w:val="003C7615"/>
    <w:rsid w:val="003D180A"/>
    <w:rsid w:val="003D2560"/>
    <w:rsid w:val="003D2910"/>
    <w:rsid w:val="003D2C46"/>
    <w:rsid w:val="003D2F9B"/>
    <w:rsid w:val="003D517D"/>
    <w:rsid w:val="003D51C1"/>
    <w:rsid w:val="003D5774"/>
    <w:rsid w:val="003D5D12"/>
    <w:rsid w:val="003E159C"/>
    <w:rsid w:val="003E160F"/>
    <w:rsid w:val="003E2113"/>
    <w:rsid w:val="003E2E58"/>
    <w:rsid w:val="003E5B1F"/>
    <w:rsid w:val="003E623E"/>
    <w:rsid w:val="003E6C02"/>
    <w:rsid w:val="003F01FC"/>
    <w:rsid w:val="003F0B87"/>
    <w:rsid w:val="003F3F14"/>
    <w:rsid w:val="003F5621"/>
    <w:rsid w:val="003F6666"/>
    <w:rsid w:val="003F6C1A"/>
    <w:rsid w:val="003F7356"/>
    <w:rsid w:val="003F7ABE"/>
    <w:rsid w:val="00400676"/>
    <w:rsid w:val="00401B3B"/>
    <w:rsid w:val="00401CD3"/>
    <w:rsid w:val="0040265E"/>
    <w:rsid w:val="00402AFE"/>
    <w:rsid w:val="0040480A"/>
    <w:rsid w:val="00404FE5"/>
    <w:rsid w:val="00405453"/>
    <w:rsid w:val="0040592A"/>
    <w:rsid w:val="00406022"/>
    <w:rsid w:val="0040764C"/>
    <w:rsid w:val="00407DC5"/>
    <w:rsid w:val="00407EB1"/>
    <w:rsid w:val="00410772"/>
    <w:rsid w:val="004115D2"/>
    <w:rsid w:val="00412123"/>
    <w:rsid w:val="0041252A"/>
    <w:rsid w:val="004148CE"/>
    <w:rsid w:val="00414CD3"/>
    <w:rsid w:val="004160AB"/>
    <w:rsid w:val="00416956"/>
    <w:rsid w:val="004232BB"/>
    <w:rsid w:val="0042425E"/>
    <w:rsid w:val="00424459"/>
    <w:rsid w:val="00425F94"/>
    <w:rsid w:val="0043266C"/>
    <w:rsid w:val="00433DB3"/>
    <w:rsid w:val="00434355"/>
    <w:rsid w:val="004356FE"/>
    <w:rsid w:val="00435F0B"/>
    <w:rsid w:val="00436FB6"/>
    <w:rsid w:val="004374E1"/>
    <w:rsid w:val="00437571"/>
    <w:rsid w:val="00440A2E"/>
    <w:rsid w:val="00443CF4"/>
    <w:rsid w:val="0044418A"/>
    <w:rsid w:val="00444B2D"/>
    <w:rsid w:val="00445CB4"/>
    <w:rsid w:val="0044684E"/>
    <w:rsid w:val="00450B7D"/>
    <w:rsid w:val="0045374D"/>
    <w:rsid w:val="00454CB8"/>
    <w:rsid w:val="004556BB"/>
    <w:rsid w:val="00455D7D"/>
    <w:rsid w:val="00455FF5"/>
    <w:rsid w:val="0045677E"/>
    <w:rsid w:val="0046431F"/>
    <w:rsid w:val="00465044"/>
    <w:rsid w:val="00465574"/>
    <w:rsid w:val="0046636F"/>
    <w:rsid w:val="00471529"/>
    <w:rsid w:val="0047188E"/>
    <w:rsid w:val="00472086"/>
    <w:rsid w:val="004729AC"/>
    <w:rsid w:val="00473E78"/>
    <w:rsid w:val="00475333"/>
    <w:rsid w:val="00475873"/>
    <w:rsid w:val="00476577"/>
    <w:rsid w:val="004772C7"/>
    <w:rsid w:val="00477ADA"/>
    <w:rsid w:val="00480CD7"/>
    <w:rsid w:val="00481366"/>
    <w:rsid w:val="00485F77"/>
    <w:rsid w:val="00487A08"/>
    <w:rsid w:val="00490964"/>
    <w:rsid w:val="004926D7"/>
    <w:rsid w:val="00492CEE"/>
    <w:rsid w:val="00492E3A"/>
    <w:rsid w:val="00493744"/>
    <w:rsid w:val="0049401D"/>
    <w:rsid w:val="004945CF"/>
    <w:rsid w:val="00496EC8"/>
    <w:rsid w:val="0049781F"/>
    <w:rsid w:val="00497D49"/>
    <w:rsid w:val="004A34B3"/>
    <w:rsid w:val="004A645E"/>
    <w:rsid w:val="004B07BD"/>
    <w:rsid w:val="004B0C43"/>
    <w:rsid w:val="004B26A1"/>
    <w:rsid w:val="004B2B44"/>
    <w:rsid w:val="004B46B7"/>
    <w:rsid w:val="004B63E8"/>
    <w:rsid w:val="004B717B"/>
    <w:rsid w:val="004B75F1"/>
    <w:rsid w:val="004B76CB"/>
    <w:rsid w:val="004C032F"/>
    <w:rsid w:val="004C1060"/>
    <w:rsid w:val="004C156D"/>
    <w:rsid w:val="004C2E98"/>
    <w:rsid w:val="004C319A"/>
    <w:rsid w:val="004C495E"/>
    <w:rsid w:val="004C50B0"/>
    <w:rsid w:val="004C57FA"/>
    <w:rsid w:val="004C5F13"/>
    <w:rsid w:val="004C61DD"/>
    <w:rsid w:val="004C65B4"/>
    <w:rsid w:val="004C7427"/>
    <w:rsid w:val="004C7C49"/>
    <w:rsid w:val="004D1784"/>
    <w:rsid w:val="004D18E9"/>
    <w:rsid w:val="004D1A82"/>
    <w:rsid w:val="004D6F05"/>
    <w:rsid w:val="004E1AAD"/>
    <w:rsid w:val="004E5B8B"/>
    <w:rsid w:val="004E60A4"/>
    <w:rsid w:val="004E77AE"/>
    <w:rsid w:val="004F0A8B"/>
    <w:rsid w:val="004F1B4F"/>
    <w:rsid w:val="004F202C"/>
    <w:rsid w:val="004F24EA"/>
    <w:rsid w:val="004F4CE4"/>
    <w:rsid w:val="004F6940"/>
    <w:rsid w:val="004F79FD"/>
    <w:rsid w:val="004F7B47"/>
    <w:rsid w:val="00501293"/>
    <w:rsid w:val="00501586"/>
    <w:rsid w:val="005016D0"/>
    <w:rsid w:val="005021E0"/>
    <w:rsid w:val="00502732"/>
    <w:rsid w:val="0050438C"/>
    <w:rsid w:val="00506E01"/>
    <w:rsid w:val="00506EC6"/>
    <w:rsid w:val="005072D6"/>
    <w:rsid w:val="00510AFD"/>
    <w:rsid w:val="00511578"/>
    <w:rsid w:val="0051160C"/>
    <w:rsid w:val="005117F9"/>
    <w:rsid w:val="005121DA"/>
    <w:rsid w:val="005124BA"/>
    <w:rsid w:val="00512F6A"/>
    <w:rsid w:val="005135D9"/>
    <w:rsid w:val="00515578"/>
    <w:rsid w:val="00522723"/>
    <w:rsid w:val="00522925"/>
    <w:rsid w:val="00524388"/>
    <w:rsid w:val="00524441"/>
    <w:rsid w:val="005244DF"/>
    <w:rsid w:val="00524886"/>
    <w:rsid w:val="005262C8"/>
    <w:rsid w:val="00526C71"/>
    <w:rsid w:val="0052724B"/>
    <w:rsid w:val="0052799F"/>
    <w:rsid w:val="00530174"/>
    <w:rsid w:val="005308F0"/>
    <w:rsid w:val="00530A4A"/>
    <w:rsid w:val="00530BC3"/>
    <w:rsid w:val="005318EE"/>
    <w:rsid w:val="00531FD8"/>
    <w:rsid w:val="00532489"/>
    <w:rsid w:val="00532988"/>
    <w:rsid w:val="00533AAB"/>
    <w:rsid w:val="005358E5"/>
    <w:rsid w:val="00536B4C"/>
    <w:rsid w:val="00540217"/>
    <w:rsid w:val="00541AD6"/>
    <w:rsid w:val="00542032"/>
    <w:rsid w:val="005426BB"/>
    <w:rsid w:val="005431E7"/>
    <w:rsid w:val="00543384"/>
    <w:rsid w:val="005435BA"/>
    <w:rsid w:val="0054542A"/>
    <w:rsid w:val="00547FD9"/>
    <w:rsid w:val="00550594"/>
    <w:rsid w:val="00551502"/>
    <w:rsid w:val="00552901"/>
    <w:rsid w:val="005540DB"/>
    <w:rsid w:val="00555742"/>
    <w:rsid w:val="00555ED1"/>
    <w:rsid w:val="005561C2"/>
    <w:rsid w:val="005562B7"/>
    <w:rsid w:val="00556A65"/>
    <w:rsid w:val="00556C74"/>
    <w:rsid w:val="00560BCA"/>
    <w:rsid w:val="00561519"/>
    <w:rsid w:val="0056293E"/>
    <w:rsid w:val="00562F1F"/>
    <w:rsid w:val="005635DF"/>
    <w:rsid w:val="005635EF"/>
    <w:rsid w:val="00563856"/>
    <w:rsid w:val="00564B2F"/>
    <w:rsid w:val="00564EA7"/>
    <w:rsid w:val="005656B3"/>
    <w:rsid w:val="00567077"/>
    <w:rsid w:val="00567F1B"/>
    <w:rsid w:val="00571802"/>
    <w:rsid w:val="00572FC8"/>
    <w:rsid w:val="00573CDD"/>
    <w:rsid w:val="00574730"/>
    <w:rsid w:val="005763D1"/>
    <w:rsid w:val="00576641"/>
    <w:rsid w:val="00577210"/>
    <w:rsid w:val="00577335"/>
    <w:rsid w:val="005826FF"/>
    <w:rsid w:val="0058720A"/>
    <w:rsid w:val="00591552"/>
    <w:rsid w:val="0059252E"/>
    <w:rsid w:val="005948D8"/>
    <w:rsid w:val="005953D7"/>
    <w:rsid w:val="00596A5B"/>
    <w:rsid w:val="00597CAF"/>
    <w:rsid w:val="00597CEC"/>
    <w:rsid w:val="005A03CF"/>
    <w:rsid w:val="005A04B1"/>
    <w:rsid w:val="005A0788"/>
    <w:rsid w:val="005A138F"/>
    <w:rsid w:val="005A1A27"/>
    <w:rsid w:val="005A2CCF"/>
    <w:rsid w:val="005A3939"/>
    <w:rsid w:val="005A4C2D"/>
    <w:rsid w:val="005A6056"/>
    <w:rsid w:val="005A6931"/>
    <w:rsid w:val="005A79E1"/>
    <w:rsid w:val="005B395A"/>
    <w:rsid w:val="005B4D31"/>
    <w:rsid w:val="005B5039"/>
    <w:rsid w:val="005B6441"/>
    <w:rsid w:val="005C00C2"/>
    <w:rsid w:val="005C01B8"/>
    <w:rsid w:val="005C08C0"/>
    <w:rsid w:val="005C186E"/>
    <w:rsid w:val="005C1955"/>
    <w:rsid w:val="005C1B22"/>
    <w:rsid w:val="005C39B2"/>
    <w:rsid w:val="005C3A01"/>
    <w:rsid w:val="005C4E85"/>
    <w:rsid w:val="005C6500"/>
    <w:rsid w:val="005C6C02"/>
    <w:rsid w:val="005C7DD8"/>
    <w:rsid w:val="005C7E31"/>
    <w:rsid w:val="005C7FD1"/>
    <w:rsid w:val="005D5E5D"/>
    <w:rsid w:val="005E06C1"/>
    <w:rsid w:val="005E09F0"/>
    <w:rsid w:val="005E0F90"/>
    <w:rsid w:val="005E117F"/>
    <w:rsid w:val="005E1473"/>
    <w:rsid w:val="005E42CE"/>
    <w:rsid w:val="005E5447"/>
    <w:rsid w:val="005E568E"/>
    <w:rsid w:val="005E74C3"/>
    <w:rsid w:val="005E7F47"/>
    <w:rsid w:val="005F012B"/>
    <w:rsid w:val="005F0AC6"/>
    <w:rsid w:val="005F1FAA"/>
    <w:rsid w:val="005F24FC"/>
    <w:rsid w:val="005F307E"/>
    <w:rsid w:val="005F3B8C"/>
    <w:rsid w:val="005F6480"/>
    <w:rsid w:val="005F7FF7"/>
    <w:rsid w:val="00600F53"/>
    <w:rsid w:val="00602CB6"/>
    <w:rsid w:val="00604C9B"/>
    <w:rsid w:val="006079DA"/>
    <w:rsid w:val="00610A52"/>
    <w:rsid w:val="00610E74"/>
    <w:rsid w:val="006115EB"/>
    <w:rsid w:val="00611EA5"/>
    <w:rsid w:val="006144C1"/>
    <w:rsid w:val="00614671"/>
    <w:rsid w:val="00615970"/>
    <w:rsid w:val="006160A3"/>
    <w:rsid w:val="00621E1A"/>
    <w:rsid w:val="00622DD5"/>
    <w:rsid w:val="00624181"/>
    <w:rsid w:val="00624B71"/>
    <w:rsid w:val="006260BF"/>
    <w:rsid w:val="006261FB"/>
    <w:rsid w:val="006265C3"/>
    <w:rsid w:val="00626B43"/>
    <w:rsid w:val="0062768B"/>
    <w:rsid w:val="00627DEC"/>
    <w:rsid w:val="00630B90"/>
    <w:rsid w:val="006331C8"/>
    <w:rsid w:val="00633DE3"/>
    <w:rsid w:val="0063564A"/>
    <w:rsid w:val="006363DB"/>
    <w:rsid w:val="006366C2"/>
    <w:rsid w:val="006370B3"/>
    <w:rsid w:val="00640438"/>
    <w:rsid w:val="00640619"/>
    <w:rsid w:val="0064089B"/>
    <w:rsid w:val="00640B12"/>
    <w:rsid w:val="00642F6F"/>
    <w:rsid w:val="00643C9E"/>
    <w:rsid w:val="00644D97"/>
    <w:rsid w:val="0064535E"/>
    <w:rsid w:val="00650A04"/>
    <w:rsid w:val="006528DC"/>
    <w:rsid w:val="006529A1"/>
    <w:rsid w:val="006529FF"/>
    <w:rsid w:val="006543D1"/>
    <w:rsid w:val="00654960"/>
    <w:rsid w:val="00654E05"/>
    <w:rsid w:val="006555E5"/>
    <w:rsid w:val="006569C9"/>
    <w:rsid w:val="00660C21"/>
    <w:rsid w:val="006641C5"/>
    <w:rsid w:val="00664829"/>
    <w:rsid w:val="00664A73"/>
    <w:rsid w:val="00664E00"/>
    <w:rsid w:val="00665936"/>
    <w:rsid w:val="00665BF4"/>
    <w:rsid w:val="00665E50"/>
    <w:rsid w:val="0066776A"/>
    <w:rsid w:val="00667DDA"/>
    <w:rsid w:val="00671D15"/>
    <w:rsid w:val="00671F35"/>
    <w:rsid w:val="006725B6"/>
    <w:rsid w:val="006726BA"/>
    <w:rsid w:val="00673AC5"/>
    <w:rsid w:val="006753E4"/>
    <w:rsid w:val="006754BC"/>
    <w:rsid w:val="00676551"/>
    <w:rsid w:val="00676F9F"/>
    <w:rsid w:val="00677611"/>
    <w:rsid w:val="0067797E"/>
    <w:rsid w:val="0068264C"/>
    <w:rsid w:val="00682A71"/>
    <w:rsid w:val="00683482"/>
    <w:rsid w:val="0068537F"/>
    <w:rsid w:val="00686819"/>
    <w:rsid w:val="00686913"/>
    <w:rsid w:val="006951B9"/>
    <w:rsid w:val="0069540E"/>
    <w:rsid w:val="006969A9"/>
    <w:rsid w:val="00696AE6"/>
    <w:rsid w:val="0069777D"/>
    <w:rsid w:val="006A0204"/>
    <w:rsid w:val="006A13DC"/>
    <w:rsid w:val="006A1E7B"/>
    <w:rsid w:val="006A2487"/>
    <w:rsid w:val="006A34D5"/>
    <w:rsid w:val="006A3F54"/>
    <w:rsid w:val="006A40C0"/>
    <w:rsid w:val="006A4D96"/>
    <w:rsid w:val="006B2434"/>
    <w:rsid w:val="006B2907"/>
    <w:rsid w:val="006B31BF"/>
    <w:rsid w:val="006B3715"/>
    <w:rsid w:val="006B7210"/>
    <w:rsid w:val="006C06A8"/>
    <w:rsid w:val="006C1ADE"/>
    <w:rsid w:val="006C48C1"/>
    <w:rsid w:val="006C6C50"/>
    <w:rsid w:val="006C7E44"/>
    <w:rsid w:val="006C7EAA"/>
    <w:rsid w:val="006D020B"/>
    <w:rsid w:val="006D04D4"/>
    <w:rsid w:val="006D0DE4"/>
    <w:rsid w:val="006D0E44"/>
    <w:rsid w:val="006D20A8"/>
    <w:rsid w:val="006D2EF8"/>
    <w:rsid w:val="006D5445"/>
    <w:rsid w:val="006D6930"/>
    <w:rsid w:val="006D7140"/>
    <w:rsid w:val="006D7A73"/>
    <w:rsid w:val="006E02A7"/>
    <w:rsid w:val="006E3637"/>
    <w:rsid w:val="006E3FDF"/>
    <w:rsid w:val="006E4A1E"/>
    <w:rsid w:val="006F0646"/>
    <w:rsid w:val="006F0DFF"/>
    <w:rsid w:val="006F0E58"/>
    <w:rsid w:val="006F10E2"/>
    <w:rsid w:val="006F14CB"/>
    <w:rsid w:val="006F4513"/>
    <w:rsid w:val="006F6C95"/>
    <w:rsid w:val="006F761C"/>
    <w:rsid w:val="0070116D"/>
    <w:rsid w:val="007016F7"/>
    <w:rsid w:val="007029D1"/>
    <w:rsid w:val="00703599"/>
    <w:rsid w:val="0070415E"/>
    <w:rsid w:val="00704301"/>
    <w:rsid w:val="00705E7A"/>
    <w:rsid w:val="0071067B"/>
    <w:rsid w:val="00710D68"/>
    <w:rsid w:val="007130C1"/>
    <w:rsid w:val="00713282"/>
    <w:rsid w:val="00713B72"/>
    <w:rsid w:val="00714695"/>
    <w:rsid w:val="00714943"/>
    <w:rsid w:val="00715BA7"/>
    <w:rsid w:val="0072073B"/>
    <w:rsid w:val="00724656"/>
    <w:rsid w:val="00724BC8"/>
    <w:rsid w:val="00726E35"/>
    <w:rsid w:val="00726E75"/>
    <w:rsid w:val="00726ED8"/>
    <w:rsid w:val="00726EE5"/>
    <w:rsid w:val="007312F6"/>
    <w:rsid w:val="0073187F"/>
    <w:rsid w:val="00733212"/>
    <w:rsid w:val="00734026"/>
    <w:rsid w:val="0073444F"/>
    <w:rsid w:val="007357CF"/>
    <w:rsid w:val="00735BE7"/>
    <w:rsid w:val="00735E9D"/>
    <w:rsid w:val="00736636"/>
    <w:rsid w:val="00736D11"/>
    <w:rsid w:val="007378A2"/>
    <w:rsid w:val="0074006F"/>
    <w:rsid w:val="00742890"/>
    <w:rsid w:val="00743101"/>
    <w:rsid w:val="00744575"/>
    <w:rsid w:val="007445E3"/>
    <w:rsid w:val="0074521E"/>
    <w:rsid w:val="0074526A"/>
    <w:rsid w:val="00745A41"/>
    <w:rsid w:val="00746890"/>
    <w:rsid w:val="007472E9"/>
    <w:rsid w:val="00747762"/>
    <w:rsid w:val="0075051C"/>
    <w:rsid w:val="00750895"/>
    <w:rsid w:val="0075139C"/>
    <w:rsid w:val="00751BDD"/>
    <w:rsid w:val="007539E6"/>
    <w:rsid w:val="00754F2F"/>
    <w:rsid w:val="007571BA"/>
    <w:rsid w:val="0076160E"/>
    <w:rsid w:val="00762D4B"/>
    <w:rsid w:val="00764E3F"/>
    <w:rsid w:val="00766099"/>
    <w:rsid w:val="00770332"/>
    <w:rsid w:val="00771B44"/>
    <w:rsid w:val="0077210A"/>
    <w:rsid w:val="007727B4"/>
    <w:rsid w:val="00774819"/>
    <w:rsid w:val="00775BA7"/>
    <w:rsid w:val="00775C5D"/>
    <w:rsid w:val="0077613F"/>
    <w:rsid w:val="00777B2C"/>
    <w:rsid w:val="00780410"/>
    <w:rsid w:val="007822AA"/>
    <w:rsid w:val="007829E9"/>
    <w:rsid w:val="00783DA1"/>
    <w:rsid w:val="00784319"/>
    <w:rsid w:val="007846DE"/>
    <w:rsid w:val="00784B8A"/>
    <w:rsid w:val="007857FC"/>
    <w:rsid w:val="00785CC8"/>
    <w:rsid w:val="00787C74"/>
    <w:rsid w:val="00790F14"/>
    <w:rsid w:val="0079492B"/>
    <w:rsid w:val="0079650E"/>
    <w:rsid w:val="00797EB4"/>
    <w:rsid w:val="007A2740"/>
    <w:rsid w:val="007A45B2"/>
    <w:rsid w:val="007A60A5"/>
    <w:rsid w:val="007A6D56"/>
    <w:rsid w:val="007A7271"/>
    <w:rsid w:val="007A737D"/>
    <w:rsid w:val="007B0552"/>
    <w:rsid w:val="007B0ED3"/>
    <w:rsid w:val="007B0FE6"/>
    <w:rsid w:val="007B1062"/>
    <w:rsid w:val="007B17C6"/>
    <w:rsid w:val="007B1CCC"/>
    <w:rsid w:val="007B2443"/>
    <w:rsid w:val="007B24D6"/>
    <w:rsid w:val="007B43A7"/>
    <w:rsid w:val="007B50BB"/>
    <w:rsid w:val="007B5E32"/>
    <w:rsid w:val="007B5EE2"/>
    <w:rsid w:val="007B6860"/>
    <w:rsid w:val="007C0746"/>
    <w:rsid w:val="007C143F"/>
    <w:rsid w:val="007C15F7"/>
    <w:rsid w:val="007C2431"/>
    <w:rsid w:val="007C520B"/>
    <w:rsid w:val="007C669F"/>
    <w:rsid w:val="007C7AFF"/>
    <w:rsid w:val="007D0B6B"/>
    <w:rsid w:val="007D0B73"/>
    <w:rsid w:val="007D0D2C"/>
    <w:rsid w:val="007D22BC"/>
    <w:rsid w:val="007D28B0"/>
    <w:rsid w:val="007D2B34"/>
    <w:rsid w:val="007D2C67"/>
    <w:rsid w:val="007D2D8F"/>
    <w:rsid w:val="007D61C0"/>
    <w:rsid w:val="007E1196"/>
    <w:rsid w:val="007E249B"/>
    <w:rsid w:val="007E32DD"/>
    <w:rsid w:val="007E39D8"/>
    <w:rsid w:val="007E430D"/>
    <w:rsid w:val="007E48BD"/>
    <w:rsid w:val="007E5EFD"/>
    <w:rsid w:val="007E66EA"/>
    <w:rsid w:val="007F0385"/>
    <w:rsid w:val="007F072A"/>
    <w:rsid w:val="007F2526"/>
    <w:rsid w:val="007F364C"/>
    <w:rsid w:val="007F37D6"/>
    <w:rsid w:val="007F45D3"/>
    <w:rsid w:val="007F77A3"/>
    <w:rsid w:val="008001CE"/>
    <w:rsid w:val="00800915"/>
    <w:rsid w:val="00801B15"/>
    <w:rsid w:val="00802599"/>
    <w:rsid w:val="00802F5B"/>
    <w:rsid w:val="008065B0"/>
    <w:rsid w:val="008068D7"/>
    <w:rsid w:val="00806DF2"/>
    <w:rsid w:val="008104F9"/>
    <w:rsid w:val="00810D29"/>
    <w:rsid w:val="008125BD"/>
    <w:rsid w:val="008133D9"/>
    <w:rsid w:val="00813EE5"/>
    <w:rsid w:val="008166B4"/>
    <w:rsid w:val="00816C0B"/>
    <w:rsid w:val="0081727F"/>
    <w:rsid w:val="00820FEB"/>
    <w:rsid w:val="00821591"/>
    <w:rsid w:val="00823F8F"/>
    <w:rsid w:val="0082476D"/>
    <w:rsid w:val="00824A87"/>
    <w:rsid w:val="0082508C"/>
    <w:rsid w:val="008268D8"/>
    <w:rsid w:val="008310B6"/>
    <w:rsid w:val="00832FE9"/>
    <w:rsid w:val="008331A0"/>
    <w:rsid w:val="00833B05"/>
    <w:rsid w:val="00836475"/>
    <w:rsid w:val="00840DB4"/>
    <w:rsid w:val="00841722"/>
    <w:rsid w:val="0084205B"/>
    <w:rsid w:val="00842592"/>
    <w:rsid w:val="00842D55"/>
    <w:rsid w:val="00844B71"/>
    <w:rsid w:val="008454F5"/>
    <w:rsid w:val="00846F4D"/>
    <w:rsid w:val="0085132E"/>
    <w:rsid w:val="008527D2"/>
    <w:rsid w:val="00852ABF"/>
    <w:rsid w:val="00852D8A"/>
    <w:rsid w:val="008551E0"/>
    <w:rsid w:val="008551FA"/>
    <w:rsid w:val="00856157"/>
    <w:rsid w:val="00856A78"/>
    <w:rsid w:val="00860EC0"/>
    <w:rsid w:val="0086204B"/>
    <w:rsid w:val="00862135"/>
    <w:rsid w:val="008632DF"/>
    <w:rsid w:val="00864958"/>
    <w:rsid w:val="008658AA"/>
    <w:rsid w:val="00867571"/>
    <w:rsid w:val="008675FB"/>
    <w:rsid w:val="00871184"/>
    <w:rsid w:val="00871611"/>
    <w:rsid w:val="00871705"/>
    <w:rsid w:val="008717E6"/>
    <w:rsid w:val="00872C21"/>
    <w:rsid w:val="00873A27"/>
    <w:rsid w:val="00873FB6"/>
    <w:rsid w:val="0087539D"/>
    <w:rsid w:val="00875B62"/>
    <w:rsid w:val="00875DA7"/>
    <w:rsid w:val="00876436"/>
    <w:rsid w:val="0087678B"/>
    <w:rsid w:val="00876B4E"/>
    <w:rsid w:val="00876C34"/>
    <w:rsid w:val="008810D8"/>
    <w:rsid w:val="0088169F"/>
    <w:rsid w:val="00882425"/>
    <w:rsid w:val="00883093"/>
    <w:rsid w:val="00883A76"/>
    <w:rsid w:val="008846DA"/>
    <w:rsid w:val="008867F6"/>
    <w:rsid w:val="0088682A"/>
    <w:rsid w:val="00887741"/>
    <w:rsid w:val="00890F6C"/>
    <w:rsid w:val="00893BF5"/>
    <w:rsid w:val="00894187"/>
    <w:rsid w:val="0089500A"/>
    <w:rsid w:val="00895F69"/>
    <w:rsid w:val="00895FFA"/>
    <w:rsid w:val="008967B8"/>
    <w:rsid w:val="0089693D"/>
    <w:rsid w:val="00897553"/>
    <w:rsid w:val="008978D3"/>
    <w:rsid w:val="008A0037"/>
    <w:rsid w:val="008A0DBC"/>
    <w:rsid w:val="008A2225"/>
    <w:rsid w:val="008A7405"/>
    <w:rsid w:val="008A7F1F"/>
    <w:rsid w:val="008B0A19"/>
    <w:rsid w:val="008B1984"/>
    <w:rsid w:val="008B1F90"/>
    <w:rsid w:val="008B4821"/>
    <w:rsid w:val="008B6A18"/>
    <w:rsid w:val="008B6D89"/>
    <w:rsid w:val="008B7FB6"/>
    <w:rsid w:val="008C0131"/>
    <w:rsid w:val="008C0345"/>
    <w:rsid w:val="008C0F99"/>
    <w:rsid w:val="008C1CA4"/>
    <w:rsid w:val="008C5806"/>
    <w:rsid w:val="008C7085"/>
    <w:rsid w:val="008D107F"/>
    <w:rsid w:val="008D3743"/>
    <w:rsid w:val="008D3AD9"/>
    <w:rsid w:val="008D46B5"/>
    <w:rsid w:val="008D50FB"/>
    <w:rsid w:val="008D5B73"/>
    <w:rsid w:val="008D629C"/>
    <w:rsid w:val="008D65B0"/>
    <w:rsid w:val="008D67DF"/>
    <w:rsid w:val="008D7A33"/>
    <w:rsid w:val="008D7ECC"/>
    <w:rsid w:val="008E0E49"/>
    <w:rsid w:val="008E146A"/>
    <w:rsid w:val="008E2367"/>
    <w:rsid w:val="008E3032"/>
    <w:rsid w:val="008E5B86"/>
    <w:rsid w:val="008E623E"/>
    <w:rsid w:val="008E6B44"/>
    <w:rsid w:val="008E70C1"/>
    <w:rsid w:val="008E726F"/>
    <w:rsid w:val="008F0A70"/>
    <w:rsid w:val="008F0C94"/>
    <w:rsid w:val="008F27F5"/>
    <w:rsid w:val="008F2E7D"/>
    <w:rsid w:val="008F519E"/>
    <w:rsid w:val="008F51AD"/>
    <w:rsid w:val="008F69A7"/>
    <w:rsid w:val="009012AE"/>
    <w:rsid w:val="00901C41"/>
    <w:rsid w:val="00901D89"/>
    <w:rsid w:val="00903139"/>
    <w:rsid w:val="0090331B"/>
    <w:rsid w:val="009034E0"/>
    <w:rsid w:val="00903E8F"/>
    <w:rsid w:val="00903F32"/>
    <w:rsid w:val="00905EA9"/>
    <w:rsid w:val="009064CB"/>
    <w:rsid w:val="009078E8"/>
    <w:rsid w:val="00907A46"/>
    <w:rsid w:val="00907D63"/>
    <w:rsid w:val="00910F32"/>
    <w:rsid w:val="00911AD0"/>
    <w:rsid w:val="00911D74"/>
    <w:rsid w:val="009123F8"/>
    <w:rsid w:val="009124B1"/>
    <w:rsid w:val="0091282D"/>
    <w:rsid w:val="00912D65"/>
    <w:rsid w:val="009131D6"/>
    <w:rsid w:val="0091335F"/>
    <w:rsid w:val="00913CA6"/>
    <w:rsid w:val="00914387"/>
    <w:rsid w:val="0091471D"/>
    <w:rsid w:val="00916658"/>
    <w:rsid w:val="00917474"/>
    <w:rsid w:val="00917795"/>
    <w:rsid w:val="00917945"/>
    <w:rsid w:val="0092070E"/>
    <w:rsid w:val="00922E2D"/>
    <w:rsid w:val="0092325D"/>
    <w:rsid w:val="00924E76"/>
    <w:rsid w:val="00925020"/>
    <w:rsid w:val="00925046"/>
    <w:rsid w:val="0092652F"/>
    <w:rsid w:val="00926C93"/>
    <w:rsid w:val="00927A1A"/>
    <w:rsid w:val="00930288"/>
    <w:rsid w:val="009302B5"/>
    <w:rsid w:val="00931FDD"/>
    <w:rsid w:val="00933332"/>
    <w:rsid w:val="0093767B"/>
    <w:rsid w:val="009402CF"/>
    <w:rsid w:val="00940FB9"/>
    <w:rsid w:val="00945449"/>
    <w:rsid w:val="009478BA"/>
    <w:rsid w:val="00950D3B"/>
    <w:rsid w:val="00951357"/>
    <w:rsid w:val="00951630"/>
    <w:rsid w:val="00951D4B"/>
    <w:rsid w:val="00952D49"/>
    <w:rsid w:val="00952E53"/>
    <w:rsid w:val="00954729"/>
    <w:rsid w:val="00954B57"/>
    <w:rsid w:val="00954D98"/>
    <w:rsid w:val="0095523A"/>
    <w:rsid w:val="00957B30"/>
    <w:rsid w:val="00957E0D"/>
    <w:rsid w:val="00960B50"/>
    <w:rsid w:val="00962937"/>
    <w:rsid w:val="009634AC"/>
    <w:rsid w:val="00964A88"/>
    <w:rsid w:val="00965DAF"/>
    <w:rsid w:val="00967C47"/>
    <w:rsid w:val="0097029A"/>
    <w:rsid w:val="00971F27"/>
    <w:rsid w:val="009733A3"/>
    <w:rsid w:val="00973448"/>
    <w:rsid w:val="0097482E"/>
    <w:rsid w:val="00975AE2"/>
    <w:rsid w:val="00976327"/>
    <w:rsid w:val="00977782"/>
    <w:rsid w:val="00980672"/>
    <w:rsid w:val="0098082C"/>
    <w:rsid w:val="00980AFB"/>
    <w:rsid w:val="00981069"/>
    <w:rsid w:val="009813E3"/>
    <w:rsid w:val="00981628"/>
    <w:rsid w:val="00981722"/>
    <w:rsid w:val="00981C4C"/>
    <w:rsid w:val="0098306F"/>
    <w:rsid w:val="0098327B"/>
    <w:rsid w:val="00983B05"/>
    <w:rsid w:val="009847FF"/>
    <w:rsid w:val="00984A71"/>
    <w:rsid w:val="00984B6C"/>
    <w:rsid w:val="00984DBF"/>
    <w:rsid w:val="00984E68"/>
    <w:rsid w:val="00984F10"/>
    <w:rsid w:val="009856D5"/>
    <w:rsid w:val="00987024"/>
    <w:rsid w:val="00992D35"/>
    <w:rsid w:val="009939F8"/>
    <w:rsid w:val="00993BA0"/>
    <w:rsid w:val="00995427"/>
    <w:rsid w:val="009954BB"/>
    <w:rsid w:val="00995839"/>
    <w:rsid w:val="00995A5D"/>
    <w:rsid w:val="00995C88"/>
    <w:rsid w:val="00996AC7"/>
    <w:rsid w:val="00996F72"/>
    <w:rsid w:val="0099755B"/>
    <w:rsid w:val="009A0A41"/>
    <w:rsid w:val="009A42B2"/>
    <w:rsid w:val="009A6429"/>
    <w:rsid w:val="009B244F"/>
    <w:rsid w:val="009B2685"/>
    <w:rsid w:val="009B3987"/>
    <w:rsid w:val="009B42E4"/>
    <w:rsid w:val="009B498D"/>
    <w:rsid w:val="009B568E"/>
    <w:rsid w:val="009B5A15"/>
    <w:rsid w:val="009B64E1"/>
    <w:rsid w:val="009C2111"/>
    <w:rsid w:val="009C2C43"/>
    <w:rsid w:val="009C4D23"/>
    <w:rsid w:val="009C6F9A"/>
    <w:rsid w:val="009C7934"/>
    <w:rsid w:val="009C7CF5"/>
    <w:rsid w:val="009D18D9"/>
    <w:rsid w:val="009D3101"/>
    <w:rsid w:val="009D359F"/>
    <w:rsid w:val="009D37CC"/>
    <w:rsid w:val="009D3881"/>
    <w:rsid w:val="009D39FA"/>
    <w:rsid w:val="009D4CB3"/>
    <w:rsid w:val="009D58E3"/>
    <w:rsid w:val="009E00A1"/>
    <w:rsid w:val="009E384D"/>
    <w:rsid w:val="009E45F5"/>
    <w:rsid w:val="009E582F"/>
    <w:rsid w:val="009E5F6E"/>
    <w:rsid w:val="009E7006"/>
    <w:rsid w:val="009E7402"/>
    <w:rsid w:val="009F127A"/>
    <w:rsid w:val="009F3B41"/>
    <w:rsid w:val="009F3FE8"/>
    <w:rsid w:val="009F4F33"/>
    <w:rsid w:val="009F5F6A"/>
    <w:rsid w:val="009F61B2"/>
    <w:rsid w:val="009F7CA0"/>
    <w:rsid w:val="00A004D8"/>
    <w:rsid w:val="00A00614"/>
    <w:rsid w:val="00A033E8"/>
    <w:rsid w:val="00A039A2"/>
    <w:rsid w:val="00A04176"/>
    <w:rsid w:val="00A046C0"/>
    <w:rsid w:val="00A0544D"/>
    <w:rsid w:val="00A06BD3"/>
    <w:rsid w:val="00A10607"/>
    <w:rsid w:val="00A11ED3"/>
    <w:rsid w:val="00A1251F"/>
    <w:rsid w:val="00A1252B"/>
    <w:rsid w:val="00A13A66"/>
    <w:rsid w:val="00A13F65"/>
    <w:rsid w:val="00A15F40"/>
    <w:rsid w:val="00A1643B"/>
    <w:rsid w:val="00A207E2"/>
    <w:rsid w:val="00A2282A"/>
    <w:rsid w:val="00A247E9"/>
    <w:rsid w:val="00A25266"/>
    <w:rsid w:val="00A25CC4"/>
    <w:rsid w:val="00A2645D"/>
    <w:rsid w:val="00A307C5"/>
    <w:rsid w:val="00A31AAC"/>
    <w:rsid w:val="00A3407D"/>
    <w:rsid w:val="00A34D68"/>
    <w:rsid w:val="00A35823"/>
    <w:rsid w:val="00A35A82"/>
    <w:rsid w:val="00A35C24"/>
    <w:rsid w:val="00A36130"/>
    <w:rsid w:val="00A379F2"/>
    <w:rsid w:val="00A37AC3"/>
    <w:rsid w:val="00A40E83"/>
    <w:rsid w:val="00A41A63"/>
    <w:rsid w:val="00A41F9B"/>
    <w:rsid w:val="00A42766"/>
    <w:rsid w:val="00A43322"/>
    <w:rsid w:val="00A433FB"/>
    <w:rsid w:val="00A43ECD"/>
    <w:rsid w:val="00A50E97"/>
    <w:rsid w:val="00A524B3"/>
    <w:rsid w:val="00A52EB5"/>
    <w:rsid w:val="00A54322"/>
    <w:rsid w:val="00A546EA"/>
    <w:rsid w:val="00A55D5D"/>
    <w:rsid w:val="00A566F0"/>
    <w:rsid w:val="00A56B05"/>
    <w:rsid w:val="00A602F6"/>
    <w:rsid w:val="00A60CD2"/>
    <w:rsid w:val="00A611C0"/>
    <w:rsid w:val="00A6250E"/>
    <w:rsid w:val="00A627DE"/>
    <w:rsid w:val="00A635DE"/>
    <w:rsid w:val="00A63DFB"/>
    <w:rsid w:val="00A64B7B"/>
    <w:rsid w:val="00A65831"/>
    <w:rsid w:val="00A65E2B"/>
    <w:rsid w:val="00A67C04"/>
    <w:rsid w:val="00A70CF9"/>
    <w:rsid w:val="00A71F92"/>
    <w:rsid w:val="00A724EE"/>
    <w:rsid w:val="00A74828"/>
    <w:rsid w:val="00A752E4"/>
    <w:rsid w:val="00A75849"/>
    <w:rsid w:val="00A75B04"/>
    <w:rsid w:val="00A763EA"/>
    <w:rsid w:val="00A7675E"/>
    <w:rsid w:val="00A76B4F"/>
    <w:rsid w:val="00A77AAE"/>
    <w:rsid w:val="00A77D0A"/>
    <w:rsid w:val="00A77EF6"/>
    <w:rsid w:val="00A82F02"/>
    <w:rsid w:val="00A83420"/>
    <w:rsid w:val="00A83B54"/>
    <w:rsid w:val="00A84972"/>
    <w:rsid w:val="00A85694"/>
    <w:rsid w:val="00A86229"/>
    <w:rsid w:val="00A86C61"/>
    <w:rsid w:val="00A9121C"/>
    <w:rsid w:val="00A92AEE"/>
    <w:rsid w:val="00A94ECA"/>
    <w:rsid w:val="00AA15C8"/>
    <w:rsid w:val="00AA25DD"/>
    <w:rsid w:val="00AA26F6"/>
    <w:rsid w:val="00AA2C1E"/>
    <w:rsid w:val="00AA4AB5"/>
    <w:rsid w:val="00AA5B53"/>
    <w:rsid w:val="00AA61F2"/>
    <w:rsid w:val="00AA6D10"/>
    <w:rsid w:val="00AA6E6B"/>
    <w:rsid w:val="00AB0033"/>
    <w:rsid w:val="00AB05F3"/>
    <w:rsid w:val="00AB0ACE"/>
    <w:rsid w:val="00AB17A1"/>
    <w:rsid w:val="00AB2CB4"/>
    <w:rsid w:val="00AB2E04"/>
    <w:rsid w:val="00AB3DFA"/>
    <w:rsid w:val="00AB509C"/>
    <w:rsid w:val="00AC0173"/>
    <w:rsid w:val="00AC029B"/>
    <w:rsid w:val="00AC0E22"/>
    <w:rsid w:val="00AC110A"/>
    <w:rsid w:val="00AC22B1"/>
    <w:rsid w:val="00AC22FE"/>
    <w:rsid w:val="00AC2F68"/>
    <w:rsid w:val="00AC3786"/>
    <w:rsid w:val="00AC38B6"/>
    <w:rsid w:val="00AC4992"/>
    <w:rsid w:val="00AD0B06"/>
    <w:rsid w:val="00AD58C5"/>
    <w:rsid w:val="00AE0B30"/>
    <w:rsid w:val="00AE0D57"/>
    <w:rsid w:val="00AE1055"/>
    <w:rsid w:val="00AE22D0"/>
    <w:rsid w:val="00AE43F2"/>
    <w:rsid w:val="00AE58ED"/>
    <w:rsid w:val="00AE5991"/>
    <w:rsid w:val="00AE626F"/>
    <w:rsid w:val="00AF0204"/>
    <w:rsid w:val="00AF2B3B"/>
    <w:rsid w:val="00AF3C14"/>
    <w:rsid w:val="00AF596D"/>
    <w:rsid w:val="00AF5A36"/>
    <w:rsid w:val="00AF6054"/>
    <w:rsid w:val="00AF6496"/>
    <w:rsid w:val="00B0103C"/>
    <w:rsid w:val="00B0214F"/>
    <w:rsid w:val="00B04D8B"/>
    <w:rsid w:val="00B055BB"/>
    <w:rsid w:val="00B05F05"/>
    <w:rsid w:val="00B06473"/>
    <w:rsid w:val="00B07AA7"/>
    <w:rsid w:val="00B07D6A"/>
    <w:rsid w:val="00B1090F"/>
    <w:rsid w:val="00B1166E"/>
    <w:rsid w:val="00B1427D"/>
    <w:rsid w:val="00B14676"/>
    <w:rsid w:val="00B15829"/>
    <w:rsid w:val="00B17517"/>
    <w:rsid w:val="00B2029A"/>
    <w:rsid w:val="00B20F07"/>
    <w:rsid w:val="00B2174D"/>
    <w:rsid w:val="00B22324"/>
    <w:rsid w:val="00B22979"/>
    <w:rsid w:val="00B22F95"/>
    <w:rsid w:val="00B23EBC"/>
    <w:rsid w:val="00B24010"/>
    <w:rsid w:val="00B24A24"/>
    <w:rsid w:val="00B24C5E"/>
    <w:rsid w:val="00B259B7"/>
    <w:rsid w:val="00B266EB"/>
    <w:rsid w:val="00B27DB1"/>
    <w:rsid w:val="00B31ACF"/>
    <w:rsid w:val="00B329EF"/>
    <w:rsid w:val="00B3307C"/>
    <w:rsid w:val="00B348CB"/>
    <w:rsid w:val="00B34FF9"/>
    <w:rsid w:val="00B3598B"/>
    <w:rsid w:val="00B36306"/>
    <w:rsid w:val="00B365F3"/>
    <w:rsid w:val="00B370FB"/>
    <w:rsid w:val="00B37A71"/>
    <w:rsid w:val="00B431BE"/>
    <w:rsid w:val="00B43AF4"/>
    <w:rsid w:val="00B4449C"/>
    <w:rsid w:val="00B44F78"/>
    <w:rsid w:val="00B46634"/>
    <w:rsid w:val="00B46BBB"/>
    <w:rsid w:val="00B46F3B"/>
    <w:rsid w:val="00B46FF1"/>
    <w:rsid w:val="00B47300"/>
    <w:rsid w:val="00B50E61"/>
    <w:rsid w:val="00B5224C"/>
    <w:rsid w:val="00B52FAD"/>
    <w:rsid w:val="00B5441E"/>
    <w:rsid w:val="00B54C5A"/>
    <w:rsid w:val="00B55AA2"/>
    <w:rsid w:val="00B56318"/>
    <w:rsid w:val="00B5671A"/>
    <w:rsid w:val="00B60BDD"/>
    <w:rsid w:val="00B63C96"/>
    <w:rsid w:val="00B64D33"/>
    <w:rsid w:val="00B6576C"/>
    <w:rsid w:val="00B657EE"/>
    <w:rsid w:val="00B66E3B"/>
    <w:rsid w:val="00B71E11"/>
    <w:rsid w:val="00B7255C"/>
    <w:rsid w:val="00B7323C"/>
    <w:rsid w:val="00B74817"/>
    <w:rsid w:val="00B75B1B"/>
    <w:rsid w:val="00B75CF0"/>
    <w:rsid w:val="00B76535"/>
    <w:rsid w:val="00B768C9"/>
    <w:rsid w:val="00B81995"/>
    <w:rsid w:val="00B81D18"/>
    <w:rsid w:val="00B82316"/>
    <w:rsid w:val="00B825F1"/>
    <w:rsid w:val="00B82EF5"/>
    <w:rsid w:val="00B83CAA"/>
    <w:rsid w:val="00B84320"/>
    <w:rsid w:val="00B84497"/>
    <w:rsid w:val="00B84615"/>
    <w:rsid w:val="00B8508C"/>
    <w:rsid w:val="00B877DC"/>
    <w:rsid w:val="00B90BEA"/>
    <w:rsid w:val="00B92D0C"/>
    <w:rsid w:val="00B93458"/>
    <w:rsid w:val="00B947F9"/>
    <w:rsid w:val="00B9570D"/>
    <w:rsid w:val="00B95C0E"/>
    <w:rsid w:val="00B967DC"/>
    <w:rsid w:val="00B976A4"/>
    <w:rsid w:val="00BA0026"/>
    <w:rsid w:val="00BA0D20"/>
    <w:rsid w:val="00BA2CF7"/>
    <w:rsid w:val="00BA69FD"/>
    <w:rsid w:val="00BA7FE6"/>
    <w:rsid w:val="00BB0F3A"/>
    <w:rsid w:val="00BB13A1"/>
    <w:rsid w:val="00BB1CA8"/>
    <w:rsid w:val="00BB1EEC"/>
    <w:rsid w:val="00BB2BC4"/>
    <w:rsid w:val="00BB2C0E"/>
    <w:rsid w:val="00BB3068"/>
    <w:rsid w:val="00BB4901"/>
    <w:rsid w:val="00BB565D"/>
    <w:rsid w:val="00BB65DA"/>
    <w:rsid w:val="00BC1C04"/>
    <w:rsid w:val="00BC2329"/>
    <w:rsid w:val="00BC67A1"/>
    <w:rsid w:val="00BC6878"/>
    <w:rsid w:val="00BD0005"/>
    <w:rsid w:val="00BD04EF"/>
    <w:rsid w:val="00BD0654"/>
    <w:rsid w:val="00BD0E81"/>
    <w:rsid w:val="00BD1E01"/>
    <w:rsid w:val="00BD21D4"/>
    <w:rsid w:val="00BD2D81"/>
    <w:rsid w:val="00BD44D3"/>
    <w:rsid w:val="00BD5B76"/>
    <w:rsid w:val="00BD5EAC"/>
    <w:rsid w:val="00BD6E0F"/>
    <w:rsid w:val="00BD7869"/>
    <w:rsid w:val="00BD7BF8"/>
    <w:rsid w:val="00BD7E61"/>
    <w:rsid w:val="00BE1391"/>
    <w:rsid w:val="00BE4B8A"/>
    <w:rsid w:val="00BE577C"/>
    <w:rsid w:val="00BE78B4"/>
    <w:rsid w:val="00BF0CB1"/>
    <w:rsid w:val="00BF1A99"/>
    <w:rsid w:val="00BF205F"/>
    <w:rsid w:val="00BF226E"/>
    <w:rsid w:val="00BF3343"/>
    <w:rsid w:val="00BF49B0"/>
    <w:rsid w:val="00BF4FDD"/>
    <w:rsid w:val="00BF543F"/>
    <w:rsid w:val="00BF5AC5"/>
    <w:rsid w:val="00BF67BB"/>
    <w:rsid w:val="00BF6A5A"/>
    <w:rsid w:val="00C01E3F"/>
    <w:rsid w:val="00C03016"/>
    <w:rsid w:val="00C03A34"/>
    <w:rsid w:val="00C04298"/>
    <w:rsid w:val="00C1228B"/>
    <w:rsid w:val="00C12868"/>
    <w:rsid w:val="00C12979"/>
    <w:rsid w:val="00C13F0B"/>
    <w:rsid w:val="00C13F2F"/>
    <w:rsid w:val="00C14C1E"/>
    <w:rsid w:val="00C14EC3"/>
    <w:rsid w:val="00C155AB"/>
    <w:rsid w:val="00C15F52"/>
    <w:rsid w:val="00C15FD2"/>
    <w:rsid w:val="00C16DCE"/>
    <w:rsid w:val="00C208E3"/>
    <w:rsid w:val="00C2273D"/>
    <w:rsid w:val="00C309B9"/>
    <w:rsid w:val="00C34EB1"/>
    <w:rsid w:val="00C3548C"/>
    <w:rsid w:val="00C35E82"/>
    <w:rsid w:val="00C37CA1"/>
    <w:rsid w:val="00C4103C"/>
    <w:rsid w:val="00C42AA2"/>
    <w:rsid w:val="00C43FB3"/>
    <w:rsid w:val="00C446FE"/>
    <w:rsid w:val="00C44809"/>
    <w:rsid w:val="00C4516B"/>
    <w:rsid w:val="00C4573E"/>
    <w:rsid w:val="00C46D2A"/>
    <w:rsid w:val="00C476CC"/>
    <w:rsid w:val="00C506C3"/>
    <w:rsid w:val="00C52439"/>
    <w:rsid w:val="00C526EE"/>
    <w:rsid w:val="00C53FDF"/>
    <w:rsid w:val="00C54173"/>
    <w:rsid w:val="00C541AB"/>
    <w:rsid w:val="00C5468E"/>
    <w:rsid w:val="00C550C2"/>
    <w:rsid w:val="00C567BD"/>
    <w:rsid w:val="00C56ED3"/>
    <w:rsid w:val="00C60EFD"/>
    <w:rsid w:val="00C612D2"/>
    <w:rsid w:val="00C61422"/>
    <w:rsid w:val="00C6166A"/>
    <w:rsid w:val="00C62714"/>
    <w:rsid w:val="00C63B53"/>
    <w:rsid w:val="00C65E63"/>
    <w:rsid w:val="00C714ED"/>
    <w:rsid w:val="00C71A10"/>
    <w:rsid w:val="00C72D0C"/>
    <w:rsid w:val="00C7318E"/>
    <w:rsid w:val="00C737E0"/>
    <w:rsid w:val="00C73E36"/>
    <w:rsid w:val="00C74863"/>
    <w:rsid w:val="00C76014"/>
    <w:rsid w:val="00C76697"/>
    <w:rsid w:val="00C77CA1"/>
    <w:rsid w:val="00C77EC9"/>
    <w:rsid w:val="00C8044A"/>
    <w:rsid w:val="00C83AAF"/>
    <w:rsid w:val="00C847D1"/>
    <w:rsid w:val="00C84CD4"/>
    <w:rsid w:val="00C862A6"/>
    <w:rsid w:val="00C86EB5"/>
    <w:rsid w:val="00C87FA3"/>
    <w:rsid w:val="00C90C4E"/>
    <w:rsid w:val="00C90D00"/>
    <w:rsid w:val="00C93999"/>
    <w:rsid w:val="00C93E7F"/>
    <w:rsid w:val="00C9494E"/>
    <w:rsid w:val="00C9615E"/>
    <w:rsid w:val="00CA07C3"/>
    <w:rsid w:val="00CA1606"/>
    <w:rsid w:val="00CA41F3"/>
    <w:rsid w:val="00CA4557"/>
    <w:rsid w:val="00CA4D82"/>
    <w:rsid w:val="00CA6DD9"/>
    <w:rsid w:val="00CB1CD4"/>
    <w:rsid w:val="00CB29DB"/>
    <w:rsid w:val="00CB2EBF"/>
    <w:rsid w:val="00CB47B3"/>
    <w:rsid w:val="00CB4ED8"/>
    <w:rsid w:val="00CB4F9C"/>
    <w:rsid w:val="00CB57CC"/>
    <w:rsid w:val="00CB6848"/>
    <w:rsid w:val="00CC1482"/>
    <w:rsid w:val="00CC1F29"/>
    <w:rsid w:val="00CC2276"/>
    <w:rsid w:val="00CC2369"/>
    <w:rsid w:val="00CC2AF8"/>
    <w:rsid w:val="00CC32E3"/>
    <w:rsid w:val="00CC47EE"/>
    <w:rsid w:val="00CC4FED"/>
    <w:rsid w:val="00CC5708"/>
    <w:rsid w:val="00CC5C1E"/>
    <w:rsid w:val="00CC5C91"/>
    <w:rsid w:val="00CC6CC2"/>
    <w:rsid w:val="00CC7B4C"/>
    <w:rsid w:val="00CC7D47"/>
    <w:rsid w:val="00CD0FBF"/>
    <w:rsid w:val="00CD1487"/>
    <w:rsid w:val="00CD1CA4"/>
    <w:rsid w:val="00CD2FC6"/>
    <w:rsid w:val="00CD3DD2"/>
    <w:rsid w:val="00CD4BED"/>
    <w:rsid w:val="00CD5438"/>
    <w:rsid w:val="00CD65DA"/>
    <w:rsid w:val="00CD65F4"/>
    <w:rsid w:val="00CD6777"/>
    <w:rsid w:val="00CD6A60"/>
    <w:rsid w:val="00CD77BF"/>
    <w:rsid w:val="00CE0409"/>
    <w:rsid w:val="00CE07D1"/>
    <w:rsid w:val="00CE0BB2"/>
    <w:rsid w:val="00CE0DC7"/>
    <w:rsid w:val="00CE3CD3"/>
    <w:rsid w:val="00CE4BC6"/>
    <w:rsid w:val="00CE64B9"/>
    <w:rsid w:val="00CE69F4"/>
    <w:rsid w:val="00CF02FE"/>
    <w:rsid w:val="00CF0F69"/>
    <w:rsid w:val="00CF2E11"/>
    <w:rsid w:val="00CF34A2"/>
    <w:rsid w:val="00CF5162"/>
    <w:rsid w:val="00CF58A8"/>
    <w:rsid w:val="00CF5CDE"/>
    <w:rsid w:val="00CF7B39"/>
    <w:rsid w:val="00D009CD"/>
    <w:rsid w:val="00D010D7"/>
    <w:rsid w:val="00D01645"/>
    <w:rsid w:val="00D01981"/>
    <w:rsid w:val="00D036B8"/>
    <w:rsid w:val="00D068C3"/>
    <w:rsid w:val="00D07A46"/>
    <w:rsid w:val="00D10EB9"/>
    <w:rsid w:val="00D13546"/>
    <w:rsid w:val="00D13C6B"/>
    <w:rsid w:val="00D13ED3"/>
    <w:rsid w:val="00D151EF"/>
    <w:rsid w:val="00D1730F"/>
    <w:rsid w:val="00D1791B"/>
    <w:rsid w:val="00D17CE4"/>
    <w:rsid w:val="00D17F7B"/>
    <w:rsid w:val="00D203B4"/>
    <w:rsid w:val="00D207C6"/>
    <w:rsid w:val="00D20B27"/>
    <w:rsid w:val="00D216B9"/>
    <w:rsid w:val="00D23230"/>
    <w:rsid w:val="00D24598"/>
    <w:rsid w:val="00D2459F"/>
    <w:rsid w:val="00D24773"/>
    <w:rsid w:val="00D26E59"/>
    <w:rsid w:val="00D27B21"/>
    <w:rsid w:val="00D33C89"/>
    <w:rsid w:val="00D341E7"/>
    <w:rsid w:val="00D34AFC"/>
    <w:rsid w:val="00D3658A"/>
    <w:rsid w:val="00D365F1"/>
    <w:rsid w:val="00D37135"/>
    <w:rsid w:val="00D40244"/>
    <w:rsid w:val="00D4061D"/>
    <w:rsid w:val="00D40A16"/>
    <w:rsid w:val="00D40DC7"/>
    <w:rsid w:val="00D42203"/>
    <w:rsid w:val="00D42E8A"/>
    <w:rsid w:val="00D42EA0"/>
    <w:rsid w:val="00D4562B"/>
    <w:rsid w:val="00D46C54"/>
    <w:rsid w:val="00D46F1F"/>
    <w:rsid w:val="00D4766D"/>
    <w:rsid w:val="00D5080C"/>
    <w:rsid w:val="00D50A3B"/>
    <w:rsid w:val="00D53437"/>
    <w:rsid w:val="00D56E10"/>
    <w:rsid w:val="00D57270"/>
    <w:rsid w:val="00D57BB0"/>
    <w:rsid w:val="00D61477"/>
    <w:rsid w:val="00D623AC"/>
    <w:rsid w:val="00D62FAA"/>
    <w:rsid w:val="00D6376A"/>
    <w:rsid w:val="00D63AA4"/>
    <w:rsid w:val="00D63FC0"/>
    <w:rsid w:val="00D6462E"/>
    <w:rsid w:val="00D65C3F"/>
    <w:rsid w:val="00D70411"/>
    <w:rsid w:val="00D71F27"/>
    <w:rsid w:val="00D72F09"/>
    <w:rsid w:val="00D75B25"/>
    <w:rsid w:val="00D75B37"/>
    <w:rsid w:val="00D7600B"/>
    <w:rsid w:val="00D760DB"/>
    <w:rsid w:val="00D76E66"/>
    <w:rsid w:val="00D8200F"/>
    <w:rsid w:val="00D8560D"/>
    <w:rsid w:val="00D8781D"/>
    <w:rsid w:val="00D87B9B"/>
    <w:rsid w:val="00D901F4"/>
    <w:rsid w:val="00D904E0"/>
    <w:rsid w:val="00D90C39"/>
    <w:rsid w:val="00D91435"/>
    <w:rsid w:val="00D91D25"/>
    <w:rsid w:val="00D93E1A"/>
    <w:rsid w:val="00D93F40"/>
    <w:rsid w:val="00D94FC7"/>
    <w:rsid w:val="00D96222"/>
    <w:rsid w:val="00D96A54"/>
    <w:rsid w:val="00D97115"/>
    <w:rsid w:val="00D97D60"/>
    <w:rsid w:val="00D97D97"/>
    <w:rsid w:val="00DA1538"/>
    <w:rsid w:val="00DA1854"/>
    <w:rsid w:val="00DA1A7E"/>
    <w:rsid w:val="00DA1DB3"/>
    <w:rsid w:val="00DA25C3"/>
    <w:rsid w:val="00DA2992"/>
    <w:rsid w:val="00DA2C75"/>
    <w:rsid w:val="00DA2EEA"/>
    <w:rsid w:val="00DA3C11"/>
    <w:rsid w:val="00DA5B81"/>
    <w:rsid w:val="00DB0D20"/>
    <w:rsid w:val="00DB2317"/>
    <w:rsid w:val="00DB2AB7"/>
    <w:rsid w:val="00DB41A3"/>
    <w:rsid w:val="00DB555E"/>
    <w:rsid w:val="00DC3156"/>
    <w:rsid w:val="00DC3B81"/>
    <w:rsid w:val="00DC68C1"/>
    <w:rsid w:val="00DC71D3"/>
    <w:rsid w:val="00DD0452"/>
    <w:rsid w:val="00DD0FB4"/>
    <w:rsid w:val="00DD130D"/>
    <w:rsid w:val="00DD2570"/>
    <w:rsid w:val="00DD31F8"/>
    <w:rsid w:val="00DD3A1A"/>
    <w:rsid w:val="00DD3CAB"/>
    <w:rsid w:val="00DD3F08"/>
    <w:rsid w:val="00DD52DC"/>
    <w:rsid w:val="00DD555C"/>
    <w:rsid w:val="00DD5930"/>
    <w:rsid w:val="00DD5F1A"/>
    <w:rsid w:val="00DD650D"/>
    <w:rsid w:val="00DD6C60"/>
    <w:rsid w:val="00DE1173"/>
    <w:rsid w:val="00DE1AD5"/>
    <w:rsid w:val="00DE2802"/>
    <w:rsid w:val="00DE2D44"/>
    <w:rsid w:val="00DE38A4"/>
    <w:rsid w:val="00DE44FB"/>
    <w:rsid w:val="00DE4CB8"/>
    <w:rsid w:val="00DE7088"/>
    <w:rsid w:val="00DF002F"/>
    <w:rsid w:val="00DF15A7"/>
    <w:rsid w:val="00DF2AB0"/>
    <w:rsid w:val="00DF4219"/>
    <w:rsid w:val="00DF47C6"/>
    <w:rsid w:val="00DF4CEE"/>
    <w:rsid w:val="00DF4E28"/>
    <w:rsid w:val="00DF69EE"/>
    <w:rsid w:val="00DF7F7E"/>
    <w:rsid w:val="00E002FE"/>
    <w:rsid w:val="00E0042A"/>
    <w:rsid w:val="00E00E8E"/>
    <w:rsid w:val="00E0213E"/>
    <w:rsid w:val="00E02C31"/>
    <w:rsid w:val="00E0340D"/>
    <w:rsid w:val="00E03B6A"/>
    <w:rsid w:val="00E04272"/>
    <w:rsid w:val="00E04DA5"/>
    <w:rsid w:val="00E04E73"/>
    <w:rsid w:val="00E04F85"/>
    <w:rsid w:val="00E05073"/>
    <w:rsid w:val="00E0661F"/>
    <w:rsid w:val="00E10674"/>
    <w:rsid w:val="00E11D02"/>
    <w:rsid w:val="00E12B79"/>
    <w:rsid w:val="00E12DA0"/>
    <w:rsid w:val="00E145F5"/>
    <w:rsid w:val="00E14E34"/>
    <w:rsid w:val="00E15508"/>
    <w:rsid w:val="00E16066"/>
    <w:rsid w:val="00E20858"/>
    <w:rsid w:val="00E20B82"/>
    <w:rsid w:val="00E20C46"/>
    <w:rsid w:val="00E20E97"/>
    <w:rsid w:val="00E20E99"/>
    <w:rsid w:val="00E21C6C"/>
    <w:rsid w:val="00E21D7F"/>
    <w:rsid w:val="00E2303D"/>
    <w:rsid w:val="00E235E3"/>
    <w:rsid w:val="00E24BF3"/>
    <w:rsid w:val="00E268CD"/>
    <w:rsid w:val="00E27D9A"/>
    <w:rsid w:val="00E30729"/>
    <w:rsid w:val="00E30897"/>
    <w:rsid w:val="00E30B51"/>
    <w:rsid w:val="00E31C30"/>
    <w:rsid w:val="00E31CDD"/>
    <w:rsid w:val="00E342BA"/>
    <w:rsid w:val="00E35D27"/>
    <w:rsid w:val="00E36AE9"/>
    <w:rsid w:val="00E371B0"/>
    <w:rsid w:val="00E3785B"/>
    <w:rsid w:val="00E37F44"/>
    <w:rsid w:val="00E4074E"/>
    <w:rsid w:val="00E4312F"/>
    <w:rsid w:val="00E434C0"/>
    <w:rsid w:val="00E43648"/>
    <w:rsid w:val="00E4495C"/>
    <w:rsid w:val="00E47BF6"/>
    <w:rsid w:val="00E5110D"/>
    <w:rsid w:val="00E5118E"/>
    <w:rsid w:val="00E5241A"/>
    <w:rsid w:val="00E52860"/>
    <w:rsid w:val="00E5468D"/>
    <w:rsid w:val="00E572CF"/>
    <w:rsid w:val="00E60016"/>
    <w:rsid w:val="00E607D4"/>
    <w:rsid w:val="00E61992"/>
    <w:rsid w:val="00E63DAE"/>
    <w:rsid w:val="00E66962"/>
    <w:rsid w:val="00E67A19"/>
    <w:rsid w:val="00E7062D"/>
    <w:rsid w:val="00E70672"/>
    <w:rsid w:val="00E708FE"/>
    <w:rsid w:val="00E71C03"/>
    <w:rsid w:val="00E72580"/>
    <w:rsid w:val="00E728AF"/>
    <w:rsid w:val="00E732A6"/>
    <w:rsid w:val="00E73770"/>
    <w:rsid w:val="00E74E48"/>
    <w:rsid w:val="00E756F8"/>
    <w:rsid w:val="00E75CB3"/>
    <w:rsid w:val="00E76498"/>
    <w:rsid w:val="00E77C12"/>
    <w:rsid w:val="00E80CB3"/>
    <w:rsid w:val="00E80CD2"/>
    <w:rsid w:val="00E834EE"/>
    <w:rsid w:val="00E83B76"/>
    <w:rsid w:val="00E83BE1"/>
    <w:rsid w:val="00E84E5D"/>
    <w:rsid w:val="00E865C4"/>
    <w:rsid w:val="00E86C88"/>
    <w:rsid w:val="00E90D53"/>
    <w:rsid w:val="00E91571"/>
    <w:rsid w:val="00E9205E"/>
    <w:rsid w:val="00E922C2"/>
    <w:rsid w:val="00E932CB"/>
    <w:rsid w:val="00E94568"/>
    <w:rsid w:val="00E94B48"/>
    <w:rsid w:val="00E9620E"/>
    <w:rsid w:val="00E9678D"/>
    <w:rsid w:val="00E97E46"/>
    <w:rsid w:val="00EA05D7"/>
    <w:rsid w:val="00EA19BC"/>
    <w:rsid w:val="00EA2922"/>
    <w:rsid w:val="00EA2B52"/>
    <w:rsid w:val="00EA2ED4"/>
    <w:rsid w:val="00EA31F3"/>
    <w:rsid w:val="00EA6A4F"/>
    <w:rsid w:val="00EA6ACD"/>
    <w:rsid w:val="00EB0674"/>
    <w:rsid w:val="00EB0DF2"/>
    <w:rsid w:val="00EB11E4"/>
    <w:rsid w:val="00EB1FCB"/>
    <w:rsid w:val="00EB3334"/>
    <w:rsid w:val="00EB3CC2"/>
    <w:rsid w:val="00EB6805"/>
    <w:rsid w:val="00EB6DDA"/>
    <w:rsid w:val="00EB74F0"/>
    <w:rsid w:val="00EC01A9"/>
    <w:rsid w:val="00EC28EC"/>
    <w:rsid w:val="00EC3573"/>
    <w:rsid w:val="00EC43A6"/>
    <w:rsid w:val="00EC45F4"/>
    <w:rsid w:val="00EC4F87"/>
    <w:rsid w:val="00EC5612"/>
    <w:rsid w:val="00EC5B35"/>
    <w:rsid w:val="00EC61BF"/>
    <w:rsid w:val="00EC7953"/>
    <w:rsid w:val="00ED0CE0"/>
    <w:rsid w:val="00ED1792"/>
    <w:rsid w:val="00ED28B3"/>
    <w:rsid w:val="00ED4985"/>
    <w:rsid w:val="00ED5DB6"/>
    <w:rsid w:val="00EE0370"/>
    <w:rsid w:val="00EE227E"/>
    <w:rsid w:val="00EE274C"/>
    <w:rsid w:val="00EE2DB2"/>
    <w:rsid w:val="00EE35E7"/>
    <w:rsid w:val="00EE5C2A"/>
    <w:rsid w:val="00EE707B"/>
    <w:rsid w:val="00EE70F6"/>
    <w:rsid w:val="00EE7478"/>
    <w:rsid w:val="00EF1D3F"/>
    <w:rsid w:val="00EF336B"/>
    <w:rsid w:val="00EF34C0"/>
    <w:rsid w:val="00EF43E7"/>
    <w:rsid w:val="00EF4974"/>
    <w:rsid w:val="00EF5FCF"/>
    <w:rsid w:val="00EF657F"/>
    <w:rsid w:val="00EF6C83"/>
    <w:rsid w:val="00EF6CCC"/>
    <w:rsid w:val="00F0040A"/>
    <w:rsid w:val="00F01506"/>
    <w:rsid w:val="00F01932"/>
    <w:rsid w:val="00F01E4C"/>
    <w:rsid w:val="00F03FC2"/>
    <w:rsid w:val="00F0475B"/>
    <w:rsid w:val="00F047D1"/>
    <w:rsid w:val="00F06789"/>
    <w:rsid w:val="00F10114"/>
    <w:rsid w:val="00F10932"/>
    <w:rsid w:val="00F10E56"/>
    <w:rsid w:val="00F114D5"/>
    <w:rsid w:val="00F125D6"/>
    <w:rsid w:val="00F12783"/>
    <w:rsid w:val="00F128A2"/>
    <w:rsid w:val="00F13D4A"/>
    <w:rsid w:val="00F13F4F"/>
    <w:rsid w:val="00F15691"/>
    <w:rsid w:val="00F1660B"/>
    <w:rsid w:val="00F167DF"/>
    <w:rsid w:val="00F1758E"/>
    <w:rsid w:val="00F20CE4"/>
    <w:rsid w:val="00F26213"/>
    <w:rsid w:val="00F26ADF"/>
    <w:rsid w:val="00F3150A"/>
    <w:rsid w:val="00F325EB"/>
    <w:rsid w:val="00F33036"/>
    <w:rsid w:val="00F33070"/>
    <w:rsid w:val="00F361B2"/>
    <w:rsid w:val="00F3680F"/>
    <w:rsid w:val="00F36883"/>
    <w:rsid w:val="00F37A0A"/>
    <w:rsid w:val="00F41C2F"/>
    <w:rsid w:val="00F41FC2"/>
    <w:rsid w:val="00F427E5"/>
    <w:rsid w:val="00F43287"/>
    <w:rsid w:val="00F4376A"/>
    <w:rsid w:val="00F43AD4"/>
    <w:rsid w:val="00F43DA4"/>
    <w:rsid w:val="00F4469C"/>
    <w:rsid w:val="00F44B5C"/>
    <w:rsid w:val="00F516DF"/>
    <w:rsid w:val="00F531F3"/>
    <w:rsid w:val="00F53205"/>
    <w:rsid w:val="00F53466"/>
    <w:rsid w:val="00F53FDC"/>
    <w:rsid w:val="00F54566"/>
    <w:rsid w:val="00F54DEA"/>
    <w:rsid w:val="00F55AB2"/>
    <w:rsid w:val="00F57230"/>
    <w:rsid w:val="00F6189A"/>
    <w:rsid w:val="00F61E34"/>
    <w:rsid w:val="00F62454"/>
    <w:rsid w:val="00F6344B"/>
    <w:rsid w:val="00F64AC4"/>
    <w:rsid w:val="00F6696C"/>
    <w:rsid w:val="00F66C6F"/>
    <w:rsid w:val="00F70CE6"/>
    <w:rsid w:val="00F71ADC"/>
    <w:rsid w:val="00F73526"/>
    <w:rsid w:val="00F73A45"/>
    <w:rsid w:val="00F73E04"/>
    <w:rsid w:val="00F756E7"/>
    <w:rsid w:val="00F75D9A"/>
    <w:rsid w:val="00F76586"/>
    <w:rsid w:val="00F81C2F"/>
    <w:rsid w:val="00F82788"/>
    <w:rsid w:val="00F8286D"/>
    <w:rsid w:val="00F82927"/>
    <w:rsid w:val="00F83F26"/>
    <w:rsid w:val="00F847EE"/>
    <w:rsid w:val="00F86133"/>
    <w:rsid w:val="00F90C00"/>
    <w:rsid w:val="00F90E5B"/>
    <w:rsid w:val="00F9101C"/>
    <w:rsid w:val="00F94D2B"/>
    <w:rsid w:val="00F95098"/>
    <w:rsid w:val="00F979DB"/>
    <w:rsid w:val="00FA15F7"/>
    <w:rsid w:val="00FA1C87"/>
    <w:rsid w:val="00FA3027"/>
    <w:rsid w:val="00FA3550"/>
    <w:rsid w:val="00FA5B6E"/>
    <w:rsid w:val="00FA6116"/>
    <w:rsid w:val="00FA6E15"/>
    <w:rsid w:val="00FA7FD4"/>
    <w:rsid w:val="00FB008D"/>
    <w:rsid w:val="00FB0FB5"/>
    <w:rsid w:val="00FB1E3F"/>
    <w:rsid w:val="00FB22B8"/>
    <w:rsid w:val="00FB2AC0"/>
    <w:rsid w:val="00FB2DD6"/>
    <w:rsid w:val="00FB38A5"/>
    <w:rsid w:val="00FB65C3"/>
    <w:rsid w:val="00FB70CD"/>
    <w:rsid w:val="00FB7C56"/>
    <w:rsid w:val="00FC0267"/>
    <w:rsid w:val="00FC0308"/>
    <w:rsid w:val="00FC07B3"/>
    <w:rsid w:val="00FC13C3"/>
    <w:rsid w:val="00FC1C5C"/>
    <w:rsid w:val="00FC2340"/>
    <w:rsid w:val="00FC29CF"/>
    <w:rsid w:val="00FC4737"/>
    <w:rsid w:val="00FC571F"/>
    <w:rsid w:val="00FC5FD9"/>
    <w:rsid w:val="00FC6E34"/>
    <w:rsid w:val="00FD0643"/>
    <w:rsid w:val="00FD2389"/>
    <w:rsid w:val="00FD3E09"/>
    <w:rsid w:val="00FD3F29"/>
    <w:rsid w:val="00FD415A"/>
    <w:rsid w:val="00FD45EE"/>
    <w:rsid w:val="00FD4616"/>
    <w:rsid w:val="00FD6235"/>
    <w:rsid w:val="00FE0088"/>
    <w:rsid w:val="00FE3615"/>
    <w:rsid w:val="00FE67DF"/>
    <w:rsid w:val="00FE774F"/>
    <w:rsid w:val="00FE7B59"/>
    <w:rsid w:val="00FF0034"/>
    <w:rsid w:val="00FF1CC2"/>
    <w:rsid w:val="00FF32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9A4E699-B31F-4FB1-89C8-F16FE3DF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F8"/>
    <w:rPr>
      <w:rFonts w:ascii="Times New Roman" w:hAnsi="Times New Roman"/>
      <w:sz w:val="24"/>
      <w:lang w:eastAsia="en-US"/>
    </w:rPr>
  </w:style>
  <w:style w:type="paragraph" w:styleId="Heading1">
    <w:name w:val="heading 1"/>
    <w:basedOn w:val="Normal"/>
    <w:next w:val="BodyText"/>
    <w:link w:val="Heading1Char"/>
    <w:uiPriority w:val="99"/>
    <w:qFormat/>
    <w:rsid w:val="00E5118E"/>
    <w:pPr>
      <w:keepNext/>
      <w:keepLines/>
      <w:numPr>
        <w:numId w:val="1"/>
      </w:numPr>
      <w:spacing w:after="360"/>
      <w:ind w:left="432"/>
      <w:outlineLvl w:val="0"/>
    </w:pPr>
    <w:rPr>
      <w:rFonts w:ascii="Arial" w:eastAsia="Times New Roman" w:hAnsi="Arial" w:cs="Times New Roman"/>
      <w:b/>
      <w:bCs/>
      <w:kern w:val="28"/>
      <w:sz w:val="36"/>
      <w:szCs w:val="28"/>
    </w:rPr>
  </w:style>
  <w:style w:type="paragraph" w:styleId="Heading2">
    <w:name w:val="heading 2"/>
    <w:basedOn w:val="Normal"/>
    <w:next w:val="BodyText"/>
    <w:link w:val="Heading2Char"/>
    <w:uiPriority w:val="99"/>
    <w:qFormat/>
    <w:rsid w:val="00630B90"/>
    <w:pPr>
      <w:keepNext/>
      <w:keepLines/>
      <w:numPr>
        <w:ilvl w:val="1"/>
        <w:numId w:val="1"/>
      </w:numPr>
      <w:spacing w:after="360"/>
      <w:ind w:left="576"/>
      <w:outlineLvl w:val="1"/>
    </w:pPr>
    <w:rPr>
      <w:rFonts w:eastAsia="Times New Roman" w:cs="Times New Roman"/>
      <w:bCs/>
      <w:kern w:val="28"/>
      <w:sz w:val="32"/>
      <w:szCs w:val="26"/>
    </w:rPr>
  </w:style>
  <w:style w:type="paragraph" w:styleId="Heading3">
    <w:name w:val="heading 3"/>
    <w:basedOn w:val="Normal"/>
    <w:next w:val="BodyText"/>
    <w:link w:val="Heading3Char"/>
    <w:uiPriority w:val="99"/>
    <w:qFormat/>
    <w:rsid w:val="00630B90"/>
    <w:pPr>
      <w:keepNext/>
      <w:keepLines/>
      <w:numPr>
        <w:ilvl w:val="2"/>
        <w:numId w:val="1"/>
      </w:numPr>
      <w:spacing w:before="360" w:after="720"/>
      <w:ind w:left="862"/>
      <w:outlineLvl w:val="2"/>
    </w:pPr>
    <w:rPr>
      <w:rFonts w:eastAsia="Times New Roman" w:cs="Times New Roman"/>
      <w:bCs/>
      <w:i/>
      <w:kern w:val="28"/>
      <w:sz w:val="28"/>
    </w:rPr>
  </w:style>
  <w:style w:type="paragraph" w:styleId="Heading4">
    <w:name w:val="heading 4"/>
    <w:basedOn w:val="Normal"/>
    <w:next w:val="BodyText"/>
    <w:link w:val="Heading4Char"/>
    <w:uiPriority w:val="99"/>
    <w:qFormat/>
    <w:rsid w:val="00E5118E"/>
    <w:pPr>
      <w:keepNext/>
      <w:keepLines/>
      <w:numPr>
        <w:ilvl w:val="3"/>
        <w:numId w:val="1"/>
      </w:numPr>
      <w:spacing w:after="360"/>
      <w:outlineLvl w:val="3"/>
    </w:pPr>
    <w:rPr>
      <w:rFonts w:ascii="Arial" w:eastAsia="Times New Roman" w:hAnsi="Arial" w:cs="Times New Roman"/>
      <w:b/>
      <w:bCs/>
      <w:iCs/>
    </w:rPr>
  </w:style>
  <w:style w:type="paragraph" w:styleId="Heading5">
    <w:name w:val="heading 5"/>
    <w:basedOn w:val="Normal"/>
    <w:next w:val="Normal"/>
    <w:link w:val="Heading5Char"/>
    <w:uiPriority w:val="99"/>
    <w:qFormat/>
    <w:rsid w:val="00873FB6"/>
    <w:pPr>
      <w:keepNext/>
      <w:keepLines/>
      <w:numPr>
        <w:ilvl w:val="4"/>
        <w:numId w:val="1"/>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873FB6"/>
    <w:pPr>
      <w:keepNext/>
      <w:keepLines/>
      <w:numPr>
        <w:ilvl w:val="5"/>
        <w:numId w:val="1"/>
      </w:numPr>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qFormat/>
    <w:rsid w:val="00873FB6"/>
    <w:pPr>
      <w:keepNext/>
      <w:keepLines/>
      <w:numPr>
        <w:ilvl w:val="6"/>
        <w:numId w:val="1"/>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rsid w:val="00873FB6"/>
    <w:pPr>
      <w:keepNext/>
      <w:keepLines/>
      <w:numPr>
        <w:ilvl w:val="7"/>
        <w:numId w:val="1"/>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rsid w:val="00873FB6"/>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118E"/>
    <w:rPr>
      <w:rFonts w:ascii="Arial" w:eastAsia="Times New Roman" w:hAnsi="Arial" w:cs="Times New Roman"/>
      <w:b/>
      <w:bCs/>
      <w:kern w:val="28"/>
      <w:sz w:val="36"/>
      <w:szCs w:val="28"/>
      <w:lang w:eastAsia="en-US"/>
    </w:rPr>
  </w:style>
  <w:style w:type="character" w:customStyle="1" w:styleId="Heading2Char">
    <w:name w:val="Heading 2 Char"/>
    <w:basedOn w:val="DefaultParagraphFont"/>
    <w:link w:val="Heading2"/>
    <w:uiPriority w:val="99"/>
    <w:locked/>
    <w:rsid w:val="00630B90"/>
    <w:rPr>
      <w:rFonts w:ascii="Times New Roman" w:eastAsia="Times New Roman" w:hAnsi="Times New Roman" w:cs="Times New Roman"/>
      <w:bCs/>
      <w:kern w:val="28"/>
      <w:sz w:val="32"/>
      <w:szCs w:val="26"/>
      <w:lang w:eastAsia="en-US"/>
    </w:rPr>
  </w:style>
  <w:style w:type="character" w:customStyle="1" w:styleId="Heading3Char">
    <w:name w:val="Heading 3 Char"/>
    <w:basedOn w:val="DefaultParagraphFont"/>
    <w:link w:val="Heading3"/>
    <w:uiPriority w:val="99"/>
    <w:locked/>
    <w:rsid w:val="00630B90"/>
    <w:rPr>
      <w:rFonts w:ascii="Times New Roman" w:eastAsia="Times New Roman" w:hAnsi="Times New Roman" w:cs="Times New Roman"/>
      <w:bCs/>
      <w:i/>
      <w:kern w:val="28"/>
      <w:sz w:val="28"/>
      <w:lang w:eastAsia="en-US"/>
    </w:rPr>
  </w:style>
  <w:style w:type="character" w:customStyle="1" w:styleId="Heading4Char">
    <w:name w:val="Heading 4 Char"/>
    <w:basedOn w:val="DefaultParagraphFont"/>
    <w:link w:val="Heading4"/>
    <w:uiPriority w:val="99"/>
    <w:locked/>
    <w:rsid w:val="00E5118E"/>
    <w:rPr>
      <w:rFonts w:ascii="Arial" w:eastAsia="Times New Roman" w:hAnsi="Arial" w:cs="Times New Roman"/>
      <w:b/>
      <w:bCs/>
      <w:iCs/>
      <w:sz w:val="24"/>
      <w:lang w:eastAsia="en-US"/>
    </w:rPr>
  </w:style>
  <w:style w:type="character" w:customStyle="1" w:styleId="Heading5Char">
    <w:name w:val="Heading 5 Char"/>
    <w:basedOn w:val="DefaultParagraphFont"/>
    <w:link w:val="Heading5"/>
    <w:uiPriority w:val="99"/>
    <w:locked/>
    <w:rsid w:val="00873FB6"/>
    <w:rPr>
      <w:rFonts w:ascii="Cambria" w:eastAsia="Times New Roman" w:hAnsi="Cambria" w:cs="Times New Roman"/>
      <w:color w:val="243F60"/>
      <w:sz w:val="24"/>
      <w:lang w:eastAsia="en-US"/>
    </w:rPr>
  </w:style>
  <w:style w:type="character" w:customStyle="1" w:styleId="Heading6Char">
    <w:name w:val="Heading 6 Char"/>
    <w:basedOn w:val="DefaultParagraphFont"/>
    <w:link w:val="Heading6"/>
    <w:uiPriority w:val="99"/>
    <w:locked/>
    <w:rsid w:val="00873FB6"/>
    <w:rPr>
      <w:rFonts w:ascii="Cambria" w:eastAsia="Times New Roman" w:hAnsi="Cambria" w:cs="Times New Roman"/>
      <w:i/>
      <w:iCs/>
      <w:color w:val="243F60"/>
      <w:sz w:val="24"/>
      <w:lang w:eastAsia="en-US"/>
    </w:rPr>
  </w:style>
  <w:style w:type="character" w:customStyle="1" w:styleId="Heading7Char">
    <w:name w:val="Heading 7 Char"/>
    <w:basedOn w:val="DefaultParagraphFont"/>
    <w:link w:val="Heading7"/>
    <w:uiPriority w:val="99"/>
    <w:locked/>
    <w:rsid w:val="00873FB6"/>
    <w:rPr>
      <w:rFonts w:ascii="Cambria" w:eastAsia="Times New Roman" w:hAnsi="Cambria" w:cs="Times New Roman"/>
      <w:i/>
      <w:iCs/>
      <w:color w:val="404040"/>
      <w:sz w:val="24"/>
      <w:lang w:eastAsia="en-US"/>
    </w:rPr>
  </w:style>
  <w:style w:type="character" w:customStyle="1" w:styleId="Heading8Char">
    <w:name w:val="Heading 8 Char"/>
    <w:basedOn w:val="DefaultParagraphFont"/>
    <w:link w:val="Heading8"/>
    <w:uiPriority w:val="99"/>
    <w:locked/>
    <w:rsid w:val="00873FB6"/>
    <w:rPr>
      <w:rFonts w:ascii="Cambria" w:eastAsia="Times New Roman" w:hAnsi="Cambria" w:cs="Times New Roman"/>
      <w:color w:val="404040"/>
      <w:sz w:val="20"/>
      <w:szCs w:val="20"/>
      <w:lang w:eastAsia="en-US"/>
    </w:rPr>
  </w:style>
  <w:style w:type="character" w:customStyle="1" w:styleId="Heading9Char">
    <w:name w:val="Heading 9 Char"/>
    <w:basedOn w:val="DefaultParagraphFont"/>
    <w:link w:val="Heading9"/>
    <w:uiPriority w:val="99"/>
    <w:locked/>
    <w:rsid w:val="00873FB6"/>
    <w:rPr>
      <w:rFonts w:ascii="Cambria" w:eastAsia="Times New Roman" w:hAnsi="Cambria" w:cs="Times New Roman"/>
      <w:i/>
      <w:iCs/>
      <w:color w:val="404040"/>
      <w:sz w:val="20"/>
      <w:szCs w:val="20"/>
      <w:lang w:eastAsia="en-US"/>
    </w:rPr>
  </w:style>
  <w:style w:type="paragraph" w:styleId="Header">
    <w:name w:val="header"/>
    <w:basedOn w:val="Normal"/>
    <w:link w:val="HeaderChar"/>
    <w:uiPriority w:val="99"/>
    <w:rsid w:val="00E5118E"/>
    <w:pPr>
      <w:tabs>
        <w:tab w:val="center" w:pos="4394"/>
        <w:tab w:val="right" w:pos="8789"/>
      </w:tabs>
    </w:pPr>
  </w:style>
  <w:style w:type="character" w:customStyle="1" w:styleId="HeaderChar">
    <w:name w:val="Header Char"/>
    <w:basedOn w:val="DefaultParagraphFont"/>
    <w:link w:val="Header"/>
    <w:uiPriority w:val="99"/>
    <w:locked/>
    <w:rsid w:val="00E5118E"/>
    <w:rPr>
      <w:rFonts w:ascii="Times New Roman" w:hAnsi="Times New Roman" w:cs="Times New Roman"/>
      <w:sz w:val="24"/>
    </w:rPr>
  </w:style>
  <w:style w:type="paragraph" w:styleId="Footer">
    <w:name w:val="footer"/>
    <w:basedOn w:val="Normal"/>
    <w:link w:val="FooterChar"/>
    <w:uiPriority w:val="99"/>
    <w:rsid w:val="00C541AB"/>
    <w:pPr>
      <w:tabs>
        <w:tab w:val="center" w:pos="4394"/>
        <w:tab w:val="right" w:pos="8789"/>
      </w:tabs>
    </w:pPr>
    <w:rPr>
      <w:rFonts w:ascii="Arial" w:hAnsi="Arial"/>
      <w:sz w:val="20"/>
    </w:rPr>
  </w:style>
  <w:style w:type="character" w:customStyle="1" w:styleId="FooterChar">
    <w:name w:val="Footer Char"/>
    <w:basedOn w:val="DefaultParagraphFont"/>
    <w:link w:val="Footer"/>
    <w:uiPriority w:val="99"/>
    <w:locked/>
    <w:rsid w:val="00C541AB"/>
    <w:rPr>
      <w:rFonts w:ascii="Arial" w:hAnsi="Arial" w:cs="Times New Roman"/>
      <w:sz w:val="20"/>
    </w:rPr>
  </w:style>
  <w:style w:type="paragraph" w:styleId="BodyText">
    <w:name w:val="Body Text"/>
    <w:basedOn w:val="Normal"/>
    <w:link w:val="BodyTextChar"/>
    <w:uiPriority w:val="99"/>
    <w:rsid w:val="00DF69EE"/>
    <w:pPr>
      <w:spacing w:after="360" w:line="360" w:lineRule="auto"/>
    </w:pPr>
  </w:style>
  <w:style w:type="character" w:customStyle="1" w:styleId="BodyTextChar">
    <w:name w:val="Body Text Char"/>
    <w:basedOn w:val="DefaultParagraphFont"/>
    <w:link w:val="BodyText"/>
    <w:uiPriority w:val="99"/>
    <w:locked/>
    <w:rsid w:val="00EC43A6"/>
    <w:rPr>
      <w:rFonts w:ascii="Times New Roman" w:hAnsi="Times New Roman" w:cs="Times New Roman"/>
      <w:sz w:val="24"/>
    </w:rPr>
  </w:style>
  <w:style w:type="paragraph" w:styleId="Caption">
    <w:name w:val="caption"/>
    <w:basedOn w:val="Normal"/>
    <w:next w:val="BodyText"/>
    <w:uiPriority w:val="9"/>
    <w:qFormat/>
    <w:rsid w:val="00EC43A6"/>
    <w:pPr>
      <w:spacing w:before="120"/>
    </w:pPr>
    <w:rPr>
      <w:rFonts w:ascii="Arial" w:hAnsi="Arial"/>
      <w:b/>
      <w:bCs/>
      <w:sz w:val="20"/>
      <w:szCs w:val="18"/>
    </w:rPr>
  </w:style>
  <w:style w:type="paragraph" w:customStyle="1" w:styleId="Caption2">
    <w:name w:val="Caption2"/>
    <w:basedOn w:val="Caption"/>
    <w:next w:val="BodyText"/>
    <w:uiPriority w:val="99"/>
    <w:rsid w:val="00C541AB"/>
    <w:pPr>
      <w:spacing w:before="0" w:after="360"/>
    </w:pPr>
  </w:style>
  <w:style w:type="paragraph" w:customStyle="1" w:styleId="Captionfollow">
    <w:name w:val="Captionfollow"/>
    <w:basedOn w:val="Caption"/>
    <w:next w:val="BodyText"/>
    <w:uiPriority w:val="99"/>
    <w:rsid w:val="008675FB"/>
    <w:pPr>
      <w:spacing w:before="0" w:after="160"/>
    </w:pPr>
    <w:rPr>
      <w:b w:val="0"/>
    </w:rPr>
  </w:style>
  <w:style w:type="character" w:styleId="EndnoteReference">
    <w:name w:val="endnote reference"/>
    <w:basedOn w:val="DefaultParagraphFont"/>
    <w:uiPriority w:val="99"/>
    <w:rsid w:val="00C541AB"/>
    <w:rPr>
      <w:rFonts w:ascii="Arial" w:hAnsi="Arial" w:cs="Times New Roman"/>
      <w:sz w:val="20"/>
      <w:vertAlign w:val="superscript"/>
    </w:rPr>
  </w:style>
  <w:style w:type="paragraph" w:styleId="EndnoteText">
    <w:name w:val="endnote text"/>
    <w:basedOn w:val="Normal"/>
    <w:link w:val="EndnoteTextChar"/>
    <w:uiPriority w:val="99"/>
    <w:rsid w:val="00C541AB"/>
    <w:pPr>
      <w:spacing w:after="120"/>
      <w:ind w:left="284" w:hanging="284"/>
    </w:pPr>
    <w:rPr>
      <w:rFonts w:ascii="Arial" w:hAnsi="Arial"/>
      <w:sz w:val="20"/>
      <w:szCs w:val="20"/>
    </w:rPr>
  </w:style>
  <w:style w:type="character" w:customStyle="1" w:styleId="EndnoteTextChar">
    <w:name w:val="Endnote Text Char"/>
    <w:basedOn w:val="DefaultParagraphFont"/>
    <w:link w:val="EndnoteText"/>
    <w:uiPriority w:val="99"/>
    <w:locked/>
    <w:rsid w:val="00C541AB"/>
    <w:rPr>
      <w:rFonts w:ascii="Arial" w:hAnsi="Arial" w:cs="Times New Roman"/>
      <w:sz w:val="20"/>
      <w:szCs w:val="20"/>
    </w:rPr>
  </w:style>
  <w:style w:type="character" w:styleId="FootnoteReference">
    <w:name w:val="footnote reference"/>
    <w:basedOn w:val="DefaultParagraphFont"/>
    <w:uiPriority w:val="99"/>
    <w:rsid w:val="00C541AB"/>
    <w:rPr>
      <w:rFonts w:ascii="Arial" w:hAnsi="Arial" w:cs="Times New Roman"/>
      <w:sz w:val="20"/>
      <w:vertAlign w:val="superscript"/>
    </w:rPr>
  </w:style>
  <w:style w:type="paragraph" w:styleId="FootnoteText">
    <w:name w:val="footnote text"/>
    <w:basedOn w:val="Normal"/>
    <w:link w:val="FootnoteTextChar"/>
    <w:uiPriority w:val="99"/>
    <w:rsid w:val="00E5118E"/>
    <w:pPr>
      <w:spacing w:after="120"/>
      <w:ind w:left="284" w:hanging="284"/>
    </w:pPr>
    <w:rPr>
      <w:rFonts w:ascii="Arial" w:hAnsi="Arial"/>
      <w:sz w:val="20"/>
      <w:szCs w:val="20"/>
    </w:rPr>
  </w:style>
  <w:style w:type="character" w:customStyle="1" w:styleId="FootnoteTextChar">
    <w:name w:val="Footnote Text Char"/>
    <w:basedOn w:val="DefaultParagraphFont"/>
    <w:link w:val="FootnoteText"/>
    <w:uiPriority w:val="99"/>
    <w:locked/>
    <w:rsid w:val="00E5118E"/>
    <w:rPr>
      <w:rFonts w:ascii="Arial" w:hAnsi="Arial" w:cs="Times New Roman"/>
      <w:sz w:val="20"/>
      <w:szCs w:val="20"/>
    </w:rPr>
  </w:style>
  <w:style w:type="character" w:styleId="PageNumber">
    <w:name w:val="page number"/>
    <w:basedOn w:val="DefaultParagraphFont"/>
    <w:uiPriority w:val="99"/>
    <w:rsid w:val="00E5118E"/>
    <w:rPr>
      <w:rFonts w:ascii="Arial" w:hAnsi="Arial" w:cs="Times New Roman"/>
      <w:sz w:val="20"/>
    </w:rPr>
  </w:style>
  <w:style w:type="paragraph" w:styleId="Quote">
    <w:name w:val="Quote"/>
    <w:basedOn w:val="Normal"/>
    <w:next w:val="BodyText"/>
    <w:link w:val="QuoteChar"/>
    <w:uiPriority w:val="99"/>
    <w:qFormat/>
    <w:rsid w:val="00D91D25"/>
    <w:pPr>
      <w:spacing w:after="360"/>
      <w:ind w:left="567" w:right="567"/>
    </w:pPr>
    <w:rPr>
      <w:iCs/>
      <w:color w:val="000000"/>
    </w:rPr>
  </w:style>
  <w:style w:type="character" w:customStyle="1" w:styleId="QuoteChar">
    <w:name w:val="Quote Char"/>
    <w:basedOn w:val="DefaultParagraphFont"/>
    <w:link w:val="Quote"/>
    <w:uiPriority w:val="99"/>
    <w:locked/>
    <w:rsid w:val="00D91D25"/>
    <w:rPr>
      <w:rFonts w:ascii="Times New Roman" w:hAnsi="Times New Roman" w:cs="Times New Roman"/>
      <w:iCs/>
      <w:color w:val="000000"/>
      <w:sz w:val="24"/>
    </w:rPr>
  </w:style>
  <w:style w:type="paragraph" w:styleId="Title">
    <w:name w:val="Title"/>
    <w:basedOn w:val="Heading1"/>
    <w:next w:val="Heading1"/>
    <w:link w:val="TitleChar"/>
    <w:uiPriority w:val="99"/>
    <w:qFormat/>
    <w:rsid w:val="008268D8"/>
    <w:pPr>
      <w:numPr>
        <w:numId w:val="0"/>
      </w:numPr>
      <w:jc w:val="center"/>
    </w:pPr>
    <w:rPr>
      <w:szCs w:val="52"/>
    </w:rPr>
  </w:style>
  <w:style w:type="character" w:customStyle="1" w:styleId="TitleChar">
    <w:name w:val="Title Char"/>
    <w:basedOn w:val="DefaultParagraphFont"/>
    <w:link w:val="Title"/>
    <w:uiPriority w:val="99"/>
    <w:locked/>
    <w:rsid w:val="008268D8"/>
    <w:rPr>
      <w:rFonts w:ascii="Arial" w:eastAsia="Times New Roman" w:hAnsi="Arial" w:cs="Times New Roman"/>
      <w:b/>
      <w:bCs/>
      <w:kern w:val="28"/>
      <w:sz w:val="36"/>
      <w:szCs w:val="52"/>
      <w:lang w:eastAsia="en-US"/>
    </w:rPr>
  </w:style>
  <w:style w:type="paragraph" w:customStyle="1" w:styleId="TitleTB">
    <w:name w:val="TitleTB"/>
    <w:basedOn w:val="Title"/>
    <w:next w:val="BodyText"/>
    <w:link w:val="TitleTBChar"/>
    <w:uiPriority w:val="99"/>
    <w:rsid w:val="006C48C1"/>
  </w:style>
  <w:style w:type="character" w:customStyle="1" w:styleId="TitleTBChar">
    <w:name w:val="TitleTB Char"/>
    <w:basedOn w:val="TitleChar"/>
    <w:link w:val="TitleTB"/>
    <w:uiPriority w:val="99"/>
    <w:locked/>
    <w:rsid w:val="00CF58A8"/>
    <w:rPr>
      <w:rFonts w:ascii="Arial" w:eastAsia="Times New Roman" w:hAnsi="Arial" w:cs="Times New Roman"/>
      <w:b/>
      <w:bCs/>
      <w:kern w:val="28"/>
      <w:sz w:val="36"/>
      <w:szCs w:val="52"/>
      <w:lang w:eastAsia="en-US"/>
    </w:rPr>
  </w:style>
  <w:style w:type="paragraph" w:styleId="BalloonText">
    <w:name w:val="Balloon Text"/>
    <w:basedOn w:val="Normal"/>
    <w:link w:val="BalloonTextChar"/>
    <w:uiPriority w:val="99"/>
    <w:semiHidden/>
    <w:rsid w:val="00A247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47E9"/>
    <w:rPr>
      <w:rFonts w:ascii="Tahoma" w:hAnsi="Tahoma" w:cs="Tahoma"/>
      <w:sz w:val="16"/>
      <w:szCs w:val="16"/>
    </w:rPr>
  </w:style>
  <w:style w:type="paragraph" w:styleId="ListParagraph">
    <w:name w:val="List Paragraph"/>
    <w:basedOn w:val="Normal"/>
    <w:uiPriority w:val="99"/>
    <w:qFormat/>
    <w:rsid w:val="00E756F8"/>
    <w:pPr>
      <w:spacing w:after="200" w:line="276" w:lineRule="auto"/>
      <w:ind w:left="720"/>
      <w:contextualSpacing/>
    </w:pPr>
    <w:rPr>
      <w:rFonts w:ascii="Calibri" w:hAnsi="Calibri"/>
      <w:sz w:val="22"/>
    </w:rPr>
  </w:style>
  <w:style w:type="table" w:styleId="TableGrid">
    <w:name w:val="Table Grid"/>
    <w:basedOn w:val="TableNormal"/>
    <w:uiPriority w:val="59"/>
    <w:rsid w:val="00E756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56F8"/>
    <w:rPr>
      <w:rFonts w:cs="Times New Roman"/>
      <w:color w:val="0000FF"/>
      <w:u w:val="single"/>
    </w:rPr>
  </w:style>
  <w:style w:type="character" w:styleId="CommentReference">
    <w:name w:val="annotation reference"/>
    <w:basedOn w:val="DefaultParagraphFont"/>
    <w:uiPriority w:val="99"/>
    <w:semiHidden/>
    <w:rsid w:val="00E756F8"/>
    <w:rPr>
      <w:rFonts w:cs="Times New Roman"/>
      <w:sz w:val="16"/>
      <w:szCs w:val="16"/>
    </w:rPr>
  </w:style>
  <w:style w:type="paragraph" w:styleId="CommentText">
    <w:name w:val="annotation text"/>
    <w:basedOn w:val="Normal"/>
    <w:link w:val="CommentTextChar"/>
    <w:uiPriority w:val="99"/>
    <w:semiHidden/>
    <w:rsid w:val="00E756F8"/>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locked/>
    <w:rsid w:val="00E756F8"/>
    <w:rPr>
      <w:rFonts w:cs="Times New Roman"/>
      <w:sz w:val="20"/>
      <w:szCs w:val="20"/>
    </w:rPr>
  </w:style>
  <w:style w:type="paragraph" w:styleId="CommentSubject">
    <w:name w:val="annotation subject"/>
    <w:basedOn w:val="CommentText"/>
    <w:next w:val="CommentText"/>
    <w:link w:val="CommentSubjectChar"/>
    <w:uiPriority w:val="99"/>
    <w:semiHidden/>
    <w:rsid w:val="00E756F8"/>
    <w:rPr>
      <w:b/>
      <w:bCs/>
    </w:rPr>
  </w:style>
  <w:style w:type="character" w:customStyle="1" w:styleId="CommentSubjectChar">
    <w:name w:val="Comment Subject Char"/>
    <w:basedOn w:val="CommentTextChar"/>
    <w:link w:val="CommentSubject"/>
    <w:uiPriority w:val="99"/>
    <w:semiHidden/>
    <w:locked/>
    <w:rsid w:val="00E756F8"/>
    <w:rPr>
      <w:rFonts w:cs="Times New Roman"/>
      <w:b/>
      <w:bCs/>
      <w:sz w:val="20"/>
      <w:szCs w:val="20"/>
    </w:rPr>
  </w:style>
  <w:style w:type="character" w:styleId="PlaceholderText">
    <w:name w:val="Placeholder Text"/>
    <w:basedOn w:val="DefaultParagraphFont"/>
    <w:uiPriority w:val="99"/>
    <w:semiHidden/>
    <w:rsid w:val="00E756F8"/>
    <w:rPr>
      <w:rFonts w:cs="Times New Roman"/>
      <w:color w:val="808080"/>
    </w:rPr>
  </w:style>
  <w:style w:type="paragraph" w:styleId="TOCHeading">
    <w:name w:val="TOC Heading"/>
    <w:basedOn w:val="Heading1"/>
    <w:next w:val="Normal"/>
    <w:uiPriority w:val="99"/>
    <w:qFormat/>
    <w:rsid w:val="00E756F8"/>
    <w:pPr>
      <w:numPr>
        <w:numId w:val="0"/>
      </w:numPr>
      <w:spacing w:before="480" w:after="0" w:line="276" w:lineRule="auto"/>
      <w:outlineLvl w:val="9"/>
    </w:pPr>
    <w:rPr>
      <w:rFonts w:ascii="Cambria" w:hAnsi="Cambria"/>
      <w:color w:val="365F91"/>
      <w:kern w:val="0"/>
      <w:sz w:val="28"/>
      <w:lang w:val="en-US"/>
    </w:rPr>
  </w:style>
  <w:style w:type="paragraph" w:styleId="TOC1">
    <w:name w:val="toc 1"/>
    <w:basedOn w:val="Normal"/>
    <w:next w:val="Normal"/>
    <w:autoRedefine/>
    <w:uiPriority w:val="99"/>
    <w:rsid w:val="00E756F8"/>
    <w:pPr>
      <w:spacing w:after="100"/>
    </w:pPr>
  </w:style>
  <w:style w:type="paragraph" w:styleId="TOC2">
    <w:name w:val="toc 2"/>
    <w:basedOn w:val="Normal"/>
    <w:next w:val="Normal"/>
    <w:autoRedefine/>
    <w:uiPriority w:val="99"/>
    <w:rsid w:val="00E756F8"/>
    <w:pPr>
      <w:spacing w:after="100"/>
      <w:ind w:left="240"/>
    </w:pPr>
  </w:style>
  <w:style w:type="paragraph" w:styleId="TOC3">
    <w:name w:val="toc 3"/>
    <w:basedOn w:val="Normal"/>
    <w:next w:val="Normal"/>
    <w:autoRedefine/>
    <w:uiPriority w:val="99"/>
    <w:rsid w:val="00E756F8"/>
    <w:pPr>
      <w:spacing w:after="100"/>
      <w:ind w:left="480"/>
    </w:pPr>
  </w:style>
  <w:style w:type="paragraph" w:styleId="TableofFigures">
    <w:name w:val="table of figures"/>
    <w:basedOn w:val="Normal"/>
    <w:next w:val="Normal"/>
    <w:uiPriority w:val="99"/>
    <w:rsid w:val="00E756F8"/>
    <w:pPr>
      <w:spacing w:line="360" w:lineRule="auto"/>
    </w:pPr>
  </w:style>
  <w:style w:type="paragraph" w:styleId="TOAHeading">
    <w:name w:val="toa heading"/>
    <w:basedOn w:val="Normal"/>
    <w:next w:val="Normal"/>
    <w:uiPriority w:val="99"/>
    <w:rsid w:val="00E756F8"/>
    <w:pPr>
      <w:spacing w:before="120"/>
    </w:pPr>
    <w:rPr>
      <w:rFonts w:ascii="Cambria" w:eastAsia="Times New Roman" w:hAnsi="Cambria" w:cs="Times New Roman"/>
      <w:b/>
      <w:bCs/>
      <w:szCs w:val="24"/>
    </w:rPr>
  </w:style>
  <w:style w:type="paragraph" w:styleId="Bibliography">
    <w:name w:val="Bibliography"/>
    <w:basedOn w:val="Normal"/>
    <w:next w:val="Normal"/>
    <w:uiPriority w:val="99"/>
    <w:rsid w:val="00E756F8"/>
    <w:pPr>
      <w:spacing w:after="200" w:line="276" w:lineRule="auto"/>
    </w:pPr>
    <w:rPr>
      <w:rFonts w:ascii="Calibri" w:hAnsi="Calibri"/>
      <w:sz w:val="22"/>
    </w:rPr>
  </w:style>
  <w:style w:type="paragraph" w:styleId="TOC4">
    <w:name w:val="toc 4"/>
    <w:basedOn w:val="Normal"/>
    <w:next w:val="Normal"/>
    <w:autoRedefine/>
    <w:uiPriority w:val="99"/>
    <w:rsid w:val="00E756F8"/>
    <w:pPr>
      <w:spacing w:after="100"/>
      <w:ind w:left="720"/>
    </w:pPr>
  </w:style>
  <w:style w:type="paragraph" w:customStyle="1" w:styleId="Default">
    <w:name w:val="Default"/>
    <w:rsid w:val="0068264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476">
      <w:bodyDiv w:val="1"/>
      <w:marLeft w:val="0"/>
      <w:marRight w:val="0"/>
      <w:marTop w:val="0"/>
      <w:marBottom w:val="0"/>
      <w:divBdr>
        <w:top w:val="none" w:sz="0" w:space="0" w:color="auto"/>
        <w:left w:val="none" w:sz="0" w:space="0" w:color="auto"/>
        <w:bottom w:val="none" w:sz="0" w:space="0" w:color="auto"/>
        <w:right w:val="none" w:sz="0" w:space="0" w:color="auto"/>
      </w:divBdr>
    </w:div>
    <w:div w:id="28603695">
      <w:bodyDiv w:val="1"/>
      <w:marLeft w:val="0"/>
      <w:marRight w:val="0"/>
      <w:marTop w:val="0"/>
      <w:marBottom w:val="0"/>
      <w:divBdr>
        <w:top w:val="none" w:sz="0" w:space="0" w:color="auto"/>
        <w:left w:val="none" w:sz="0" w:space="0" w:color="auto"/>
        <w:bottom w:val="none" w:sz="0" w:space="0" w:color="auto"/>
        <w:right w:val="none" w:sz="0" w:space="0" w:color="auto"/>
      </w:divBdr>
    </w:div>
    <w:div w:id="37123686">
      <w:bodyDiv w:val="1"/>
      <w:marLeft w:val="0"/>
      <w:marRight w:val="0"/>
      <w:marTop w:val="0"/>
      <w:marBottom w:val="0"/>
      <w:divBdr>
        <w:top w:val="none" w:sz="0" w:space="0" w:color="auto"/>
        <w:left w:val="none" w:sz="0" w:space="0" w:color="auto"/>
        <w:bottom w:val="none" w:sz="0" w:space="0" w:color="auto"/>
        <w:right w:val="none" w:sz="0" w:space="0" w:color="auto"/>
      </w:divBdr>
    </w:div>
    <w:div w:id="40598575">
      <w:bodyDiv w:val="1"/>
      <w:marLeft w:val="0"/>
      <w:marRight w:val="0"/>
      <w:marTop w:val="0"/>
      <w:marBottom w:val="0"/>
      <w:divBdr>
        <w:top w:val="none" w:sz="0" w:space="0" w:color="auto"/>
        <w:left w:val="none" w:sz="0" w:space="0" w:color="auto"/>
        <w:bottom w:val="none" w:sz="0" w:space="0" w:color="auto"/>
        <w:right w:val="none" w:sz="0" w:space="0" w:color="auto"/>
      </w:divBdr>
    </w:div>
    <w:div w:id="49111507">
      <w:bodyDiv w:val="1"/>
      <w:marLeft w:val="0"/>
      <w:marRight w:val="0"/>
      <w:marTop w:val="0"/>
      <w:marBottom w:val="0"/>
      <w:divBdr>
        <w:top w:val="none" w:sz="0" w:space="0" w:color="auto"/>
        <w:left w:val="none" w:sz="0" w:space="0" w:color="auto"/>
        <w:bottom w:val="none" w:sz="0" w:space="0" w:color="auto"/>
        <w:right w:val="none" w:sz="0" w:space="0" w:color="auto"/>
      </w:divBdr>
    </w:div>
    <w:div w:id="89861376">
      <w:bodyDiv w:val="1"/>
      <w:marLeft w:val="0"/>
      <w:marRight w:val="0"/>
      <w:marTop w:val="0"/>
      <w:marBottom w:val="0"/>
      <w:divBdr>
        <w:top w:val="none" w:sz="0" w:space="0" w:color="auto"/>
        <w:left w:val="none" w:sz="0" w:space="0" w:color="auto"/>
        <w:bottom w:val="none" w:sz="0" w:space="0" w:color="auto"/>
        <w:right w:val="none" w:sz="0" w:space="0" w:color="auto"/>
      </w:divBdr>
    </w:div>
    <w:div w:id="126289716">
      <w:bodyDiv w:val="1"/>
      <w:marLeft w:val="0"/>
      <w:marRight w:val="0"/>
      <w:marTop w:val="0"/>
      <w:marBottom w:val="0"/>
      <w:divBdr>
        <w:top w:val="none" w:sz="0" w:space="0" w:color="auto"/>
        <w:left w:val="none" w:sz="0" w:space="0" w:color="auto"/>
        <w:bottom w:val="none" w:sz="0" w:space="0" w:color="auto"/>
        <w:right w:val="none" w:sz="0" w:space="0" w:color="auto"/>
      </w:divBdr>
    </w:div>
    <w:div w:id="219558693">
      <w:bodyDiv w:val="1"/>
      <w:marLeft w:val="0"/>
      <w:marRight w:val="0"/>
      <w:marTop w:val="0"/>
      <w:marBottom w:val="0"/>
      <w:divBdr>
        <w:top w:val="none" w:sz="0" w:space="0" w:color="auto"/>
        <w:left w:val="none" w:sz="0" w:space="0" w:color="auto"/>
        <w:bottom w:val="none" w:sz="0" w:space="0" w:color="auto"/>
        <w:right w:val="none" w:sz="0" w:space="0" w:color="auto"/>
      </w:divBdr>
    </w:div>
    <w:div w:id="240722380">
      <w:bodyDiv w:val="1"/>
      <w:marLeft w:val="0"/>
      <w:marRight w:val="0"/>
      <w:marTop w:val="0"/>
      <w:marBottom w:val="0"/>
      <w:divBdr>
        <w:top w:val="none" w:sz="0" w:space="0" w:color="auto"/>
        <w:left w:val="none" w:sz="0" w:space="0" w:color="auto"/>
        <w:bottom w:val="none" w:sz="0" w:space="0" w:color="auto"/>
        <w:right w:val="none" w:sz="0" w:space="0" w:color="auto"/>
      </w:divBdr>
    </w:div>
    <w:div w:id="241724479">
      <w:bodyDiv w:val="1"/>
      <w:marLeft w:val="0"/>
      <w:marRight w:val="0"/>
      <w:marTop w:val="0"/>
      <w:marBottom w:val="0"/>
      <w:divBdr>
        <w:top w:val="none" w:sz="0" w:space="0" w:color="auto"/>
        <w:left w:val="none" w:sz="0" w:space="0" w:color="auto"/>
        <w:bottom w:val="none" w:sz="0" w:space="0" w:color="auto"/>
        <w:right w:val="none" w:sz="0" w:space="0" w:color="auto"/>
      </w:divBdr>
    </w:div>
    <w:div w:id="251357025">
      <w:bodyDiv w:val="1"/>
      <w:marLeft w:val="0"/>
      <w:marRight w:val="0"/>
      <w:marTop w:val="0"/>
      <w:marBottom w:val="0"/>
      <w:divBdr>
        <w:top w:val="none" w:sz="0" w:space="0" w:color="auto"/>
        <w:left w:val="none" w:sz="0" w:space="0" w:color="auto"/>
        <w:bottom w:val="none" w:sz="0" w:space="0" w:color="auto"/>
        <w:right w:val="none" w:sz="0" w:space="0" w:color="auto"/>
      </w:divBdr>
    </w:div>
    <w:div w:id="254678698">
      <w:bodyDiv w:val="1"/>
      <w:marLeft w:val="0"/>
      <w:marRight w:val="0"/>
      <w:marTop w:val="0"/>
      <w:marBottom w:val="0"/>
      <w:divBdr>
        <w:top w:val="none" w:sz="0" w:space="0" w:color="auto"/>
        <w:left w:val="none" w:sz="0" w:space="0" w:color="auto"/>
        <w:bottom w:val="none" w:sz="0" w:space="0" w:color="auto"/>
        <w:right w:val="none" w:sz="0" w:space="0" w:color="auto"/>
      </w:divBdr>
    </w:div>
    <w:div w:id="308051074">
      <w:bodyDiv w:val="1"/>
      <w:marLeft w:val="0"/>
      <w:marRight w:val="0"/>
      <w:marTop w:val="0"/>
      <w:marBottom w:val="0"/>
      <w:divBdr>
        <w:top w:val="none" w:sz="0" w:space="0" w:color="auto"/>
        <w:left w:val="none" w:sz="0" w:space="0" w:color="auto"/>
        <w:bottom w:val="none" w:sz="0" w:space="0" w:color="auto"/>
        <w:right w:val="none" w:sz="0" w:space="0" w:color="auto"/>
      </w:divBdr>
    </w:div>
    <w:div w:id="345405925">
      <w:bodyDiv w:val="1"/>
      <w:marLeft w:val="0"/>
      <w:marRight w:val="0"/>
      <w:marTop w:val="0"/>
      <w:marBottom w:val="0"/>
      <w:divBdr>
        <w:top w:val="none" w:sz="0" w:space="0" w:color="auto"/>
        <w:left w:val="none" w:sz="0" w:space="0" w:color="auto"/>
        <w:bottom w:val="none" w:sz="0" w:space="0" w:color="auto"/>
        <w:right w:val="none" w:sz="0" w:space="0" w:color="auto"/>
      </w:divBdr>
    </w:div>
    <w:div w:id="357048558">
      <w:bodyDiv w:val="1"/>
      <w:marLeft w:val="0"/>
      <w:marRight w:val="0"/>
      <w:marTop w:val="0"/>
      <w:marBottom w:val="0"/>
      <w:divBdr>
        <w:top w:val="none" w:sz="0" w:space="0" w:color="auto"/>
        <w:left w:val="none" w:sz="0" w:space="0" w:color="auto"/>
        <w:bottom w:val="none" w:sz="0" w:space="0" w:color="auto"/>
        <w:right w:val="none" w:sz="0" w:space="0" w:color="auto"/>
      </w:divBdr>
    </w:div>
    <w:div w:id="360085991">
      <w:bodyDiv w:val="1"/>
      <w:marLeft w:val="0"/>
      <w:marRight w:val="0"/>
      <w:marTop w:val="0"/>
      <w:marBottom w:val="0"/>
      <w:divBdr>
        <w:top w:val="none" w:sz="0" w:space="0" w:color="auto"/>
        <w:left w:val="none" w:sz="0" w:space="0" w:color="auto"/>
        <w:bottom w:val="none" w:sz="0" w:space="0" w:color="auto"/>
        <w:right w:val="none" w:sz="0" w:space="0" w:color="auto"/>
      </w:divBdr>
    </w:div>
    <w:div w:id="378286122">
      <w:bodyDiv w:val="1"/>
      <w:marLeft w:val="0"/>
      <w:marRight w:val="0"/>
      <w:marTop w:val="0"/>
      <w:marBottom w:val="0"/>
      <w:divBdr>
        <w:top w:val="none" w:sz="0" w:space="0" w:color="auto"/>
        <w:left w:val="none" w:sz="0" w:space="0" w:color="auto"/>
        <w:bottom w:val="none" w:sz="0" w:space="0" w:color="auto"/>
        <w:right w:val="none" w:sz="0" w:space="0" w:color="auto"/>
      </w:divBdr>
    </w:div>
    <w:div w:id="401608900">
      <w:bodyDiv w:val="1"/>
      <w:marLeft w:val="0"/>
      <w:marRight w:val="0"/>
      <w:marTop w:val="0"/>
      <w:marBottom w:val="0"/>
      <w:divBdr>
        <w:top w:val="none" w:sz="0" w:space="0" w:color="auto"/>
        <w:left w:val="none" w:sz="0" w:space="0" w:color="auto"/>
        <w:bottom w:val="none" w:sz="0" w:space="0" w:color="auto"/>
        <w:right w:val="none" w:sz="0" w:space="0" w:color="auto"/>
      </w:divBdr>
    </w:div>
    <w:div w:id="407652563">
      <w:bodyDiv w:val="1"/>
      <w:marLeft w:val="0"/>
      <w:marRight w:val="0"/>
      <w:marTop w:val="0"/>
      <w:marBottom w:val="0"/>
      <w:divBdr>
        <w:top w:val="none" w:sz="0" w:space="0" w:color="auto"/>
        <w:left w:val="none" w:sz="0" w:space="0" w:color="auto"/>
        <w:bottom w:val="none" w:sz="0" w:space="0" w:color="auto"/>
        <w:right w:val="none" w:sz="0" w:space="0" w:color="auto"/>
      </w:divBdr>
    </w:div>
    <w:div w:id="410931832">
      <w:bodyDiv w:val="1"/>
      <w:marLeft w:val="0"/>
      <w:marRight w:val="0"/>
      <w:marTop w:val="0"/>
      <w:marBottom w:val="0"/>
      <w:divBdr>
        <w:top w:val="none" w:sz="0" w:space="0" w:color="auto"/>
        <w:left w:val="none" w:sz="0" w:space="0" w:color="auto"/>
        <w:bottom w:val="none" w:sz="0" w:space="0" w:color="auto"/>
        <w:right w:val="none" w:sz="0" w:space="0" w:color="auto"/>
      </w:divBdr>
    </w:div>
    <w:div w:id="411776037">
      <w:bodyDiv w:val="1"/>
      <w:marLeft w:val="0"/>
      <w:marRight w:val="0"/>
      <w:marTop w:val="0"/>
      <w:marBottom w:val="0"/>
      <w:divBdr>
        <w:top w:val="none" w:sz="0" w:space="0" w:color="auto"/>
        <w:left w:val="none" w:sz="0" w:space="0" w:color="auto"/>
        <w:bottom w:val="none" w:sz="0" w:space="0" w:color="auto"/>
        <w:right w:val="none" w:sz="0" w:space="0" w:color="auto"/>
      </w:divBdr>
    </w:div>
    <w:div w:id="438572221">
      <w:bodyDiv w:val="1"/>
      <w:marLeft w:val="0"/>
      <w:marRight w:val="0"/>
      <w:marTop w:val="0"/>
      <w:marBottom w:val="0"/>
      <w:divBdr>
        <w:top w:val="none" w:sz="0" w:space="0" w:color="auto"/>
        <w:left w:val="none" w:sz="0" w:space="0" w:color="auto"/>
        <w:bottom w:val="none" w:sz="0" w:space="0" w:color="auto"/>
        <w:right w:val="none" w:sz="0" w:space="0" w:color="auto"/>
      </w:divBdr>
    </w:div>
    <w:div w:id="454568590">
      <w:bodyDiv w:val="1"/>
      <w:marLeft w:val="0"/>
      <w:marRight w:val="0"/>
      <w:marTop w:val="0"/>
      <w:marBottom w:val="0"/>
      <w:divBdr>
        <w:top w:val="none" w:sz="0" w:space="0" w:color="auto"/>
        <w:left w:val="none" w:sz="0" w:space="0" w:color="auto"/>
        <w:bottom w:val="none" w:sz="0" w:space="0" w:color="auto"/>
        <w:right w:val="none" w:sz="0" w:space="0" w:color="auto"/>
      </w:divBdr>
    </w:div>
    <w:div w:id="485556718">
      <w:bodyDiv w:val="1"/>
      <w:marLeft w:val="0"/>
      <w:marRight w:val="0"/>
      <w:marTop w:val="0"/>
      <w:marBottom w:val="0"/>
      <w:divBdr>
        <w:top w:val="none" w:sz="0" w:space="0" w:color="auto"/>
        <w:left w:val="none" w:sz="0" w:space="0" w:color="auto"/>
        <w:bottom w:val="none" w:sz="0" w:space="0" w:color="auto"/>
        <w:right w:val="none" w:sz="0" w:space="0" w:color="auto"/>
      </w:divBdr>
    </w:div>
    <w:div w:id="488178304">
      <w:bodyDiv w:val="1"/>
      <w:marLeft w:val="0"/>
      <w:marRight w:val="0"/>
      <w:marTop w:val="0"/>
      <w:marBottom w:val="0"/>
      <w:divBdr>
        <w:top w:val="none" w:sz="0" w:space="0" w:color="auto"/>
        <w:left w:val="none" w:sz="0" w:space="0" w:color="auto"/>
        <w:bottom w:val="none" w:sz="0" w:space="0" w:color="auto"/>
        <w:right w:val="none" w:sz="0" w:space="0" w:color="auto"/>
      </w:divBdr>
    </w:div>
    <w:div w:id="508569247">
      <w:bodyDiv w:val="1"/>
      <w:marLeft w:val="0"/>
      <w:marRight w:val="0"/>
      <w:marTop w:val="0"/>
      <w:marBottom w:val="0"/>
      <w:divBdr>
        <w:top w:val="none" w:sz="0" w:space="0" w:color="auto"/>
        <w:left w:val="none" w:sz="0" w:space="0" w:color="auto"/>
        <w:bottom w:val="none" w:sz="0" w:space="0" w:color="auto"/>
        <w:right w:val="none" w:sz="0" w:space="0" w:color="auto"/>
      </w:divBdr>
    </w:div>
    <w:div w:id="537857552">
      <w:bodyDiv w:val="1"/>
      <w:marLeft w:val="0"/>
      <w:marRight w:val="0"/>
      <w:marTop w:val="0"/>
      <w:marBottom w:val="0"/>
      <w:divBdr>
        <w:top w:val="none" w:sz="0" w:space="0" w:color="auto"/>
        <w:left w:val="none" w:sz="0" w:space="0" w:color="auto"/>
        <w:bottom w:val="none" w:sz="0" w:space="0" w:color="auto"/>
        <w:right w:val="none" w:sz="0" w:space="0" w:color="auto"/>
      </w:divBdr>
    </w:div>
    <w:div w:id="539587834">
      <w:bodyDiv w:val="1"/>
      <w:marLeft w:val="0"/>
      <w:marRight w:val="0"/>
      <w:marTop w:val="0"/>
      <w:marBottom w:val="0"/>
      <w:divBdr>
        <w:top w:val="none" w:sz="0" w:space="0" w:color="auto"/>
        <w:left w:val="none" w:sz="0" w:space="0" w:color="auto"/>
        <w:bottom w:val="none" w:sz="0" w:space="0" w:color="auto"/>
        <w:right w:val="none" w:sz="0" w:space="0" w:color="auto"/>
      </w:divBdr>
    </w:div>
    <w:div w:id="551307838">
      <w:bodyDiv w:val="1"/>
      <w:marLeft w:val="0"/>
      <w:marRight w:val="0"/>
      <w:marTop w:val="0"/>
      <w:marBottom w:val="0"/>
      <w:divBdr>
        <w:top w:val="none" w:sz="0" w:space="0" w:color="auto"/>
        <w:left w:val="none" w:sz="0" w:space="0" w:color="auto"/>
        <w:bottom w:val="none" w:sz="0" w:space="0" w:color="auto"/>
        <w:right w:val="none" w:sz="0" w:space="0" w:color="auto"/>
      </w:divBdr>
    </w:div>
    <w:div w:id="565184642">
      <w:bodyDiv w:val="1"/>
      <w:marLeft w:val="0"/>
      <w:marRight w:val="0"/>
      <w:marTop w:val="0"/>
      <w:marBottom w:val="0"/>
      <w:divBdr>
        <w:top w:val="none" w:sz="0" w:space="0" w:color="auto"/>
        <w:left w:val="none" w:sz="0" w:space="0" w:color="auto"/>
        <w:bottom w:val="none" w:sz="0" w:space="0" w:color="auto"/>
        <w:right w:val="none" w:sz="0" w:space="0" w:color="auto"/>
      </w:divBdr>
    </w:div>
    <w:div w:id="595554567">
      <w:bodyDiv w:val="1"/>
      <w:marLeft w:val="0"/>
      <w:marRight w:val="0"/>
      <w:marTop w:val="0"/>
      <w:marBottom w:val="0"/>
      <w:divBdr>
        <w:top w:val="none" w:sz="0" w:space="0" w:color="auto"/>
        <w:left w:val="none" w:sz="0" w:space="0" w:color="auto"/>
        <w:bottom w:val="none" w:sz="0" w:space="0" w:color="auto"/>
        <w:right w:val="none" w:sz="0" w:space="0" w:color="auto"/>
      </w:divBdr>
    </w:div>
    <w:div w:id="596521984">
      <w:bodyDiv w:val="1"/>
      <w:marLeft w:val="0"/>
      <w:marRight w:val="0"/>
      <w:marTop w:val="0"/>
      <w:marBottom w:val="0"/>
      <w:divBdr>
        <w:top w:val="none" w:sz="0" w:space="0" w:color="auto"/>
        <w:left w:val="none" w:sz="0" w:space="0" w:color="auto"/>
        <w:bottom w:val="none" w:sz="0" w:space="0" w:color="auto"/>
        <w:right w:val="none" w:sz="0" w:space="0" w:color="auto"/>
      </w:divBdr>
    </w:div>
    <w:div w:id="638418584">
      <w:bodyDiv w:val="1"/>
      <w:marLeft w:val="0"/>
      <w:marRight w:val="0"/>
      <w:marTop w:val="0"/>
      <w:marBottom w:val="0"/>
      <w:divBdr>
        <w:top w:val="none" w:sz="0" w:space="0" w:color="auto"/>
        <w:left w:val="none" w:sz="0" w:space="0" w:color="auto"/>
        <w:bottom w:val="none" w:sz="0" w:space="0" w:color="auto"/>
        <w:right w:val="none" w:sz="0" w:space="0" w:color="auto"/>
      </w:divBdr>
    </w:div>
    <w:div w:id="701321525">
      <w:bodyDiv w:val="1"/>
      <w:marLeft w:val="0"/>
      <w:marRight w:val="0"/>
      <w:marTop w:val="0"/>
      <w:marBottom w:val="0"/>
      <w:divBdr>
        <w:top w:val="none" w:sz="0" w:space="0" w:color="auto"/>
        <w:left w:val="none" w:sz="0" w:space="0" w:color="auto"/>
        <w:bottom w:val="none" w:sz="0" w:space="0" w:color="auto"/>
        <w:right w:val="none" w:sz="0" w:space="0" w:color="auto"/>
      </w:divBdr>
    </w:div>
    <w:div w:id="732972014">
      <w:bodyDiv w:val="1"/>
      <w:marLeft w:val="0"/>
      <w:marRight w:val="0"/>
      <w:marTop w:val="0"/>
      <w:marBottom w:val="0"/>
      <w:divBdr>
        <w:top w:val="none" w:sz="0" w:space="0" w:color="auto"/>
        <w:left w:val="none" w:sz="0" w:space="0" w:color="auto"/>
        <w:bottom w:val="none" w:sz="0" w:space="0" w:color="auto"/>
        <w:right w:val="none" w:sz="0" w:space="0" w:color="auto"/>
      </w:divBdr>
    </w:div>
    <w:div w:id="758335802">
      <w:bodyDiv w:val="1"/>
      <w:marLeft w:val="0"/>
      <w:marRight w:val="0"/>
      <w:marTop w:val="0"/>
      <w:marBottom w:val="0"/>
      <w:divBdr>
        <w:top w:val="none" w:sz="0" w:space="0" w:color="auto"/>
        <w:left w:val="none" w:sz="0" w:space="0" w:color="auto"/>
        <w:bottom w:val="none" w:sz="0" w:space="0" w:color="auto"/>
        <w:right w:val="none" w:sz="0" w:space="0" w:color="auto"/>
      </w:divBdr>
    </w:div>
    <w:div w:id="793446250">
      <w:bodyDiv w:val="1"/>
      <w:marLeft w:val="0"/>
      <w:marRight w:val="0"/>
      <w:marTop w:val="0"/>
      <w:marBottom w:val="0"/>
      <w:divBdr>
        <w:top w:val="none" w:sz="0" w:space="0" w:color="auto"/>
        <w:left w:val="none" w:sz="0" w:space="0" w:color="auto"/>
        <w:bottom w:val="none" w:sz="0" w:space="0" w:color="auto"/>
        <w:right w:val="none" w:sz="0" w:space="0" w:color="auto"/>
      </w:divBdr>
    </w:div>
    <w:div w:id="807472384">
      <w:bodyDiv w:val="1"/>
      <w:marLeft w:val="0"/>
      <w:marRight w:val="0"/>
      <w:marTop w:val="0"/>
      <w:marBottom w:val="0"/>
      <w:divBdr>
        <w:top w:val="none" w:sz="0" w:space="0" w:color="auto"/>
        <w:left w:val="none" w:sz="0" w:space="0" w:color="auto"/>
        <w:bottom w:val="none" w:sz="0" w:space="0" w:color="auto"/>
        <w:right w:val="none" w:sz="0" w:space="0" w:color="auto"/>
      </w:divBdr>
    </w:div>
    <w:div w:id="808786602">
      <w:bodyDiv w:val="1"/>
      <w:marLeft w:val="0"/>
      <w:marRight w:val="0"/>
      <w:marTop w:val="0"/>
      <w:marBottom w:val="0"/>
      <w:divBdr>
        <w:top w:val="none" w:sz="0" w:space="0" w:color="auto"/>
        <w:left w:val="none" w:sz="0" w:space="0" w:color="auto"/>
        <w:bottom w:val="none" w:sz="0" w:space="0" w:color="auto"/>
        <w:right w:val="none" w:sz="0" w:space="0" w:color="auto"/>
      </w:divBdr>
    </w:div>
    <w:div w:id="812873625">
      <w:bodyDiv w:val="1"/>
      <w:marLeft w:val="0"/>
      <w:marRight w:val="0"/>
      <w:marTop w:val="0"/>
      <w:marBottom w:val="0"/>
      <w:divBdr>
        <w:top w:val="none" w:sz="0" w:space="0" w:color="auto"/>
        <w:left w:val="none" w:sz="0" w:space="0" w:color="auto"/>
        <w:bottom w:val="none" w:sz="0" w:space="0" w:color="auto"/>
        <w:right w:val="none" w:sz="0" w:space="0" w:color="auto"/>
      </w:divBdr>
    </w:div>
    <w:div w:id="813372647">
      <w:bodyDiv w:val="1"/>
      <w:marLeft w:val="0"/>
      <w:marRight w:val="0"/>
      <w:marTop w:val="0"/>
      <w:marBottom w:val="0"/>
      <w:divBdr>
        <w:top w:val="none" w:sz="0" w:space="0" w:color="auto"/>
        <w:left w:val="none" w:sz="0" w:space="0" w:color="auto"/>
        <w:bottom w:val="none" w:sz="0" w:space="0" w:color="auto"/>
        <w:right w:val="none" w:sz="0" w:space="0" w:color="auto"/>
      </w:divBdr>
    </w:div>
    <w:div w:id="821391898">
      <w:bodyDiv w:val="1"/>
      <w:marLeft w:val="0"/>
      <w:marRight w:val="0"/>
      <w:marTop w:val="0"/>
      <w:marBottom w:val="0"/>
      <w:divBdr>
        <w:top w:val="none" w:sz="0" w:space="0" w:color="auto"/>
        <w:left w:val="none" w:sz="0" w:space="0" w:color="auto"/>
        <w:bottom w:val="none" w:sz="0" w:space="0" w:color="auto"/>
        <w:right w:val="none" w:sz="0" w:space="0" w:color="auto"/>
      </w:divBdr>
    </w:div>
    <w:div w:id="908274272">
      <w:bodyDiv w:val="1"/>
      <w:marLeft w:val="0"/>
      <w:marRight w:val="0"/>
      <w:marTop w:val="0"/>
      <w:marBottom w:val="0"/>
      <w:divBdr>
        <w:top w:val="none" w:sz="0" w:space="0" w:color="auto"/>
        <w:left w:val="none" w:sz="0" w:space="0" w:color="auto"/>
        <w:bottom w:val="none" w:sz="0" w:space="0" w:color="auto"/>
        <w:right w:val="none" w:sz="0" w:space="0" w:color="auto"/>
      </w:divBdr>
    </w:div>
    <w:div w:id="914440499">
      <w:bodyDiv w:val="1"/>
      <w:marLeft w:val="0"/>
      <w:marRight w:val="0"/>
      <w:marTop w:val="0"/>
      <w:marBottom w:val="0"/>
      <w:divBdr>
        <w:top w:val="none" w:sz="0" w:space="0" w:color="auto"/>
        <w:left w:val="none" w:sz="0" w:space="0" w:color="auto"/>
        <w:bottom w:val="none" w:sz="0" w:space="0" w:color="auto"/>
        <w:right w:val="none" w:sz="0" w:space="0" w:color="auto"/>
      </w:divBdr>
    </w:div>
    <w:div w:id="923761075">
      <w:bodyDiv w:val="1"/>
      <w:marLeft w:val="0"/>
      <w:marRight w:val="0"/>
      <w:marTop w:val="0"/>
      <w:marBottom w:val="0"/>
      <w:divBdr>
        <w:top w:val="none" w:sz="0" w:space="0" w:color="auto"/>
        <w:left w:val="none" w:sz="0" w:space="0" w:color="auto"/>
        <w:bottom w:val="none" w:sz="0" w:space="0" w:color="auto"/>
        <w:right w:val="none" w:sz="0" w:space="0" w:color="auto"/>
      </w:divBdr>
    </w:div>
    <w:div w:id="963075338">
      <w:bodyDiv w:val="1"/>
      <w:marLeft w:val="0"/>
      <w:marRight w:val="0"/>
      <w:marTop w:val="0"/>
      <w:marBottom w:val="0"/>
      <w:divBdr>
        <w:top w:val="none" w:sz="0" w:space="0" w:color="auto"/>
        <w:left w:val="none" w:sz="0" w:space="0" w:color="auto"/>
        <w:bottom w:val="none" w:sz="0" w:space="0" w:color="auto"/>
        <w:right w:val="none" w:sz="0" w:space="0" w:color="auto"/>
      </w:divBdr>
    </w:div>
    <w:div w:id="1112283244">
      <w:bodyDiv w:val="1"/>
      <w:marLeft w:val="0"/>
      <w:marRight w:val="0"/>
      <w:marTop w:val="0"/>
      <w:marBottom w:val="0"/>
      <w:divBdr>
        <w:top w:val="none" w:sz="0" w:space="0" w:color="auto"/>
        <w:left w:val="none" w:sz="0" w:space="0" w:color="auto"/>
        <w:bottom w:val="none" w:sz="0" w:space="0" w:color="auto"/>
        <w:right w:val="none" w:sz="0" w:space="0" w:color="auto"/>
      </w:divBdr>
    </w:div>
    <w:div w:id="1139759065">
      <w:bodyDiv w:val="1"/>
      <w:marLeft w:val="0"/>
      <w:marRight w:val="0"/>
      <w:marTop w:val="0"/>
      <w:marBottom w:val="0"/>
      <w:divBdr>
        <w:top w:val="none" w:sz="0" w:space="0" w:color="auto"/>
        <w:left w:val="none" w:sz="0" w:space="0" w:color="auto"/>
        <w:bottom w:val="none" w:sz="0" w:space="0" w:color="auto"/>
        <w:right w:val="none" w:sz="0" w:space="0" w:color="auto"/>
      </w:divBdr>
    </w:div>
    <w:div w:id="1174954276">
      <w:bodyDiv w:val="1"/>
      <w:marLeft w:val="0"/>
      <w:marRight w:val="0"/>
      <w:marTop w:val="0"/>
      <w:marBottom w:val="0"/>
      <w:divBdr>
        <w:top w:val="none" w:sz="0" w:space="0" w:color="auto"/>
        <w:left w:val="none" w:sz="0" w:space="0" w:color="auto"/>
        <w:bottom w:val="none" w:sz="0" w:space="0" w:color="auto"/>
        <w:right w:val="none" w:sz="0" w:space="0" w:color="auto"/>
      </w:divBdr>
    </w:div>
    <w:div w:id="1206870845">
      <w:bodyDiv w:val="1"/>
      <w:marLeft w:val="0"/>
      <w:marRight w:val="0"/>
      <w:marTop w:val="0"/>
      <w:marBottom w:val="0"/>
      <w:divBdr>
        <w:top w:val="none" w:sz="0" w:space="0" w:color="auto"/>
        <w:left w:val="none" w:sz="0" w:space="0" w:color="auto"/>
        <w:bottom w:val="none" w:sz="0" w:space="0" w:color="auto"/>
        <w:right w:val="none" w:sz="0" w:space="0" w:color="auto"/>
      </w:divBdr>
    </w:div>
    <w:div w:id="1212570746">
      <w:bodyDiv w:val="1"/>
      <w:marLeft w:val="0"/>
      <w:marRight w:val="0"/>
      <w:marTop w:val="0"/>
      <w:marBottom w:val="0"/>
      <w:divBdr>
        <w:top w:val="none" w:sz="0" w:space="0" w:color="auto"/>
        <w:left w:val="none" w:sz="0" w:space="0" w:color="auto"/>
        <w:bottom w:val="none" w:sz="0" w:space="0" w:color="auto"/>
        <w:right w:val="none" w:sz="0" w:space="0" w:color="auto"/>
      </w:divBdr>
    </w:div>
    <w:div w:id="1221211338">
      <w:bodyDiv w:val="1"/>
      <w:marLeft w:val="0"/>
      <w:marRight w:val="0"/>
      <w:marTop w:val="0"/>
      <w:marBottom w:val="0"/>
      <w:divBdr>
        <w:top w:val="none" w:sz="0" w:space="0" w:color="auto"/>
        <w:left w:val="none" w:sz="0" w:space="0" w:color="auto"/>
        <w:bottom w:val="none" w:sz="0" w:space="0" w:color="auto"/>
        <w:right w:val="none" w:sz="0" w:space="0" w:color="auto"/>
      </w:divBdr>
    </w:div>
    <w:div w:id="1251506909">
      <w:bodyDiv w:val="1"/>
      <w:marLeft w:val="0"/>
      <w:marRight w:val="0"/>
      <w:marTop w:val="0"/>
      <w:marBottom w:val="0"/>
      <w:divBdr>
        <w:top w:val="none" w:sz="0" w:space="0" w:color="auto"/>
        <w:left w:val="none" w:sz="0" w:space="0" w:color="auto"/>
        <w:bottom w:val="none" w:sz="0" w:space="0" w:color="auto"/>
        <w:right w:val="none" w:sz="0" w:space="0" w:color="auto"/>
      </w:divBdr>
    </w:div>
    <w:div w:id="1295982862">
      <w:bodyDiv w:val="1"/>
      <w:marLeft w:val="0"/>
      <w:marRight w:val="0"/>
      <w:marTop w:val="0"/>
      <w:marBottom w:val="0"/>
      <w:divBdr>
        <w:top w:val="none" w:sz="0" w:space="0" w:color="auto"/>
        <w:left w:val="none" w:sz="0" w:space="0" w:color="auto"/>
        <w:bottom w:val="none" w:sz="0" w:space="0" w:color="auto"/>
        <w:right w:val="none" w:sz="0" w:space="0" w:color="auto"/>
      </w:divBdr>
    </w:div>
    <w:div w:id="1323041737">
      <w:bodyDiv w:val="1"/>
      <w:marLeft w:val="0"/>
      <w:marRight w:val="0"/>
      <w:marTop w:val="0"/>
      <w:marBottom w:val="0"/>
      <w:divBdr>
        <w:top w:val="none" w:sz="0" w:space="0" w:color="auto"/>
        <w:left w:val="none" w:sz="0" w:space="0" w:color="auto"/>
        <w:bottom w:val="none" w:sz="0" w:space="0" w:color="auto"/>
        <w:right w:val="none" w:sz="0" w:space="0" w:color="auto"/>
      </w:divBdr>
    </w:div>
    <w:div w:id="1353609786">
      <w:bodyDiv w:val="1"/>
      <w:marLeft w:val="0"/>
      <w:marRight w:val="0"/>
      <w:marTop w:val="0"/>
      <w:marBottom w:val="0"/>
      <w:divBdr>
        <w:top w:val="none" w:sz="0" w:space="0" w:color="auto"/>
        <w:left w:val="none" w:sz="0" w:space="0" w:color="auto"/>
        <w:bottom w:val="none" w:sz="0" w:space="0" w:color="auto"/>
        <w:right w:val="none" w:sz="0" w:space="0" w:color="auto"/>
      </w:divBdr>
    </w:div>
    <w:div w:id="1354115855">
      <w:bodyDiv w:val="1"/>
      <w:marLeft w:val="0"/>
      <w:marRight w:val="0"/>
      <w:marTop w:val="0"/>
      <w:marBottom w:val="0"/>
      <w:divBdr>
        <w:top w:val="none" w:sz="0" w:space="0" w:color="auto"/>
        <w:left w:val="none" w:sz="0" w:space="0" w:color="auto"/>
        <w:bottom w:val="none" w:sz="0" w:space="0" w:color="auto"/>
        <w:right w:val="none" w:sz="0" w:space="0" w:color="auto"/>
      </w:divBdr>
    </w:div>
    <w:div w:id="1356425253">
      <w:bodyDiv w:val="1"/>
      <w:marLeft w:val="0"/>
      <w:marRight w:val="0"/>
      <w:marTop w:val="0"/>
      <w:marBottom w:val="0"/>
      <w:divBdr>
        <w:top w:val="none" w:sz="0" w:space="0" w:color="auto"/>
        <w:left w:val="none" w:sz="0" w:space="0" w:color="auto"/>
        <w:bottom w:val="none" w:sz="0" w:space="0" w:color="auto"/>
        <w:right w:val="none" w:sz="0" w:space="0" w:color="auto"/>
      </w:divBdr>
    </w:div>
    <w:div w:id="1358193550">
      <w:bodyDiv w:val="1"/>
      <w:marLeft w:val="0"/>
      <w:marRight w:val="0"/>
      <w:marTop w:val="0"/>
      <w:marBottom w:val="0"/>
      <w:divBdr>
        <w:top w:val="none" w:sz="0" w:space="0" w:color="auto"/>
        <w:left w:val="none" w:sz="0" w:space="0" w:color="auto"/>
        <w:bottom w:val="none" w:sz="0" w:space="0" w:color="auto"/>
        <w:right w:val="none" w:sz="0" w:space="0" w:color="auto"/>
      </w:divBdr>
    </w:div>
    <w:div w:id="1365977706">
      <w:bodyDiv w:val="1"/>
      <w:marLeft w:val="0"/>
      <w:marRight w:val="0"/>
      <w:marTop w:val="0"/>
      <w:marBottom w:val="0"/>
      <w:divBdr>
        <w:top w:val="none" w:sz="0" w:space="0" w:color="auto"/>
        <w:left w:val="none" w:sz="0" w:space="0" w:color="auto"/>
        <w:bottom w:val="none" w:sz="0" w:space="0" w:color="auto"/>
        <w:right w:val="none" w:sz="0" w:space="0" w:color="auto"/>
      </w:divBdr>
    </w:div>
    <w:div w:id="1368334911">
      <w:bodyDiv w:val="1"/>
      <w:marLeft w:val="0"/>
      <w:marRight w:val="0"/>
      <w:marTop w:val="0"/>
      <w:marBottom w:val="0"/>
      <w:divBdr>
        <w:top w:val="none" w:sz="0" w:space="0" w:color="auto"/>
        <w:left w:val="none" w:sz="0" w:space="0" w:color="auto"/>
        <w:bottom w:val="none" w:sz="0" w:space="0" w:color="auto"/>
        <w:right w:val="none" w:sz="0" w:space="0" w:color="auto"/>
      </w:divBdr>
    </w:div>
    <w:div w:id="1385717087">
      <w:bodyDiv w:val="1"/>
      <w:marLeft w:val="0"/>
      <w:marRight w:val="0"/>
      <w:marTop w:val="0"/>
      <w:marBottom w:val="0"/>
      <w:divBdr>
        <w:top w:val="none" w:sz="0" w:space="0" w:color="auto"/>
        <w:left w:val="none" w:sz="0" w:space="0" w:color="auto"/>
        <w:bottom w:val="none" w:sz="0" w:space="0" w:color="auto"/>
        <w:right w:val="none" w:sz="0" w:space="0" w:color="auto"/>
      </w:divBdr>
    </w:div>
    <w:div w:id="1407536645">
      <w:bodyDiv w:val="1"/>
      <w:marLeft w:val="0"/>
      <w:marRight w:val="0"/>
      <w:marTop w:val="0"/>
      <w:marBottom w:val="0"/>
      <w:divBdr>
        <w:top w:val="none" w:sz="0" w:space="0" w:color="auto"/>
        <w:left w:val="none" w:sz="0" w:space="0" w:color="auto"/>
        <w:bottom w:val="none" w:sz="0" w:space="0" w:color="auto"/>
        <w:right w:val="none" w:sz="0" w:space="0" w:color="auto"/>
      </w:divBdr>
    </w:div>
    <w:div w:id="1434856222">
      <w:bodyDiv w:val="1"/>
      <w:marLeft w:val="0"/>
      <w:marRight w:val="0"/>
      <w:marTop w:val="0"/>
      <w:marBottom w:val="0"/>
      <w:divBdr>
        <w:top w:val="none" w:sz="0" w:space="0" w:color="auto"/>
        <w:left w:val="none" w:sz="0" w:space="0" w:color="auto"/>
        <w:bottom w:val="none" w:sz="0" w:space="0" w:color="auto"/>
        <w:right w:val="none" w:sz="0" w:space="0" w:color="auto"/>
      </w:divBdr>
    </w:div>
    <w:div w:id="1435590233">
      <w:bodyDiv w:val="1"/>
      <w:marLeft w:val="0"/>
      <w:marRight w:val="0"/>
      <w:marTop w:val="0"/>
      <w:marBottom w:val="0"/>
      <w:divBdr>
        <w:top w:val="none" w:sz="0" w:space="0" w:color="auto"/>
        <w:left w:val="none" w:sz="0" w:space="0" w:color="auto"/>
        <w:bottom w:val="none" w:sz="0" w:space="0" w:color="auto"/>
        <w:right w:val="none" w:sz="0" w:space="0" w:color="auto"/>
      </w:divBdr>
    </w:div>
    <w:div w:id="1497187881">
      <w:bodyDiv w:val="1"/>
      <w:marLeft w:val="0"/>
      <w:marRight w:val="0"/>
      <w:marTop w:val="0"/>
      <w:marBottom w:val="0"/>
      <w:divBdr>
        <w:top w:val="none" w:sz="0" w:space="0" w:color="auto"/>
        <w:left w:val="none" w:sz="0" w:space="0" w:color="auto"/>
        <w:bottom w:val="none" w:sz="0" w:space="0" w:color="auto"/>
        <w:right w:val="none" w:sz="0" w:space="0" w:color="auto"/>
      </w:divBdr>
    </w:div>
    <w:div w:id="1538816065">
      <w:bodyDiv w:val="1"/>
      <w:marLeft w:val="0"/>
      <w:marRight w:val="0"/>
      <w:marTop w:val="0"/>
      <w:marBottom w:val="0"/>
      <w:divBdr>
        <w:top w:val="none" w:sz="0" w:space="0" w:color="auto"/>
        <w:left w:val="none" w:sz="0" w:space="0" w:color="auto"/>
        <w:bottom w:val="none" w:sz="0" w:space="0" w:color="auto"/>
        <w:right w:val="none" w:sz="0" w:space="0" w:color="auto"/>
      </w:divBdr>
    </w:div>
    <w:div w:id="1556429616">
      <w:bodyDiv w:val="1"/>
      <w:marLeft w:val="0"/>
      <w:marRight w:val="0"/>
      <w:marTop w:val="0"/>
      <w:marBottom w:val="0"/>
      <w:divBdr>
        <w:top w:val="none" w:sz="0" w:space="0" w:color="auto"/>
        <w:left w:val="none" w:sz="0" w:space="0" w:color="auto"/>
        <w:bottom w:val="none" w:sz="0" w:space="0" w:color="auto"/>
        <w:right w:val="none" w:sz="0" w:space="0" w:color="auto"/>
      </w:divBdr>
    </w:div>
    <w:div w:id="1563170965">
      <w:bodyDiv w:val="1"/>
      <w:marLeft w:val="0"/>
      <w:marRight w:val="0"/>
      <w:marTop w:val="0"/>
      <w:marBottom w:val="0"/>
      <w:divBdr>
        <w:top w:val="none" w:sz="0" w:space="0" w:color="auto"/>
        <w:left w:val="none" w:sz="0" w:space="0" w:color="auto"/>
        <w:bottom w:val="none" w:sz="0" w:space="0" w:color="auto"/>
        <w:right w:val="none" w:sz="0" w:space="0" w:color="auto"/>
      </w:divBdr>
    </w:div>
    <w:div w:id="1563254853">
      <w:bodyDiv w:val="1"/>
      <w:marLeft w:val="0"/>
      <w:marRight w:val="0"/>
      <w:marTop w:val="0"/>
      <w:marBottom w:val="0"/>
      <w:divBdr>
        <w:top w:val="none" w:sz="0" w:space="0" w:color="auto"/>
        <w:left w:val="none" w:sz="0" w:space="0" w:color="auto"/>
        <w:bottom w:val="none" w:sz="0" w:space="0" w:color="auto"/>
        <w:right w:val="none" w:sz="0" w:space="0" w:color="auto"/>
      </w:divBdr>
    </w:div>
    <w:div w:id="1576622775">
      <w:bodyDiv w:val="1"/>
      <w:marLeft w:val="0"/>
      <w:marRight w:val="0"/>
      <w:marTop w:val="0"/>
      <w:marBottom w:val="0"/>
      <w:divBdr>
        <w:top w:val="none" w:sz="0" w:space="0" w:color="auto"/>
        <w:left w:val="none" w:sz="0" w:space="0" w:color="auto"/>
        <w:bottom w:val="none" w:sz="0" w:space="0" w:color="auto"/>
        <w:right w:val="none" w:sz="0" w:space="0" w:color="auto"/>
      </w:divBdr>
    </w:div>
    <w:div w:id="1576696416">
      <w:bodyDiv w:val="1"/>
      <w:marLeft w:val="0"/>
      <w:marRight w:val="0"/>
      <w:marTop w:val="0"/>
      <w:marBottom w:val="0"/>
      <w:divBdr>
        <w:top w:val="none" w:sz="0" w:space="0" w:color="auto"/>
        <w:left w:val="none" w:sz="0" w:space="0" w:color="auto"/>
        <w:bottom w:val="none" w:sz="0" w:space="0" w:color="auto"/>
        <w:right w:val="none" w:sz="0" w:space="0" w:color="auto"/>
      </w:divBdr>
    </w:div>
    <w:div w:id="1580209987">
      <w:bodyDiv w:val="1"/>
      <w:marLeft w:val="0"/>
      <w:marRight w:val="0"/>
      <w:marTop w:val="0"/>
      <w:marBottom w:val="0"/>
      <w:divBdr>
        <w:top w:val="none" w:sz="0" w:space="0" w:color="auto"/>
        <w:left w:val="none" w:sz="0" w:space="0" w:color="auto"/>
        <w:bottom w:val="none" w:sz="0" w:space="0" w:color="auto"/>
        <w:right w:val="none" w:sz="0" w:space="0" w:color="auto"/>
      </w:divBdr>
    </w:div>
    <w:div w:id="1609921574">
      <w:bodyDiv w:val="1"/>
      <w:marLeft w:val="0"/>
      <w:marRight w:val="0"/>
      <w:marTop w:val="0"/>
      <w:marBottom w:val="0"/>
      <w:divBdr>
        <w:top w:val="none" w:sz="0" w:space="0" w:color="auto"/>
        <w:left w:val="none" w:sz="0" w:space="0" w:color="auto"/>
        <w:bottom w:val="none" w:sz="0" w:space="0" w:color="auto"/>
        <w:right w:val="none" w:sz="0" w:space="0" w:color="auto"/>
      </w:divBdr>
    </w:div>
    <w:div w:id="1673946489">
      <w:bodyDiv w:val="1"/>
      <w:marLeft w:val="0"/>
      <w:marRight w:val="0"/>
      <w:marTop w:val="0"/>
      <w:marBottom w:val="0"/>
      <w:divBdr>
        <w:top w:val="none" w:sz="0" w:space="0" w:color="auto"/>
        <w:left w:val="none" w:sz="0" w:space="0" w:color="auto"/>
        <w:bottom w:val="none" w:sz="0" w:space="0" w:color="auto"/>
        <w:right w:val="none" w:sz="0" w:space="0" w:color="auto"/>
      </w:divBdr>
    </w:div>
    <w:div w:id="1689329847">
      <w:bodyDiv w:val="1"/>
      <w:marLeft w:val="0"/>
      <w:marRight w:val="0"/>
      <w:marTop w:val="0"/>
      <w:marBottom w:val="0"/>
      <w:divBdr>
        <w:top w:val="none" w:sz="0" w:space="0" w:color="auto"/>
        <w:left w:val="none" w:sz="0" w:space="0" w:color="auto"/>
        <w:bottom w:val="none" w:sz="0" w:space="0" w:color="auto"/>
        <w:right w:val="none" w:sz="0" w:space="0" w:color="auto"/>
      </w:divBdr>
    </w:div>
    <w:div w:id="1713573631">
      <w:bodyDiv w:val="1"/>
      <w:marLeft w:val="0"/>
      <w:marRight w:val="0"/>
      <w:marTop w:val="0"/>
      <w:marBottom w:val="0"/>
      <w:divBdr>
        <w:top w:val="none" w:sz="0" w:space="0" w:color="auto"/>
        <w:left w:val="none" w:sz="0" w:space="0" w:color="auto"/>
        <w:bottom w:val="none" w:sz="0" w:space="0" w:color="auto"/>
        <w:right w:val="none" w:sz="0" w:space="0" w:color="auto"/>
      </w:divBdr>
    </w:div>
    <w:div w:id="1781485008">
      <w:bodyDiv w:val="1"/>
      <w:marLeft w:val="0"/>
      <w:marRight w:val="0"/>
      <w:marTop w:val="0"/>
      <w:marBottom w:val="0"/>
      <w:divBdr>
        <w:top w:val="none" w:sz="0" w:space="0" w:color="auto"/>
        <w:left w:val="none" w:sz="0" w:space="0" w:color="auto"/>
        <w:bottom w:val="none" w:sz="0" w:space="0" w:color="auto"/>
        <w:right w:val="none" w:sz="0" w:space="0" w:color="auto"/>
      </w:divBdr>
    </w:div>
    <w:div w:id="1819372875">
      <w:bodyDiv w:val="1"/>
      <w:marLeft w:val="0"/>
      <w:marRight w:val="0"/>
      <w:marTop w:val="0"/>
      <w:marBottom w:val="0"/>
      <w:divBdr>
        <w:top w:val="none" w:sz="0" w:space="0" w:color="auto"/>
        <w:left w:val="none" w:sz="0" w:space="0" w:color="auto"/>
        <w:bottom w:val="none" w:sz="0" w:space="0" w:color="auto"/>
        <w:right w:val="none" w:sz="0" w:space="0" w:color="auto"/>
      </w:divBdr>
    </w:div>
    <w:div w:id="1838183275">
      <w:bodyDiv w:val="1"/>
      <w:marLeft w:val="0"/>
      <w:marRight w:val="0"/>
      <w:marTop w:val="0"/>
      <w:marBottom w:val="0"/>
      <w:divBdr>
        <w:top w:val="none" w:sz="0" w:space="0" w:color="auto"/>
        <w:left w:val="none" w:sz="0" w:space="0" w:color="auto"/>
        <w:bottom w:val="none" w:sz="0" w:space="0" w:color="auto"/>
        <w:right w:val="none" w:sz="0" w:space="0" w:color="auto"/>
      </w:divBdr>
    </w:div>
    <w:div w:id="1845516185">
      <w:bodyDiv w:val="1"/>
      <w:marLeft w:val="0"/>
      <w:marRight w:val="0"/>
      <w:marTop w:val="0"/>
      <w:marBottom w:val="0"/>
      <w:divBdr>
        <w:top w:val="none" w:sz="0" w:space="0" w:color="auto"/>
        <w:left w:val="none" w:sz="0" w:space="0" w:color="auto"/>
        <w:bottom w:val="none" w:sz="0" w:space="0" w:color="auto"/>
        <w:right w:val="none" w:sz="0" w:space="0" w:color="auto"/>
      </w:divBdr>
    </w:div>
    <w:div w:id="1889023959">
      <w:bodyDiv w:val="1"/>
      <w:marLeft w:val="0"/>
      <w:marRight w:val="0"/>
      <w:marTop w:val="0"/>
      <w:marBottom w:val="0"/>
      <w:divBdr>
        <w:top w:val="none" w:sz="0" w:space="0" w:color="auto"/>
        <w:left w:val="none" w:sz="0" w:space="0" w:color="auto"/>
        <w:bottom w:val="none" w:sz="0" w:space="0" w:color="auto"/>
        <w:right w:val="none" w:sz="0" w:space="0" w:color="auto"/>
      </w:divBdr>
    </w:div>
    <w:div w:id="1919170213">
      <w:bodyDiv w:val="1"/>
      <w:marLeft w:val="0"/>
      <w:marRight w:val="0"/>
      <w:marTop w:val="0"/>
      <w:marBottom w:val="0"/>
      <w:divBdr>
        <w:top w:val="none" w:sz="0" w:space="0" w:color="auto"/>
        <w:left w:val="none" w:sz="0" w:space="0" w:color="auto"/>
        <w:bottom w:val="none" w:sz="0" w:space="0" w:color="auto"/>
        <w:right w:val="none" w:sz="0" w:space="0" w:color="auto"/>
      </w:divBdr>
    </w:div>
    <w:div w:id="1932279657">
      <w:bodyDiv w:val="1"/>
      <w:marLeft w:val="0"/>
      <w:marRight w:val="0"/>
      <w:marTop w:val="0"/>
      <w:marBottom w:val="0"/>
      <w:divBdr>
        <w:top w:val="none" w:sz="0" w:space="0" w:color="auto"/>
        <w:left w:val="none" w:sz="0" w:space="0" w:color="auto"/>
        <w:bottom w:val="none" w:sz="0" w:space="0" w:color="auto"/>
        <w:right w:val="none" w:sz="0" w:space="0" w:color="auto"/>
      </w:divBdr>
    </w:div>
    <w:div w:id="1992248158">
      <w:bodyDiv w:val="1"/>
      <w:marLeft w:val="0"/>
      <w:marRight w:val="0"/>
      <w:marTop w:val="0"/>
      <w:marBottom w:val="0"/>
      <w:divBdr>
        <w:top w:val="none" w:sz="0" w:space="0" w:color="auto"/>
        <w:left w:val="none" w:sz="0" w:space="0" w:color="auto"/>
        <w:bottom w:val="none" w:sz="0" w:space="0" w:color="auto"/>
        <w:right w:val="none" w:sz="0" w:space="0" w:color="auto"/>
      </w:divBdr>
    </w:div>
    <w:div w:id="2002585763">
      <w:bodyDiv w:val="1"/>
      <w:marLeft w:val="0"/>
      <w:marRight w:val="0"/>
      <w:marTop w:val="0"/>
      <w:marBottom w:val="0"/>
      <w:divBdr>
        <w:top w:val="none" w:sz="0" w:space="0" w:color="auto"/>
        <w:left w:val="none" w:sz="0" w:space="0" w:color="auto"/>
        <w:bottom w:val="none" w:sz="0" w:space="0" w:color="auto"/>
        <w:right w:val="none" w:sz="0" w:space="0" w:color="auto"/>
      </w:divBdr>
    </w:div>
    <w:div w:id="2029023774">
      <w:bodyDiv w:val="1"/>
      <w:marLeft w:val="0"/>
      <w:marRight w:val="0"/>
      <w:marTop w:val="0"/>
      <w:marBottom w:val="0"/>
      <w:divBdr>
        <w:top w:val="none" w:sz="0" w:space="0" w:color="auto"/>
        <w:left w:val="none" w:sz="0" w:space="0" w:color="auto"/>
        <w:bottom w:val="none" w:sz="0" w:space="0" w:color="auto"/>
        <w:right w:val="none" w:sz="0" w:space="0" w:color="auto"/>
      </w:divBdr>
    </w:div>
    <w:div w:id="2032683987">
      <w:bodyDiv w:val="1"/>
      <w:marLeft w:val="0"/>
      <w:marRight w:val="0"/>
      <w:marTop w:val="0"/>
      <w:marBottom w:val="0"/>
      <w:divBdr>
        <w:top w:val="none" w:sz="0" w:space="0" w:color="auto"/>
        <w:left w:val="none" w:sz="0" w:space="0" w:color="auto"/>
        <w:bottom w:val="none" w:sz="0" w:space="0" w:color="auto"/>
        <w:right w:val="none" w:sz="0" w:space="0" w:color="auto"/>
      </w:divBdr>
    </w:div>
    <w:div w:id="2090349270">
      <w:bodyDiv w:val="1"/>
      <w:marLeft w:val="0"/>
      <w:marRight w:val="0"/>
      <w:marTop w:val="0"/>
      <w:marBottom w:val="0"/>
      <w:divBdr>
        <w:top w:val="none" w:sz="0" w:space="0" w:color="auto"/>
        <w:left w:val="none" w:sz="0" w:space="0" w:color="auto"/>
        <w:bottom w:val="none" w:sz="0" w:space="0" w:color="auto"/>
        <w:right w:val="none" w:sz="0" w:space="0" w:color="auto"/>
      </w:divBdr>
    </w:div>
    <w:div w:id="2099714773">
      <w:bodyDiv w:val="1"/>
      <w:marLeft w:val="0"/>
      <w:marRight w:val="0"/>
      <w:marTop w:val="0"/>
      <w:marBottom w:val="0"/>
      <w:divBdr>
        <w:top w:val="none" w:sz="0" w:space="0" w:color="auto"/>
        <w:left w:val="none" w:sz="0" w:space="0" w:color="auto"/>
        <w:bottom w:val="none" w:sz="0" w:space="0" w:color="auto"/>
        <w:right w:val="none" w:sz="0" w:space="0" w:color="auto"/>
      </w:divBdr>
    </w:div>
    <w:div w:id="2117940190">
      <w:bodyDiv w:val="1"/>
      <w:marLeft w:val="0"/>
      <w:marRight w:val="0"/>
      <w:marTop w:val="0"/>
      <w:marBottom w:val="0"/>
      <w:divBdr>
        <w:top w:val="none" w:sz="0" w:space="0" w:color="auto"/>
        <w:left w:val="none" w:sz="0" w:space="0" w:color="auto"/>
        <w:bottom w:val="none" w:sz="0" w:space="0" w:color="auto"/>
        <w:right w:val="none" w:sz="0" w:space="0" w:color="auto"/>
      </w:divBdr>
    </w:div>
    <w:div w:id="2120030434">
      <w:bodyDiv w:val="1"/>
      <w:marLeft w:val="0"/>
      <w:marRight w:val="0"/>
      <w:marTop w:val="0"/>
      <w:marBottom w:val="0"/>
      <w:divBdr>
        <w:top w:val="none" w:sz="0" w:space="0" w:color="auto"/>
        <w:left w:val="none" w:sz="0" w:space="0" w:color="auto"/>
        <w:bottom w:val="none" w:sz="0" w:space="0" w:color="auto"/>
        <w:right w:val="none" w:sz="0" w:space="0" w:color="auto"/>
      </w:divBdr>
    </w:div>
    <w:div w:id="2122915761">
      <w:bodyDiv w:val="1"/>
      <w:marLeft w:val="0"/>
      <w:marRight w:val="0"/>
      <w:marTop w:val="0"/>
      <w:marBottom w:val="0"/>
      <w:divBdr>
        <w:top w:val="none" w:sz="0" w:space="0" w:color="auto"/>
        <w:left w:val="none" w:sz="0" w:space="0" w:color="auto"/>
        <w:bottom w:val="none" w:sz="0" w:space="0" w:color="auto"/>
        <w:right w:val="none" w:sz="0" w:space="0" w:color="auto"/>
      </w:divBdr>
    </w:div>
    <w:div w:id="2123911016">
      <w:bodyDiv w:val="1"/>
      <w:marLeft w:val="0"/>
      <w:marRight w:val="0"/>
      <w:marTop w:val="0"/>
      <w:marBottom w:val="0"/>
      <w:divBdr>
        <w:top w:val="none" w:sz="0" w:space="0" w:color="auto"/>
        <w:left w:val="none" w:sz="0" w:space="0" w:color="auto"/>
        <w:bottom w:val="none" w:sz="0" w:space="0" w:color="auto"/>
        <w:right w:val="none" w:sz="0" w:space="0" w:color="auto"/>
      </w:divBdr>
    </w:div>
    <w:div w:id="2130584638">
      <w:bodyDiv w:val="1"/>
      <w:marLeft w:val="0"/>
      <w:marRight w:val="0"/>
      <w:marTop w:val="0"/>
      <w:marBottom w:val="0"/>
      <w:divBdr>
        <w:top w:val="none" w:sz="0" w:space="0" w:color="auto"/>
        <w:left w:val="none" w:sz="0" w:space="0" w:color="auto"/>
        <w:bottom w:val="none" w:sz="0" w:space="0" w:color="auto"/>
        <w:right w:val="none" w:sz="0" w:space="0" w:color="auto"/>
      </w:divBdr>
    </w:div>
    <w:div w:id="21386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ssrn.com/abstract=12855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mpar.ub.uni-muenchen.de/456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01040e\AppData\Roaming\Microsoft\Templates\Thesi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580A1-A199-411E-B885-067FC143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Thesis2.dotx</Template>
  <TotalTime>0</TotalTime>
  <Pages>40</Pages>
  <Words>18811</Words>
  <Characters>107223</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Ntim C.G.</dc:creator>
  <cp:lastModifiedBy>Ntim C.G.</cp:lastModifiedBy>
  <cp:revision>2</cp:revision>
  <cp:lastPrinted>2015-03-08T09:26:00Z</cp:lastPrinted>
  <dcterms:created xsi:type="dcterms:W3CDTF">2016-09-30T11:06:00Z</dcterms:created>
  <dcterms:modified xsi:type="dcterms:W3CDTF">2016-09-30T11:06:00Z</dcterms:modified>
</cp:coreProperties>
</file>