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9DB31" w14:textId="77777777" w:rsidR="00583B86" w:rsidRPr="00D94B08" w:rsidRDefault="00583B86">
      <w:pPr>
        <w:spacing w:after="200" w:line="276" w:lineRule="auto"/>
        <w:rPr>
          <w:b/>
          <w:noProof/>
          <w:color w:val="000000"/>
          <w:sz w:val="22"/>
          <w:szCs w:val="22"/>
        </w:rPr>
      </w:pPr>
      <w:bookmarkStart w:id="0" w:name="_GoBack"/>
      <w:bookmarkEnd w:id="0"/>
      <w:r w:rsidRPr="00D94B08">
        <w:rPr>
          <w:b/>
          <w:noProof/>
          <w:color w:val="000000"/>
          <w:sz w:val="22"/>
          <w:szCs w:val="22"/>
        </w:rPr>
        <w:t>Title</w:t>
      </w:r>
    </w:p>
    <w:p w14:paraId="352ABA7F" w14:textId="3594CFEE" w:rsidR="00583B86" w:rsidRPr="00D94B08" w:rsidRDefault="00583B86">
      <w:pPr>
        <w:spacing w:after="200" w:line="276" w:lineRule="auto"/>
        <w:rPr>
          <w:noProof/>
          <w:color w:val="000000"/>
          <w:sz w:val="22"/>
          <w:szCs w:val="22"/>
        </w:rPr>
      </w:pPr>
      <w:r w:rsidRPr="00D94B08">
        <w:rPr>
          <w:noProof/>
          <w:color w:val="000000"/>
          <w:sz w:val="22"/>
          <w:szCs w:val="22"/>
        </w:rPr>
        <w:t>The epidemiology of mortality after fracture in England</w:t>
      </w:r>
      <w:r>
        <w:rPr>
          <w:noProof/>
          <w:color w:val="000000"/>
          <w:sz w:val="22"/>
          <w:szCs w:val="22"/>
        </w:rPr>
        <w:t>: variation by age, sex, time, geographic location and ethnicity</w:t>
      </w:r>
    </w:p>
    <w:p w14:paraId="43416FDB" w14:textId="77777777" w:rsidR="00583B86" w:rsidRPr="00D94B08" w:rsidRDefault="00583B86">
      <w:pPr>
        <w:spacing w:after="200" w:line="276" w:lineRule="auto"/>
        <w:rPr>
          <w:noProof/>
          <w:color w:val="000000"/>
          <w:sz w:val="22"/>
          <w:szCs w:val="22"/>
        </w:rPr>
      </w:pPr>
    </w:p>
    <w:p w14:paraId="406CF69B" w14:textId="77777777" w:rsidR="00583B86" w:rsidRPr="00D94B08" w:rsidRDefault="00583B86">
      <w:pPr>
        <w:spacing w:after="200" w:line="276" w:lineRule="auto"/>
        <w:rPr>
          <w:b/>
          <w:noProof/>
          <w:color w:val="000000"/>
          <w:sz w:val="22"/>
          <w:szCs w:val="22"/>
        </w:rPr>
      </w:pPr>
      <w:r w:rsidRPr="00D94B08">
        <w:rPr>
          <w:b/>
          <w:noProof/>
          <w:color w:val="000000"/>
          <w:sz w:val="22"/>
          <w:szCs w:val="22"/>
        </w:rPr>
        <w:t xml:space="preserve">Authors </w:t>
      </w:r>
    </w:p>
    <w:p w14:paraId="2F3D6E2E" w14:textId="77777777" w:rsidR="00583B86" w:rsidRPr="00D94B08" w:rsidRDefault="00583B86" w:rsidP="002F4609">
      <w:pPr>
        <w:rPr>
          <w:i/>
          <w:sz w:val="22"/>
          <w:szCs w:val="22"/>
        </w:rPr>
      </w:pPr>
      <w:r w:rsidRPr="00D94B08">
        <w:rPr>
          <w:noProof/>
          <w:sz w:val="22"/>
          <w:szCs w:val="22"/>
        </w:rPr>
        <w:t>Corinne Klop,</w:t>
      </w:r>
      <w:r w:rsidRPr="00D94B08">
        <w:rPr>
          <w:noProof/>
          <w:sz w:val="22"/>
          <w:szCs w:val="22"/>
          <w:vertAlign w:val="superscript"/>
        </w:rPr>
        <w:t>1</w:t>
      </w:r>
      <w:r w:rsidRPr="00D94B08">
        <w:rPr>
          <w:noProof/>
          <w:sz w:val="22"/>
          <w:szCs w:val="22"/>
        </w:rPr>
        <w:t xml:space="preserve"> Tjeerd P. van Staa,</w:t>
      </w:r>
      <w:r w:rsidRPr="00D94B08">
        <w:rPr>
          <w:noProof/>
          <w:sz w:val="22"/>
          <w:szCs w:val="22"/>
          <w:vertAlign w:val="superscript"/>
        </w:rPr>
        <w:t>1,2</w:t>
      </w:r>
      <w:r w:rsidRPr="00D94B08">
        <w:rPr>
          <w:noProof/>
          <w:sz w:val="22"/>
          <w:szCs w:val="22"/>
        </w:rPr>
        <w:t xml:space="preserve"> Cyrus Cooper,</w:t>
      </w:r>
      <w:r w:rsidRPr="00D94B08">
        <w:rPr>
          <w:noProof/>
          <w:sz w:val="22"/>
          <w:szCs w:val="22"/>
          <w:vertAlign w:val="superscript"/>
        </w:rPr>
        <w:t>3-5</w:t>
      </w:r>
      <w:r w:rsidRPr="00D94B08">
        <w:rPr>
          <w:noProof/>
          <w:sz w:val="22"/>
          <w:szCs w:val="22"/>
        </w:rPr>
        <w:t xml:space="preserve"> Nicholas C. Harvey, </w:t>
      </w:r>
      <w:r w:rsidRPr="00D94B08">
        <w:rPr>
          <w:noProof/>
          <w:sz w:val="22"/>
          <w:szCs w:val="22"/>
          <w:vertAlign w:val="superscript"/>
        </w:rPr>
        <w:t>3,4+</w:t>
      </w:r>
      <w:r w:rsidRPr="00D94B08">
        <w:rPr>
          <w:noProof/>
          <w:sz w:val="22"/>
          <w:szCs w:val="22"/>
        </w:rPr>
        <w:t xml:space="preserve"> Frank de Vries</w:t>
      </w:r>
      <w:r w:rsidRPr="00D94B08">
        <w:rPr>
          <w:noProof/>
          <w:sz w:val="22"/>
          <w:szCs w:val="22"/>
          <w:vertAlign w:val="superscript"/>
        </w:rPr>
        <w:t>1,3,6,7+</w:t>
      </w:r>
    </w:p>
    <w:p w14:paraId="62B89454" w14:textId="77777777" w:rsidR="00583B86" w:rsidRPr="00D94B08" w:rsidRDefault="00583B86" w:rsidP="002F4609">
      <w:pPr>
        <w:rPr>
          <w:noProof/>
          <w:sz w:val="22"/>
          <w:szCs w:val="22"/>
        </w:rPr>
      </w:pPr>
    </w:p>
    <w:p w14:paraId="5E1F4E81" w14:textId="77777777" w:rsidR="00583B86" w:rsidRPr="00D94B08" w:rsidRDefault="00583B86">
      <w:pPr>
        <w:spacing w:after="200" w:line="276" w:lineRule="auto"/>
        <w:rPr>
          <w:noProof/>
          <w:color w:val="000000"/>
          <w:sz w:val="22"/>
          <w:szCs w:val="22"/>
        </w:rPr>
      </w:pPr>
    </w:p>
    <w:p w14:paraId="72138B98" w14:textId="77777777" w:rsidR="00583B86" w:rsidRPr="00D94B08" w:rsidRDefault="00583B86">
      <w:pPr>
        <w:spacing w:after="200" w:line="276" w:lineRule="auto"/>
        <w:rPr>
          <w:b/>
          <w:noProof/>
          <w:color w:val="000000"/>
          <w:sz w:val="22"/>
          <w:szCs w:val="22"/>
        </w:rPr>
      </w:pPr>
      <w:r w:rsidRPr="00D94B08">
        <w:rPr>
          <w:b/>
          <w:noProof/>
          <w:color w:val="000000"/>
          <w:sz w:val="22"/>
          <w:szCs w:val="22"/>
        </w:rPr>
        <w:t xml:space="preserve">Affiliations </w:t>
      </w:r>
    </w:p>
    <w:p w14:paraId="72DF3329"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[1] Division of pharmacoepidemiology and clinical pharmacology, Utrecht Institute for Pharmaceutical Sciences (UIPS), Faculty of Science, Utrecht University, Netherlands</w:t>
      </w:r>
    </w:p>
    <w:p w14:paraId="77BAB04A"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[2] Health eResearch Centre, Farr Institute for Health Informatics Research, University of Manchester, United Kingdom</w:t>
      </w:r>
    </w:p>
    <w:p w14:paraId="500A0596"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[3] MRC Lifecourse Epidemiology Unit, University of Southampton, Southampton General Hospital, United Kingdom</w:t>
      </w:r>
    </w:p>
    <w:p w14:paraId="2B852B54"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[4] NIHR Southampton Biomedical Research Centre, University of Southampton and University Hospital Southampton NHS Foundation Trust, United Kingdom</w:t>
      </w:r>
    </w:p>
    <w:p w14:paraId="2EDBF535"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[5] NIHR Musculoskeletal Biomedical Research Unit, University of Oxford, United Kingdom</w:t>
      </w:r>
    </w:p>
    <w:p w14:paraId="475AB4DD"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[6] Department of Clinical Pharmacy and Toxicology, Maastricht University Medical Centre+, Netherlands</w:t>
      </w:r>
    </w:p>
    <w:p w14:paraId="7DD96E7A" w14:textId="77777777" w:rsidR="00583B86" w:rsidRPr="00D94B08" w:rsidRDefault="00583B86" w:rsidP="00E65F36">
      <w:pPr>
        <w:spacing w:after="200" w:line="360" w:lineRule="auto"/>
        <w:rPr>
          <w:noProof/>
          <w:color w:val="000000"/>
          <w:sz w:val="22"/>
          <w:szCs w:val="22"/>
        </w:rPr>
      </w:pPr>
      <w:r w:rsidRPr="00D94B08">
        <w:rPr>
          <w:noProof/>
          <w:color w:val="000000"/>
          <w:sz w:val="22"/>
          <w:szCs w:val="22"/>
        </w:rPr>
        <w:t>[7] Department of Epidemiology, Care and Public Health Research Institute (CAPHRI), Maastricht University, Netherlands</w:t>
      </w:r>
    </w:p>
    <w:p w14:paraId="1970499D" w14:textId="77777777" w:rsidR="00583B86" w:rsidRPr="00D94B08" w:rsidRDefault="00583B86" w:rsidP="00E65F36">
      <w:pPr>
        <w:spacing w:after="200" w:line="360" w:lineRule="auto"/>
        <w:rPr>
          <w:noProof/>
          <w:sz w:val="22"/>
          <w:szCs w:val="22"/>
        </w:rPr>
      </w:pPr>
      <w:r w:rsidRPr="00D94B08">
        <w:rPr>
          <w:noProof/>
          <w:sz w:val="22"/>
          <w:szCs w:val="22"/>
        </w:rPr>
        <w:t>+ NCH and FdV are joint senior author</w:t>
      </w:r>
    </w:p>
    <w:p w14:paraId="03C4D94A" w14:textId="77777777" w:rsidR="00583B86" w:rsidRPr="00D94B08" w:rsidRDefault="00583B86" w:rsidP="00E65F36">
      <w:pPr>
        <w:spacing w:after="200" w:line="360" w:lineRule="auto"/>
        <w:rPr>
          <w:b/>
          <w:noProof/>
          <w:color w:val="000000"/>
          <w:sz w:val="20"/>
          <w:szCs w:val="22"/>
        </w:rPr>
      </w:pPr>
      <w:r w:rsidRPr="00D94B08">
        <w:rPr>
          <w:b/>
          <w:noProof/>
          <w:color w:val="000000"/>
          <w:sz w:val="22"/>
          <w:szCs w:val="22"/>
        </w:rPr>
        <w:t xml:space="preserve">Corresponding author: </w:t>
      </w:r>
    </w:p>
    <w:p w14:paraId="31D0A9C6" w14:textId="77777777" w:rsidR="00583B86" w:rsidRDefault="00583B86" w:rsidP="003D0127">
      <w:pPr>
        <w:tabs>
          <w:tab w:val="left" w:pos="2430"/>
        </w:tabs>
        <w:spacing w:after="120" w:line="360" w:lineRule="auto"/>
        <w:rPr>
          <w:color w:val="000000"/>
          <w:lang w:val="en-NZ"/>
        </w:rPr>
      </w:pPr>
      <w:r>
        <w:rPr>
          <w:color w:val="000000"/>
          <w:lang w:val="en-NZ"/>
        </w:rPr>
        <w:t>Professor Cyrus Cooper,</w:t>
      </w:r>
    </w:p>
    <w:p w14:paraId="2D0DEC1E" w14:textId="77777777" w:rsidR="00583B86" w:rsidRPr="00B76AC0" w:rsidRDefault="00583B86" w:rsidP="00B76AC0">
      <w:pPr>
        <w:tabs>
          <w:tab w:val="left" w:pos="2430"/>
        </w:tabs>
        <w:spacing w:after="120" w:line="360" w:lineRule="auto"/>
        <w:rPr>
          <w:b/>
          <w:noProof/>
          <w:color w:val="000000"/>
          <w:sz w:val="22"/>
          <w:szCs w:val="22"/>
        </w:rPr>
      </w:pPr>
      <w:r>
        <w:rPr>
          <w:color w:val="000000"/>
          <w:lang w:val="en-NZ"/>
        </w:rPr>
        <w:t>MRC Lifecourse Epidemiology Unit, University of Southampton, Southampton General Hospital, Southampton. SO16 6YD; Tel: 023 8077 7624; Fax: 023 8070 4021; Email: cc@mrc.soton.ac.uk</w:t>
      </w:r>
      <w:r w:rsidRPr="00D94B08">
        <w:rPr>
          <w:b/>
          <w:noProof/>
          <w:color w:val="000000"/>
          <w:sz w:val="20"/>
          <w:szCs w:val="18"/>
        </w:rPr>
        <w:br w:type="page"/>
      </w:r>
      <w:r w:rsidRPr="00B76AC0">
        <w:rPr>
          <w:b/>
          <w:noProof/>
          <w:color w:val="000000"/>
          <w:sz w:val="22"/>
          <w:szCs w:val="22"/>
        </w:rPr>
        <w:lastRenderedPageBreak/>
        <w:t>Abstract</w:t>
      </w:r>
    </w:p>
    <w:p w14:paraId="0A2816EA" w14:textId="0E83FBF3" w:rsidR="00583B86" w:rsidRPr="00B76AC0" w:rsidRDefault="00583B86" w:rsidP="00B76AC0">
      <w:pPr>
        <w:spacing w:after="120" w:line="360" w:lineRule="auto"/>
        <w:jc w:val="both"/>
        <w:rPr>
          <w:noProof/>
          <w:color w:val="000000"/>
          <w:sz w:val="22"/>
          <w:szCs w:val="22"/>
        </w:rPr>
      </w:pPr>
      <w:r w:rsidRPr="00B76AC0">
        <w:rPr>
          <w:b/>
          <w:noProof/>
          <w:color w:val="000000"/>
          <w:sz w:val="22"/>
          <w:szCs w:val="22"/>
        </w:rPr>
        <w:t xml:space="preserve">Summary: </w:t>
      </w:r>
      <w:r w:rsidRPr="00B76AC0">
        <w:rPr>
          <w:noProof/>
          <w:color w:val="000000"/>
          <w:sz w:val="22"/>
          <w:szCs w:val="22"/>
        </w:rPr>
        <w:t>One-year mortality following a fracture was greater for men compared to women, varied markedly between regions in England with the lowest rates in the London region, and was higher among black women compared to white women. The excess in mortality did not change during the study period.</w:t>
      </w:r>
    </w:p>
    <w:p w14:paraId="3F03C495" w14:textId="3A1F5BFF" w:rsidR="00583B86" w:rsidRPr="00B76AC0" w:rsidRDefault="00583B86" w:rsidP="00B76AC0">
      <w:pPr>
        <w:spacing w:after="120" w:line="360" w:lineRule="auto"/>
        <w:jc w:val="both"/>
        <w:rPr>
          <w:noProof/>
          <w:color w:val="000000"/>
          <w:sz w:val="22"/>
          <w:szCs w:val="22"/>
        </w:rPr>
      </w:pPr>
      <w:r w:rsidRPr="00B76AC0">
        <w:rPr>
          <w:b/>
          <w:noProof/>
          <w:color w:val="000000"/>
          <w:sz w:val="22"/>
          <w:szCs w:val="22"/>
        </w:rPr>
        <w:t>Introduction:</w:t>
      </w:r>
      <w:r w:rsidRPr="00B76AC0">
        <w:rPr>
          <w:noProof/>
          <w:color w:val="000000"/>
          <w:sz w:val="22"/>
          <w:szCs w:val="22"/>
        </w:rPr>
        <w:t xml:space="preserve"> Fractures are associated with increased mortality. With the shift towards an increasingly elderly demography, and so increasing numbers of fractures, the impact of such events on mortality is of key public health importance. Therefore, we aimed to present up to date mortality rates following fracture in England.</w:t>
      </w:r>
    </w:p>
    <w:p w14:paraId="0E995D1A" w14:textId="60192252" w:rsidR="00583B86" w:rsidRPr="00B76AC0" w:rsidRDefault="00583B86" w:rsidP="00B76AC0">
      <w:pPr>
        <w:spacing w:after="120" w:line="360" w:lineRule="auto"/>
        <w:jc w:val="both"/>
        <w:rPr>
          <w:noProof/>
          <w:color w:val="000000"/>
          <w:sz w:val="22"/>
          <w:szCs w:val="22"/>
        </w:rPr>
      </w:pPr>
      <w:r w:rsidRPr="00B76AC0">
        <w:rPr>
          <w:b/>
          <w:noProof/>
          <w:color w:val="000000"/>
          <w:sz w:val="22"/>
          <w:szCs w:val="22"/>
        </w:rPr>
        <w:t xml:space="preserve">Methods: </w:t>
      </w:r>
      <w:r w:rsidRPr="00B76AC0">
        <w:rPr>
          <w:noProof/>
          <w:color w:val="000000"/>
          <w:sz w:val="22"/>
          <w:szCs w:val="22"/>
        </w:rPr>
        <w:t>This was a population-based study within the Clinical Practice Research Datalink, linked to death certificates (</w:t>
      </w:r>
      <w:r w:rsidRPr="00B76AC0">
        <w:rPr>
          <w:sz w:val="22"/>
          <w:szCs w:val="22"/>
        </w:rPr>
        <w:t>1 January 2001 and 31 December 2011)</w:t>
      </w:r>
      <w:r w:rsidRPr="00B76AC0">
        <w:rPr>
          <w:noProof/>
          <w:color w:val="000000"/>
          <w:sz w:val="22"/>
          <w:szCs w:val="22"/>
        </w:rPr>
        <w:t>. Subjects were followed from their first fracture (</w:t>
      </w:r>
      <w:r w:rsidRPr="00B76AC0">
        <w:rPr>
          <w:color w:val="000000"/>
          <w:sz w:val="22"/>
          <w:szCs w:val="22"/>
        </w:rPr>
        <w:t>hip, wrist, humerus, clinical spine, ribs or pelvis) until death for up to one year. Rate ratios (RRs) were estimated for one-year mortality, stratified by sex, 5-year age categories, ethnicity, and geographical region. Excess mortality was presented as Standardized Mortality Ratios (SMRs).</w:t>
      </w:r>
    </w:p>
    <w:p w14:paraId="2C95612C" w14:textId="7E2410AF" w:rsidR="00583B86" w:rsidRPr="00B76AC0" w:rsidRDefault="00583B86" w:rsidP="00B76AC0">
      <w:pPr>
        <w:spacing w:after="120" w:line="360" w:lineRule="auto"/>
        <w:jc w:val="both"/>
        <w:rPr>
          <w:sz w:val="22"/>
          <w:szCs w:val="22"/>
        </w:rPr>
      </w:pPr>
      <w:r w:rsidRPr="00B76AC0">
        <w:rPr>
          <w:b/>
          <w:noProof/>
          <w:color w:val="000000"/>
          <w:sz w:val="22"/>
          <w:szCs w:val="22"/>
        </w:rPr>
        <w:t xml:space="preserve">Results: </w:t>
      </w:r>
      <w:r w:rsidRPr="00B76AC0">
        <w:rPr>
          <w:sz w:val="22"/>
          <w:szCs w:val="22"/>
        </w:rPr>
        <w:t xml:space="preserve">One-year mortality following fracture increased with age and was higher for men. Black women (RR 1.77; 95% CI: 1.00-3.12) and women with other ethnicities (RR 1.59, 95% CI: 1.16-2.16) were at higher risk of death when compared to white women. Mortality was higher among women in almost all regions when compared to the London region, with the highest risk in the East Midlands (37% higher). The one-year mortality risk was more than 3-fold higher after fracture as compared to the general population (adjusted [adj.] SMR: 3.15, 95% CI: 3.09 – 3.26) and did not change during the study period. Major causes of death were neoplasms, respiratory diseases, and circulatory diseases. </w:t>
      </w:r>
    </w:p>
    <w:p w14:paraId="79BDADB2" w14:textId="65D59F78" w:rsidR="00583B86" w:rsidRPr="00B76AC0" w:rsidRDefault="00583B86" w:rsidP="00B76AC0">
      <w:pPr>
        <w:spacing w:after="120" w:line="360" w:lineRule="auto"/>
        <w:jc w:val="both"/>
        <w:rPr>
          <w:b/>
          <w:noProof/>
          <w:color w:val="000000"/>
          <w:sz w:val="22"/>
          <w:szCs w:val="22"/>
        </w:rPr>
      </w:pPr>
      <w:r w:rsidRPr="00B76AC0">
        <w:rPr>
          <w:b/>
          <w:noProof/>
          <w:color w:val="000000"/>
          <w:sz w:val="22"/>
          <w:szCs w:val="22"/>
        </w:rPr>
        <w:t xml:space="preserve">Conclusion: </w:t>
      </w:r>
      <w:r w:rsidRPr="00B76AC0">
        <w:rPr>
          <w:noProof/>
          <w:color w:val="000000"/>
          <w:sz w:val="22"/>
          <w:szCs w:val="22"/>
        </w:rPr>
        <w:t xml:space="preserve">This study provides up to date mortality outcomes following fracture in England, and will aid allocation of healthcare provision to those at greatest need. </w:t>
      </w:r>
    </w:p>
    <w:p w14:paraId="7CBD8843" w14:textId="77777777" w:rsidR="00583B86" w:rsidRPr="00B76AC0" w:rsidRDefault="00583B86" w:rsidP="00B76AC0">
      <w:pPr>
        <w:spacing w:after="120" w:line="360" w:lineRule="auto"/>
        <w:rPr>
          <w:b/>
          <w:noProof/>
          <w:color w:val="000000"/>
          <w:sz w:val="22"/>
          <w:szCs w:val="22"/>
        </w:rPr>
      </w:pPr>
      <w:r w:rsidRPr="00B76AC0">
        <w:rPr>
          <w:b/>
          <w:noProof/>
          <w:color w:val="000000"/>
          <w:sz w:val="22"/>
          <w:szCs w:val="22"/>
        </w:rPr>
        <w:t xml:space="preserve">Keywords: </w:t>
      </w:r>
      <w:r w:rsidRPr="00B76AC0">
        <w:rPr>
          <w:noProof/>
          <w:color w:val="000000"/>
          <w:sz w:val="22"/>
          <w:szCs w:val="22"/>
        </w:rPr>
        <w:t>Osteoporosis, epidemiology, mortality, comobidity</w:t>
      </w:r>
      <w:r w:rsidRPr="00B76AC0">
        <w:rPr>
          <w:b/>
          <w:noProof/>
          <w:color w:val="000000"/>
          <w:sz w:val="22"/>
          <w:szCs w:val="22"/>
        </w:rPr>
        <w:br w:type="page"/>
      </w:r>
    </w:p>
    <w:p w14:paraId="0E216343" w14:textId="77777777" w:rsidR="00583B86" w:rsidRPr="00B76AC0" w:rsidRDefault="00583B86" w:rsidP="00B76AC0">
      <w:pPr>
        <w:spacing w:after="120" w:line="360" w:lineRule="auto"/>
        <w:jc w:val="both"/>
        <w:rPr>
          <w:color w:val="000000"/>
          <w:sz w:val="22"/>
          <w:szCs w:val="22"/>
        </w:rPr>
      </w:pPr>
      <w:r w:rsidRPr="00B76AC0">
        <w:rPr>
          <w:b/>
          <w:noProof/>
          <w:color w:val="000000"/>
          <w:sz w:val="22"/>
          <w:szCs w:val="22"/>
        </w:rPr>
        <w:lastRenderedPageBreak/>
        <w:t xml:space="preserve">Background </w:t>
      </w:r>
    </w:p>
    <w:p w14:paraId="31E9AAA0" w14:textId="68E6ECAB" w:rsidR="00583B86" w:rsidRPr="00B76AC0" w:rsidRDefault="00583B86" w:rsidP="00B76AC0">
      <w:pPr>
        <w:spacing w:after="120" w:line="360" w:lineRule="auto"/>
        <w:jc w:val="both"/>
        <w:rPr>
          <w:color w:val="000000"/>
          <w:sz w:val="22"/>
          <w:szCs w:val="22"/>
        </w:rPr>
      </w:pPr>
      <w:r w:rsidRPr="00B76AC0">
        <w:rPr>
          <w:color w:val="000000"/>
          <w:sz w:val="22"/>
          <w:szCs w:val="22"/>
        </w:rPr>
        <w:t xml:space="preserve">Osteoporosis frequently results in fractures and is a major public health concern. The remaining lifetime risk for sustaining any fracture from the age of 50 years has been estimated to be as high as 53% among women and 21% among men in the United Kingdom [1]. The increased risk of death following hip and spinal fractures is well established, and emerging evidence shows that other fracture types are also associated with increased mortality rates [2 – 4]. The excess mortality is highest for fractures of the hip, where the risk of death is twice that of the general population of the same age, and is even higher among men (3-4 fold higher risk in the first year compared to the general population) [5, 6]. Fractures may also lead to severe morbidity in terms of pain, loss of mobility and loss of independence. Importantly, this burden will continue to increase, since the total number of fractures has been projected to rise substantially over the coming decades due to the ageing of the population [7]. </w:t>
      </w:r>
    </w:p>
    <w:p w14:paraId="6C43992F" w14:textId="6E134A0B" w:rsidR="00583B86" w:rsidRPr="00B76AC0" w:rsidRDefault="00583B86" w:rsidP="00B76AC0">
      <w:pPr>
        <w:spacing w:after="120" w:line="360" w:lineRule="auto"/>
        <w:jc w:val="both"/>
        <w:rPr>
          <w:color w:val="000000"/>
          <w:sz w:val="22"/>
          <w:szCs w:val="22"/>
        </w:rPr>
      </w:pPr>
      <w:r w:rsidRPr="00B76AC0">
        <w:rPr>
          <w:color w:val="000000"/>
          <w:sz w:val="22"/>
          <w:szCs w:val="22"/>
        </w:rPr>
        <w:t>Because of this projected increase in the total number of fractures, it is important to update the epidemiology of the associated mortality outcome. A previous study of post-fracture mortality in England and Wales sampled 5 million adults from the General Practice Research Database (GPRD, now known as the Clinical Practice Research Datalink [CPRD]) during the period 1988-1998, but was unable to stratify the post-fracture mortality risk by geographical region, ethnicity or cause of death [1]. In addition, secular trends for excess mortality after fractures are scarce and remain unknown for fractures other than the hip over the past decade in the United Kingdom [6]. Therefore, we used records from the Clinical Practice Research Datalink linked to death certificates to update the epidemiology of post-fracture mortality, stratified by age, sex, geographical region, ethnicity, calendar year, and the major causes of death.</w:t>
      </w:r>
    </w:p>
    <w:p w14:paraId="750C8041" w14:textId="77777777" w:rsidR="00913B19" w:rsidRPr="00B76AC0" w:rsidRDefault="00913B19" w:rsidP="00B76AC0">
      <w:pPr>
        <w:spacing w:after="120" w:line="360" w:lineRule="auto"/>
        <w:rPr>
          <w:b/>
          <w:color w:val="000000"/>
          <w:sz w:val="22"/>
          <w:szCs w:val="22"/>
        </w:rPr>
      </w:pPr>
    </w:p>
    <w:p w14:paraId="2285950E" w14:textId="77777777" w:rsidR="00583B86" w:rsidRPr="00B76AC0" w:rsidRDefault="00583B86" w:rsidP="00B76AC0">
      <w:pPr>
        <w:spacing w:after="120" w:line="360" w:lineRule="auto"/>
        <w:rPr>
          <w:b/>
          <w:color w:val="000000"/>
          <w:sz w:val="22"/>
          <w:szCs w:val="22"/>
        </w:rPr>
      </w:pPr>
      <w:r w:rsidRPr="00B76AC0">
        <w:rPr>
          <w:b/>
          <w:color w:val="000000"/>
          <w:sz w:val="22"/>
          <w:szCs w:val="22"/>
        </w:rPr>
        <w:t>Methods</w:t>
      </w:r>
    </w:p>
    <w:p w14:paraId="0A4B1558" w14:textId="77777777" w:rsidR="00583B86" w:rsidRPr="00B76AC0" w:rsidRDefault="00583B86" w:rsidP="00B76AC0">
      <w:pPr>
        <w:spacing w:after="120" w:line="360" w:lineRule="auto"/>
        <w:jc w:val="both"/>
        <w:rPr>
          <w:i/>
          <w:color w:val="000000"/>
          <w:sz w:val="22"/>
          <w:szCs w:val="22"/>
        </w:rPr>
      </w:pPr>
      <w:r w:rsidRPr="00B76AC0">
        <w:rPr>
          <w:i/>
          <w:color w:val="000000"/>
          <w:sz w:val="22"/>
          <w:szCs w:val="22"/>
        </w:rPr>
        <w:t>Source population</w:t>
      </w:r>
    </w:p>
    <w:p w14:paraId="7D7E93BA" w14:textId="71843D78" w:rsidR="00583B86" w:rsidRPr="00B76AC0" w:rsidRDefault="00913B19" w:rsidP="00B76AC0">
      <w:pPr>
        <w:spacing w:after="120" w:line="360" w:lineRule="auto"/>
        <w:jc w:val="both"/>
        <w:rPr>
          <w:color w:val="000000"/>
          <w:sz w:val="22"/>
          <w:szCs w:val="22"/>
        </w:rPr>
      </w:pPr>
      <w:r w:rsidRPr="00B76AC0">
        <w:rPr>
          <w:color w:val="000000"/>
          <w:sz w:val="22"/>
          <w:szCs w:val="22"/>
        </w:rPr>
        <w:t xml:space="preserve">We undertook a </w:t>
      </w:r>
      <w:r w:rsidR="00583B86" w:rsidRPr="00B76AC0">
        <w:rPr>
          <w:color w:val="000000"/>
          <w:sz w:val="22"/>
          <w:szCs w:val="22"/>
        </w:rPr>
        <w:t xml:space="preserve">cohort study within the Clinical Practice Research Datalink (CPRD) (www.cprd.com, formerly known as the General Practitioner Research Database). This database contains computerised medical records of 674 primary care practices in the United Kingdom, representing approximately 6.9% of the total population [8]. Data recorded in the CPRD include demographic information, laboratory tests, specialist referrals, hospital admissions, prescription details, and lifestyle variables such as body mass index (BMI), smoking, and alcohol consumption. Previous studies have shown a high validity of fracture registration (&gt;90% of fractures were confirmed) [9], and high degrees of accuracy and completeness of these data have been shown for other diagnoses and for smoking status [10 – 12]. The source population was restricted to practices from the Clinical Practice Research Datalink that were linked individually and </w:t>
      </w:r>
      <w:r w:rsidR="00583B86" w:rsidRPr="00B76AC0">
        <w:rPr>
          <w:color w:val="000000"/>
          <w:sz w:val="22"/>
          <w:szCs w:val="22"/>
        </w:rPr>
        <w:lastRenderedPageBreak/>
        <w:t xml:space="preserve">anonymously to death certificate recordings of the Office of National Statistics. The death certificate lists the date and the cause(s) of death. Death certificates were available from January 1998 to January 2012. </w:t>
      </w:r>
      <w:r w:rsidR="00583B86" w:rsidRPr="00B76AC0">
        <w:rPr>
          <w:color w:val="000000"/>
          <w:sz w:val="22"/>
          <w:szCs w:val="22"/>
          <w:lang w:val="en-US" w:eastAsia="en-US"/>
        </w:rPr>
        <w:t>Linkage was eligible for 65% of practices, and these practices have been shown to be representative of the broader group of practices included in CPRD [13].</w:t>
      </w:r>
    </w:p>
    <w:p w14:paraId="7BF640B3" w14:textId="77777777" w:rsidR="00583B86" w:rsidRPr="00B76AC0" w:rsidRDefault="00583B86" w:rsidP="00B76AC0">
      <w:pPr>
        <w:spacing w:after="120" w:line="360" w:lineRule="auto"/>
        <w:jc w:val="both"/>
        <w:rPr>
          <w:i/>
          <w:sz w:val="22"/>
          <w:szCs w:val="22"/>
        </w:rPr>
      </w:pPr>
      <w:r w:rsidRPr="00B76AC0">
        <w:rPr>
          <w:i/>
          <w:sz w:val="22"/>
          <w:szCs w:val="22"/>
        </w:rPr>
        <w:t xml:space="preserve">Study population </w:t>
      </w:r>
    </w:p>
    <w:p w14:paraId="311D163A" w14:textId="1A9DC872" w:rsidR="00583B86" w:rsidRPr="00B76AC0" w:rsidRDefault="00583B86" w:rsidP="00B76AC0">
      <w:pPr>
        <w:spacing w:after="120" w:line="360" w:lineRule="auto"/>
        <w:jc w:val="both"/>
        <w:rPr>
          <w:b/>
          <w:sz w:val="22"/>
          <w:szCs w:val="22"/>
        </w:rPr>
      </w:pPr>
      <w:r w:rsidRPr="00B76AC0">
        <w:rPr>
          <w:sz w:val="22"/>
          <w:szCs w:val="22"/>
        </w:rPr>
        <w:t>The study population consisted of all patients aged ≥ 50 years with a CPRD Read code for fracture (clinical spine, wrist, hip, humerus, rib, pelvis) between 1 January 2001 and 31 December 2011. The index date was defined as the first record for fracture, and all patients were required to have not sustained such a fracture before the index date. Patients with a code for unspecified fractures or unspecified femur fractures before the index date were excluded, since it was uncertain if the index fracture was actually the first fracture, according to the definition above, for that patient.</w:t>
      </w:r>
      <w:r w:rsidRPr="00B76AC0">
        <w:rPr>
          <w:b/>
          <w:sz w:val="22"/>
          <w:szCs w:val="22"/>
        </w:rPr>
        <w:t xml:space="preserve"> </w:t>
      </w:r>
      <w:r w:rsidRPr="00B76AC0">
        <w:rPr>
          <w:sz w:val="22"/>
          <w:szCs w:val="22"/>
        </w:rPr>
        <w:t>In sensitivity analyses, the study population was restricted to patients who sustained a fracture according to the FRAX</w:t>
      </w:r>
      <w:r w:rsidR="00375399" w:rsidRPr="00B76AC0">
        <w:rPr>
          <w:sz w:val="22"/>
          <w:szCs w:val="22"/>
          <w:vertAlign w:val="superscript"/>
        </w:rPr>
        <w:t>®</w:t>
      </w:r>
      <w:r w:rsidRPr="00B76AC0">
        <w:rPr>
          <w:sz w:val="22"/>
          <w:szCs w:val="22"/>
        </w:rPr>
        <w:t xml:space="preserve"> definition of fractures (first of hip, clinical spine, forearm, humerus). For both fracture definitions, it was not possible to categorise fractures into low or high trauma since the degree of trauma leading to a fracture is not reliably captured in the CPRD. </w:t>
      </w:r>
      <w:r w:rsidR="003A22D4" w:rsidRPr="00B76AC0">
        <w:rPr>
          <w:sz w:val="22"/>
          <w:szCs w:val="22"/>
        </w:rPr>
        <w:t xml:space="preserve">It was also not possibly to reliably ascertain whether a fracture was secondary to specific morbidities. </w:t>
      </w:r>
      <w:r w:rsidRPr="00B76AC0">
        <w:rPr>
          <w:sz w:val="22"/>
          <w:szCs w:val="22"/>
        </w:rPr>
        <w:t xml:space="preserve">Therefore, </w:t>
      </w:r>
      <w:r w:rsidR="00C95CB4" w:rsidRPr="00B76AC0">
        <w:rPr>
          <w:sz w:val="22"/>
          <w:szCs w:val="22"/>
        </w:rPr>
        <w:t>some</w:t>
      </w:r>
      <w:r w:rsidRPr="00B76AC0">
        <w:rPr>
          <w:sz w:val="22"/>
          <w:szCs w:val="22"/>
        </w:rPr>
        <w:t xml:space="preserve"> of the included fractures may have been pathological or due to high-trauma. </w:t>
      </w:r>
    </w:p>
    <w:p w14:paraId="43EA8B02" w14:textId="77777777" w:rsidR="00583B86" w:rsidRPr="00B76AC0" w:rsidRDefault="00583B86" w:rsidP="00B76AC0">
      <w:pPr>
        <w:spacing w:after="120" w:line="360" w:lineRule="auto"/>
        <w:jc w:val="both"/>
        <w:rPr>
          <w:i/>
          <w:color w:val="000000"/>
          <w:sz w:val="22"/>
          <w:szCs w:val="22"/>
        </w:rPr>
      </w:pPr>
      <w:r w:rsidRPr="00B76AC0">
        <w:rPr>
          <w:i/>
          <w:color w:val="000000"/>
          <w:sz w:val="22"/>
          <w:szCs w:val="22"/>
        </w:rPr>
        <w:t>Outcome</w:t>
      </w:r>
    </w:p>
    <w:p w14:paraId="17E3A0B3" w14:textId="77777777" w:rsidR="00583B86" w:rsidRPr="00B76AC0" w:rsidRDefault="00583B86" w:rsidP="00B76AC0">
      <w:pPr>
        <w:spacing w:after="120" w:line="360" w:lineRule="auto"/>
        <w:jc w:val="both"/>
        <w:rPr>
          <w:color w:val="000000"/>
          <w:sz w:val="22"/>
          <w:szCs w:val="22"/>
        </w:rPr>
      </w:pPr>
      <w:r w:rsidRPr="00B76AC0">
        <w:rPr>
          <w:color w:val="000000"/>
          <w:sz w:val="22"/>
          <w:szCs w:val="22"/>
        </w:rPr>
        <w:t xml:space="preserve">All patients were followed-up from the index date to the patient’s death as recorded on the death certificate or the study end date (365 days following the index date), whichever came first. </w:t>
      </w:r>
    </w:p>
    <w:p w14:paraId="1298A5C2" w14:textId="77777777" w:rsidR="00583B86" w:rsidRPr="00B76AC0" w:rsidRDefault="00583B86" w:rsidP="00B76AC0">
      <w:pPr>
        <w:spacing w:after="120" w:line="360" w:lineRule="auto"/>
        <w:jc w:val="both"/>
        <w:rPr>
          <w:i/>
          <w:color w:val="000000"/>
          <w:sz w:val="22"/>
          <w:szCs w:val="22"/>
        </w:rPr>
      </w:pPr>
      <w:r w:rsidRPr="00B76AC0">
        <w:rPr>
          <w:i/>
          <w:color w:val="000000"/>
          <w:sz w:val="22"/>
          <w:szCs w:val="22"/>
        </w:rPr>
        <w:t>Statistical analyses</w:t>
      </w:r>
    </w:p>
    <w:p w14:paraId="051BB5D5" w14:textId="361A35C2" w:rsidR="00583B86" w:rsidRPr="00B76AC0" w:rsidRDefault="00583B86" w:rsidP="00B76AC0">
      <w:pPr>
        <w:spacing w:after="120" w:line="360" w:lineRule="auto"/>
        <w:jc w:val="both"/>
        <w:rPr>
          <w:color w:val="000000"/>
          <w:sz w:val="22"/>
          <w:szCs w:val="22"/>
        </w:rPr>
      </w:pPr>
      <w:r w:rsidRPr="00B76AC0">
        <w:rPr>
          <w:color w:val="000000"/>
          <w:sz w:val="22"/>
          <w:szCs w:val="22"/>
        </w:rPr>
        <w:t xml:space="preserve">Rate ratios (RRs) were estimated for the risk of one-year mortality after fracture, stratified by sex, 5-year age categories, ethnicity (white, black, mixed, other [mainly Arab], south Asian, unknown), and geographical region in England. Excess mortality was presented as Standardized Mortality Ratios (SMRs). Age- and sex-specific numbers of observed deaths were extracted from the UK Office of National Statistics using the </w:t>
      </w:r>
      <w:r w:rsidRPr="00B76AC0">
        <w:rPr>
          <w:sz w:val="22"/>
          <w:szCs w:val="22"/>
        </w:rPr>
        <w:t xml:space="preserve">21st Century Mortality dataset, England &amp; Wales 2001–12. This was undertaken for males and females, by 5-year age-categories and for each calendar year and included deaths from all causes and from the underlying cause of death. Using the population estimates at mid-year and the number of deaths in the same year, age- and sex-specific mortality rates were calculated for the reference population. The expected number of deaths was calculated by multiplying the number of fracture patients per age- and sex-stratum by the age- and sex-specific mortality rates in the reference population for that same stratum. The observed number of deaths for each stratum in the study population </w:t>
      </w:r>
      <w:r w:rsidRPr="00B76AC0">
        <w:rPr>
          <w:sz w:val="22"/>
          <w:szCs w:val="22"/>
        </w:rPr>
        <w:lastRenderedPageBreak/>
        <w:t>were extracted from the linked CPRD – ONS data. The 95% Confidence Intervals for the SMRs were calculated according to the method of Rothman and Greenland [14]. SMRs were adjusted for age, sex, and calendar year. The Poisson test for trend was used to investigate whether the SMRs changed significantly over the study period</w:t>
      </w:r>
      <w:r w:rsidR="00A83AA0" w:rsidRPr="00B76AC0">
        <w:rPr>
          <w:sz w:val="22"/>
          <w:szCs w:val="22"/>
        </w:rPr>
        <w:t>.</w:t>
      </w:r>
      <w:r w:rsidRPr="00B76AC0">
        <w:rPr>
          <w:sz w:val="22"/>
          <w:szCs w:val="22"/>
        </w:rPr>
        <w:t xml:space="preserve"> Analyses were performed using SAS V.9.2 (SAS, Cary, North Carolina, USA). A p value of &lt; 0.05 was considered statistically significant. </w:t>
      </w:r>
    </w:p>
    <w:p w14:paraId="79370938" w14:textId="77777777" w:rsidR="00913B19" w:rsidRPr="00B76AC0" w:rsidRDefault="00913B19" w:rsidP="00B76AC0">
      <w:pPr>
        <w:spacing w:after="120" w:line="360" w:lineRule="auto"/>
        <w:jc w:val="both"/>
        <w:rPr>
          <w:b/>
          <w:sz w:val="22"/>
          <w:szCs w:val="22"/>
        </w:rPr>
      </w:pPr>
    </w:p>
    <w:p w14:paraId="0239994E" w14:textId="77777777" w:rsidR="00583B86" w:rsidRPr="00B76AC0" w:rsidRDefault="00583B86" w:rsidP="00B76AC0">
      <w:pPr>
        <w:spacing w:after="120" w:line="360" w:lineRule="auto"/>
        <w:jc w:val="both"/>
        <w:rPr>
          <w:b/>
          <w:sz w:val="22"/>
          <w:szCs w:val="22"/>
        </w:rPr>
      </w:pPr>
      <w:r w:rsidRPr="00B76AC0">
        <w:rPr>
          <w:b/>
          <w:sz w:val="22"/>
          <w:szCs w:val="22"/>
        </w:rPr>
        <w:t xml:space="preserve">Results </w:t>
      </w:r>
    </w:p>
    <w:p w14:paraId="7AC05993" w14:textId="3395FBFC" w:rsidR="00583B86" w:rsidRPr="00B76AC0" w:rsidRDefault="00583B86" w:rsidP="00B76AC0">
      <w:pPr>
        <w:spacing w:after="120" w:line="360" w:lineRule="auto"/>
        <w:jc w:val="both"/>
        <w:rPr>
          <w:i/>
          <w:sz w:val="22"/>
          <w:szCs w:val="22"/>
        </w:rPr>
      </w:pPr>
      <w:r w:rsidRPr="00B76AC0">
        <w:rPr>
          <w:i/>
          <w:sz w:val="22"/>
          <w:szCs w:val="22"/>
        </w:rPr>
        <w:t>One-year mortality after fracture by age and sex</w:t>
      </w:r>
    </w:p>
    <w:p w14:paraId="7255070E" w14:textId="3612D3E2" w:rsidR="00583B86" w:rsidRPr="00B76AC0" w:rsidRDefault="005D7916" w:rsidP="00B76AC0">
      <w:pPr>
        <w:spacing w:after="120" w:line="360" w:lineRule="auto"/>
        <w:jc w:val="both"/>
        <w:rPr>
          <w:color w:val="000000"/>
          <w:sz w:val="22"/>
          <w:szCs w:val="22"/>
        </w:rPr>
      </w:pPr>
      <w:r w:rsidRPr="00B76AC0">
        <w:rPr>
          <w:sz w:val="22"/>
          <w:szCs w:val="22"/>
        </w:rPr>
        <w:t xml:space="preserve">There were 22,929 men and 59,446 women with death certificate data available following a fracture of the hip, spine, forearm, humerus, ribs, or pelvis. The mean (SD) ages were 72.5 (12.5) years and </w:t>
      </w:r>
      <w:r w:rsidR="00F54696" w:rsidRPr="00B76AC0">
        <w:rPr>
          <w:sz w:val="22"/>
          <w:szCs w:val="22"/>
        </w:rPr>
        <w:t>75.5 (12.1) years respectively.</w:t>
      </w:r>
      <w:r w:rsidRPr="00B76AC0">
        <w:rPr>
          <w:sz w:val="22"/>
          <w:szCs w:val="22"/>
        </w:rPr>
        <w:t xml:space="preserve"> </w:t>
      </w:r>
      <w:r w:rsidR="00F54696" w:rsidRPr="00B76AC0">
        <w:rPr>
          <w:sz w:val="22"/>
          <w:szCs w:val="22"/>
        </w:rPr>
        <w:t xml:space="preserve">Amongst those with known </w:t>
      </w:r>
      <w:r w:rsidR="004633D1" w:rsidRPr="00B76AC0">
        <w:rPr>
          <w:sz w:val="22"/>
          <w:szCs w:val="22"/>
        </w:rPr>
        <w:t>ethnic origin</w:t>
      </w:r>
      <w:r w:rsidR="00F54696" w:rsidRPr="00B76AC0">
        <w:rPr>
          <w:sz w:val="22"/>
          <w:szCs w:val="22"/>
        </w:rPr>
        <w:t xml:space="preserve"> recorded, </w:t>
      </w:r>
      <w:r w:rsidR="0048788F" w:rsidRPr="00B76AC0">
        <w:rPr>
          <w:sz w:val="22"/>
          <w:szCs w:val="22"/>
        </w:rPr>
        <w:t xml:space="preserve">98.2% were of white ethnicity. </w:t>
      </w:r>
      <w:r w:rsidR="00563AD3" w:rsidRPr="00B76AC0">
        <w:rPr>
          <w:sz w:val="22"/>
          <w:szCs w:val="22"/>
        </w:rPr>
        <w:t xml:space="preserve">The North West accounted for the largest proportion of individuals (17.4%), with North East (2.5%), Yorkshire and The Humber (4.7%), and East Midlands (3.2%) somewhat lower than for the other areas, which ranged from 10.2% to 13.8% contribution. </w:t>
      </w:r>
      <w:r w:rsidR="00583B86" w:rsidRPr="00B76AC0">
        <w:rPr>
          <w:sz w:val="22"/>
          <w:szCs w:val="22"/>
        </w:rPr>
        <w:t>A total of 11,217 deaths were observed within one year following a fracture of the hip, clinical spine, forearm, humerus, ribs, or pelvis over a total of 66,300 person-years of follow-up.</w:t>
      </w:r>
      <w:r w:rsidR="001E11CA" w:rsidRPr="00B76AC0">
        <w:rPr>
          <w:sz w:val="22"/>
          <w:szCs w:val="22"/>
        </w:rPr>
        <w:t xml:space="preserve"> </w:t>
      </w:r>
      <w:r w:rsidR="00583B86" w:rsidRPr="00B76AC0">
        <w:rPr>
          <w:sz w:val="22"/>
          <w:szCs w:val="22"/>
        </w:rPr>
        <w:t xml:space="preserve"> The mortality rate within one year following fracture increased with age for both men (Table 1) and women (Table 2). Among men aged 50 – 54 years, the mortality rate was 2.3 per 100 person-years, which increased to 86.4 per 100 person-years for those aged 90 years or older, such that death was 35.4 times more likely at age 90+ years than at 50 – 54 years (95 % Confidence Interval [CI] for the Rate Ratio [RR]: 25.8 – 48.4). Among women, the mortality rates were lower than in men for all age categories and the corresponding rate ratio for one-year mortality was 23.7 (95% CI: 17.9-31.4). Results were similar for the FRAX definition of major osteoporotic fracture (Supplementary Tables 1 and 2), were there were a total of 10,175 deaths over 59,343 person-years of follow-up.</w:t>
      </w:r>
    </w:p>
    <w:p w14:paraId="42FC9621" w14:textId="0B574C49" w:rsidR="00583B86" w:rsidRPr="00B76AC0" w:rsidRDefault="00583B86" w:rsidP="00B76AC0">
      <w:pPr>
        <w:spacing w:after="120" w:line="360" w:lineRule="auto"/>
        <w:jc w:val="both"/>
        <w:rPr>
          <w:sz w:val="22"/>
          <w:szCs w:val="22"/>
        </w:rPr>
      </w:pPr>
      <w:r w:rsidRPr="00B76AC0">
        <w:rPr>
          <w:i/>
          <w:sz w:val="22"/>
          <w:szCs w:val="22"/>
        </w:rPr>
        <w:t>One-year mortality after fracture by ethnicity and geographic location</w:t>
      </w:r>
    </w:p>
    <w:p w14:paraId="6F183525" w14:textId="2F16556D" w:rsidR="00583B86" w:rsidRPr="00B76AC0" w:rsidRDefault="00583B86" w:rsidP="00B76AC0">
      <w:pPr>
        <w:spacing w:after="120" w:line="360" w:lineRule="auto"/>
        <w:jc w:val="both"/>
        <w:rPr>
          <w:sz w:val="22"/>
          <w:szCs w:val="22"/>
        </w:rPr>
      </w:pPr>
      <w:r w:rsidRPr="00B76AC0">
        <w:rPr>
          <w:sz w:val="22"/>
          <w:szCs w:val="22"/>
        </w:rPr>
        <w:t xml:space="preserve">Patients without a record for ethnicity had significantly higher mortality rates as compared to white patients, which was observed for men (RR 1.63, 95% CI: 1.50 – 1.76) and for women (RR 1.49, 95% CI: 1.40 – 1.58) (Tables 1 and 2). Among women, also blacks (RR 1.77, 95% CI: 1.00 – 3.12) and those with other ethnicities were at higher risk of death (RR 1.59, 95% CI: 1.16 – 2.16). With regard to geographical region, one-year mortality was significantly higher for men in Yorkshire and the Humber (RR 1.20) when compared to the London area (Table 1). Among women, almost all regions were associated with significantly higher mortality as compared to the London region, ranging from a 16% higher risk in the West Midlands and the South-Central region to 37% in the East Midlands (Table 2). Similar results were </w:t>
      </w:r>
      <w:r w:rsidRPr="00B76AC0">
        <w:rPr>
          <w:sz w:val="22"/>
          <w:szCs w:val="22"/>
        </w:rPr>
        <w:lastRenderedPageBreak/>
        <w:t xml:space="preserve">seen for all subgroups by age, ethnicity and region following a fracture when the FRAX-definition was applied (Supplementary Tables 1 and 2). </w:t>
      </w:r>
    </w:p>
    <w:p w14:paraId="0EBBBF62" w14:textId="06D80653" w:rsidR="00583B86" w:rsidRPr="00B76AC0" w:rsidRDefault="00583B86" w:rsidP="00B76AC0">
      <w:pPr>
        <w:spacing w:after="120" w:line="360" w:lineRule="auto"/>
        <w:jc w:val="both"/>
        <w:rPr>
          <w:i/>
          <w:sz w:val="22"/>
          <w:szCs w:val="22"/>
        </w:rPr>
      </w:pPr>
      <w:r w:rsidRPr="00B76AC0">
        <w:rPr>
          <w:i/>
          <w:sz w:val="22"/>
          <w:szCs w:val="22"/>
        </w:rPr>
        <w:t>Causes of mortality and rates of death following fracture</w:t>
      </w:r>
    </w:p>
    <w:p w14:paraId="53A9DEA7" w14:textId="28775BD2" w:rsidR="00583B86" w:rsidRPr="00B76AC0" w:rsidRDefault="00583B86" w:rsidP="00B76AC0">
      <w:pPr>
        <w:spacing w:after="120" w:line="360" w:lineRule="auto"/>
        <w:jc w:val="both"/>
        <w:rPr>
          <w:sz w:val="22"/>
          <w:szCs w:val="22"/>
        </w:rPr>
      </w:pPr>
      <w:r w:rsidRPr="00B76AC0">
        <w:rPr>
          <w:sz w:val="22"/>
          <w:szCs w:val="22"/>
        </w:rPr>
        <w:t xml:space="preserve">Figure 1 shows the age-specific mortality rates from all-causes and for the three major causes of death in the year following a fracture in men. The major causes of death included malignant neoplasms, diseases of the respiratory system and diseases of the circulatory system. Although the mortality rates were lower in women across all age-categories, the major causes of death were similar as compared to men (Figure 2). </w:t>
      </w:r>
    </w:p>
    <w:p w14:paraId="36CF9485" w14:textId="060A4D93" w:rsidR="00583B86" w:rsidRPr="00B76AC0" w:rsidRDefault="00583B86" w:rsidP="00B76AC0">
      <w:pPr>
        <w:spacing w:after="120" w:line="360" w:lineRule="auto"/>
        <w:jc w:val="both"/>
        <w:rPr>
          <w:i/>
          <w:sz w:val="22"/>
          <w:szCs w:val="22"/>
        </w:rPr>
      </w:pPr>
      <w:r w:rsidRPr="00B76AC0">
        <w:rPr>
          <w:i/>
          <w:sz w:val="22"/>
          <w:szCs w:val="22"/>
        </w:rPr>
        <w:t>Mortality rates after fracture compared to the general population</w:t>
      </w:r>
    </w:p>
    <w:p w14:paraId="548182B7" w14:textId="6604D60B" w:rsidR="00583B86" w:rsidRPr="00B76AC0" w:rsidRDefault="00583B86" w:rsidP="00B76AC0">
      <w:pPr>
        <w:spacing w:after="120" w:line="360" w:lineRule="auto"/>
        <w:jc w:val="both"/>
        <w:rPr>
          <w:sz w:val="22"/>
          <w:szCs w:val="22"/>
        </w:rPr>
      </w:pPr>
      <w:r w:rsidRPr="00B76AC0">
        <w:rPr>
          <w:sz w:val="22"/>
          <w:szCs w:val="22"/>
        </w:rPr>
        <w:t xml:space="preserve">The one-year mortality risk was more than 3-fold higher after fracture as compared to the general population (adjusted [adj.] Standardized Mortality Ratio [SMR]: 3.15, 95% CI: 3.09 – 3.26) (Table 3). Excess mortality was especially high among men (adj. SMR 4.32, 95% CI: </w:t>
      </w:r>
      <w:r w:rsidRPr="00B76AC0">
        <w:rPr>
          <w:color w:val="000000"/>
          <w:sz w:val="22"/>
          <w:szCs w:val="22"/>
          <w:lang w:val="en-US" w:eastAsia="en-US"/>
        </w:rPr>
        <w:t>4.19 - 4.46</w:t>
      </w:r>
      <w:r w:rsidRPr="00B76AC0">
        <w:rPr>
          <w:sz w:val="22"/>
          <w:szCs w:val="22"/>
        </w:rPr>
        <w:t>).  Very similar results were obtained for the FRAX-definition of fracture. In addition, the excess in mortality after fracture did not change during the study period (Poisson test for trend, p value 1.00) and a similar result was found when the FRAX-definition for fracture was used (Poisson test for trend, p value 0.99) (Supplementary Table 3). When stratified by region, the adj. SMR is lowest in the London region, in the South West and the South East Coast (Table 3). Those with unknown ethnicity had higher adj. SMR (</w:t>
      </w:r>
      <w:r w:rsidRPr="00B76AC0">
        <w:rPr>
          <w:color w:val="000000"/>
          <w:sz w:val="22"/>
          <w:szCs w:val="22"/>
        </w:rPr>
        <w:t xml:space="preserve">4.79, 95% CI: 4.59 - 4.99) </w:t>
      </w:r>
      <w:r w:rsidRPr="00B76AC0">
        <w:rPr>
          <w:sz w:val="22"/>
          <w:szCs w:val="22"/>
        </w:rPr>
        <w:t xml:space="preserve">as compared to white patients (adj. SMR </w:t>
      </w:r>
      <w:r w:rsidRPr="00B76AC0">
        <w:rPr>
          <w:color w:val="000000"/>
          <w:sz w:val="22"/>
          <w:szCs w:val="22"/>
        </w:rPr>
        <w:t>2.90, 95% CI: 2.84 - 2.96) (Table 3)</w:t>
      </w:r>
      <w:r w:rsidRPr="00B76AC0">
        <w:rPr>
          <w:sz w:val="22"/>
          <w:szCs w:val="22"/>
        </w:rPr>
        <w:t xml:space="preserve">. Finally, when stratified by the three major causes of death, the adj. SMR ranged between 2.5 (diseases of the circulatory system) to 3.0 (diseases of the respiratory system), and was similar for the FRAX-definition of fracture (Supplementary Table 3). </w:t>
      </w:r>
    </w:p>
    <w:p w14:paraId="6735020E" w14:textId="77777777" w:rsidR="00583B86" w:rsidRPr="00B76AC0" w:rsidRDefault="00583B86" w:rsidP="00B76AC0">
      <w:pPr>
        <w:spacing w:after="120" w:line="360" w:lineRule="auto"/>
        <w:rPr>
          <w:b/>
          <w:sz w:val="22"/>
          <w:szCs w:val="22"/>
        </w:rPr>
      </w:pPr>
    </w:p>
    <w:p w14:paraId="779CBED4" w14:textId="77777777" w:rsidR="00583B86" w:rsidRPr="00B76AC0" w:rsidRDefault="00583B86" w:rsidP="00B76AC0">
      <w:pPr>
        <w:spacing w:after="120" w:line="360" w:lineRule="auto"/>
        <w:rPr>
          <w:b/>
          <w:sz w:val="22"/>
          <w:szCs w:val="22"/>
        </w:rPr>
      </w:pPr>
      <w:r w:rsidRPr="00B76AC0">
        <w:rPr>
          <w:b/>
          <w:sz w:val="22"/>
          <w:szCs w:val="22"/>
        </w:rPr>
        <w:t>Discussion</w:t>
      </w:r>
    </w:p>
    <w:p w14:paraId="051327E7" w14:textId="776A7612" w:rsidR="00583B86" w:rsidRPr="00B76AC0" w:rsidRDefault="00583B86" w:rsidP="00B76AC0">
      <w:pPr>
        <w:spacing w:after="120" w:line="360" w:lineRule="auto"/>
        <w:jc w:val="both"/>
        <w:rPr>
          <w:sz w:val="22"/>
          <w:szCs w:val="22"/>
        </w:rPr>
      </w:pPr>
      <w:r w:rsidRPr="00B76AC0">
        <w:rPr>
          <w:sz w:val="22"/>
          <w:szCs w:val="22"/>
        </w:rPr>
        <w:t xml:space="preserve">In this population-based study, we have updated the epidemiology of mortality after fracture in England. The mortality risk increased with age, was higher for men, and there were marked differences in mortality according to the geographic location and ethnicity especially among women. Furthermore, the excess in one-year mortality after fracture did not change during the study period, with a 3.2-times higher risk of death as compared to the general population. Major causes of death were neoplasms, respiratory diseases, and circulatory diseases. </w:t>
      </w:r>
    </w:p>
    <w:p w14:paraId="4AEE8490" w14:textId="77777777" w:rsidR="00583B86" w:rsidRPr="00B76AC0" w:rsidRDefault="00583B86" w:rsidP="00B76AC0">
      <w:pPr>
        <w:spacing w:after="120" w:line="360" w:lineRule="auto"/>
        <w:jc w:val="both"/>
        <w:rPr>
          <w:i/>
          <w:sz w:val="22"/>
          <w:szCs w:val="22"/>
        </w:rPr>
      </w:pPr>
      <w:r w:rsidRPr="00B76AC0">
        <w:rPr>
          <w:i/>
          <w:sz w:val="22"/>
          <w:szCs w:val="22"/>
        </w:rPr>
        <w:t xml:space="preserve">Age and sex </w:t>
      </w:r>
    </w:p>
    <w:p w14:paraId="3B605244" w14:textId="283A4F27" w:rsidR="00583B86" w:rsidRPr="00B76AC0" w:rsidRDefault="00583B86" w:rsidP="00B76AC0">
      <w:pPr>
        <w:spacing w:after="120" w:line="360" w:lineRule="auto"/>
        <w:jc w:val="both"/>
        <w:rPr>
          <w:sz w:val="22"/>
          <w:szCs w:val="22"/>
        </w:rPr>
      </w:pPr>
      <w:r w:rsidRPr="00B76AC0">
        <w:rPr>
          <w:sz w:val="22"/>
          <w:szCs w:val="22"/>
        </w:rPr>
        <w:lastRenderedPageBreak/>
        <w:t xml:space="preserve">The higher mortality risk after fracture with increasing age, and in men as compared to women is consistent with previous literature [3, 15]. The reasons for the sex-difference in post-fracture mortality are not completely understood, and have been most comprehensively evaluated after hip fracture. Male hip fracture patients are on average 4 years younger, but sicker than their female counterparts [6, 16]. However, even after adjustment for age, drug use, and comorbidities, the sex-difference remained in several studies among hip fracture patients but also relative to the general population, which is in line with our results for the composite outcome of fracture. Unmeasured differences in frailty between men and women who sustain a fracture, or differences in complications such as infections and cardiovascular complications may further explain this finding [17]. However, with regard to the latter, we found the causes of death to be similar regardless of sex. </w:t>
      </w:r>
    </w:p>
    <w:p w14:paraId="7940DF41" w14:textId="77777777" w:rsidR="00583B86" w:rsidRPr="00B76AC0" w:rsidRDefault="00583B86" w:rsidP="00B76AC0">
      <w:pPr>
        <w:spacing w:after="120" w:line="360" w:lineRule="auto"/>
        <w:jc w:val="both"/>
        <w:rPr>
          <w:i/>
          <w:sz w:val="22"/>
          <w:szCs w:val="22"/>
        </w:rPr>
      </w:pPr>
      <w:r w:rsidRPr="00B76AC0">
        <w:rPr>
          <w:i/>
          <w:sz w:val="22"/>
          <w:szCs w:val="22"/>
        </w:rPr>
        <w:t xml:space="preserve">Ethnicity </w:t>
      </w:r>
    </w:p>
    <w:p w14:paraId="48C1B7AD" w14:textId="75FB7749" w:rsidR="00583B86" w:rsidRPr="00B76AC0" w:rsidRDefault="00583B86" w:rsidP="00B76AC0">
      <w:pPr>
        <w:spacing w:after="120" w:line="360" w:lineRule="auto"/>
        <w:jc w:val="both"/>
        <w:rPr>
          <w:sz w:val="22"/>
          <w:szCs w:val="22"/>
        </w:rPr>
      </w:pPr>
      <w:r w:rsidRPr="00B76AC0">
        <w:rPr>
          <w:sz w:val="22"/>
          <w:szCs w:val="22"/>
        </w:rPr>
        <w:t xml:space="preserve">Data on ethnic differences in mortality after fracture are scarce and have been reported solely after hip fracture. Our finding of a higher mortality rate in black women or women with another ethnicity (Arab) as compared to white women following a fracture is in line with most [18 – 21], but not all [22], studies that have addressed this issue after hip fracture. The underlying causes for this ethnic difference in survival may be multifactorial. Historical studies, published between 1996-2000, showed that after hip fracture, black patients were less likely to receive high-intensity rehabilitation in hospital [23] or post-discharge physical therapy [24] than white patients. Other potential causes are general, non-fracture related, differences in mortality by ethnicity caused by unmeasured factors such as severity of comorbid conditions, or socioeconomic factors, and warrants further investigation. Furthermore, the sex difference in the association between ethnicity and post-fracture mortality that was observed in this study also requires further investigation. </w:t>
      </w:r>
    </w:p>
    <w:p w14:paraId="4AB03373" w14:textId="77777777" w:rsidR="00583B86" w:rsidRPr="00B76AC0" w:rsidRDefault="00583B86" w:rsidP="00B76AC0">
      <w:pPr>
        <w:spacing w:after="120" w:line="360" w:lineRule="auto"/>
        <w:jc w:val="both"/>
        <w:rPr>
          <w:i/>
          <w:sz w:val="22"/>
          <w:szCs w:val="22"/>
        </w:rPr>
      </w:pPr>
      <w:r w:rsidRPr="00B76AC0">
        <w:rPr>
          <w:i/>
          <w:sz w:val="22"/>
          <w:szCs w:val="22"/>
        </w:rPr>
        <w:t xml:space="preserve">Geographic region </w:t>
      </w:r>
    </w:p>
    <w:p w14:paraId="64B2A72E" w14:textId="11843871" w:rsidR="00583B86" w:rsidRPr="00B76AC0" w:rsidRDefault="00583B86" w:rsidP="00B76AC0">
      <w:pPr>
        <w:spacing w:after="120" w:line="360" w:lineRule="auto"/>
        <w:jc w:val="both"/>
        <w:rPr>
          <w:sz w:val="22"/>
          <w:szCs w:val="22"/>
        </w:rPr>
      </w:pPr>
      <w:r w:rsidRPr="00B76AC0">
        <w:rPr>
          <w:sz w:val="22"/>
          <w:szCs w:val="22"/>
        </w:rPr>
        <w:t xml:space="preserve">Stratification by region within England revealed substantial geographic differences in mortality rates among women. The differences in mortality seem to match the variation in deprivation levels across the regions in England, with higher levels of deprivation in the north of England than in the south. Increased mortality rates have been associated with higher levels of deprivation, which likely reflects underlying differences in income, smoking status and other factors that relate to health-related behaviour [25]. In 2014, the SMR in the general population was lowest in London at 9 percentage points below the national level and highest in the North East with mortality rates 14 percentage points above the national level [25]. Indeed, the SMRs in the present study are lowest in the London region and in the southern regions as compared to the northern regions. In the present study, however, no such pattern was observed among males, where only Yorkshire and the Humber showed significant higher mortality rates compared to the </w:t>
      </w:r>
      <w:r w:rsidRPr="00B76AC0">
        <w:rPr>
          <w:sz w:val="22"/>
          <w:szCs w:val="22"/>
        </w:rPr>
        <w:lastRenderedPageBreak/>
        <w:t xml:space="preserve">London area. The underlying causes for this different pattern compared to women remain to be elucidated. </w:t>
      </w:r>
    </w:p>
    <w:p w14:paraId="34C478D6" w14:textId="77777777" w:rsidR="00583B86" w:rsidRPr="00B76AC0" w:rsidRDefault="00583B86" w:rsidP="00B76AC0">
      <w:pPr>
        <w:spacing w:after="120" w:line="360" w:lineRule="auto"/>
        <w:jc w:val="both"/>
        <w:rPr>
          <w:i/>
          <w:sz w:val="22"/>
          <w:szCs w:val="22"/>
        </w:rPr>
      </w:pPr>
      <w:r w:rsidRPr="00B76AC0">
        <w:rPr>
          <w:i/>
          <w:sz w:val="22"/>
          <w:szCs w:val="22"/>
        </w:rPr>
        <w:t>Secular trends</w:t>
      </w:r>
    </w:p>
    <w:p w14:paraId="705C7D82" w14:textId="516C578B" w:rsidR="00583B86" w:rsidRPr="00B76AC0" w:rsidRDefault="00583B86" w:rsidP="00B76AC0">
      <w:pPr>
        <w:spacing w:after="120" w:line="360" w:lineRule="auto"/>
        <w:jc w:val="both"/>
        <w:rPr>
          <w:sz w:val="22"/>
          <w:szCs w:val="22"/>
        </w:rPr>
      </w:pPr>
      <w:r w:rsidRPr="00B76AC0">
        <w:rPr>
          <w:sz w:val="22"/>
          <w:szCs w:val="22"/>
        </w:rPr>
        <w:t xml:space="preserve">While several studies have investigated secular changes in mortality post-hip fracture over recent years, very few have investigated whether there were changes in the difference in mortality between fracture patients and the general population [26 – 29]. Our finding of unchanged excess mortality post-fracture is in line with a prior study that was conducted among hip fracture patients in the CPRD, with linked information from death certificates [6]. We are not aware of any study that has evaluated a secular trend in relative mortality after the composite of fracture. The unchanged mortality outcome relative to the general population implies that the fracture-related mortality has not declined. Future investigations should focus on the cost benefit of targeted interventions including the role of multidisciplinary care, comorbidity management, nutrition, and pharmacological treatment where there is limited but conflicting evidence for reduced mortality with use of bisphosphonates (zoledronic acid) following hip fracture [16]. These interventions may be implemented through a Fracture Liaison Service [30], but it has been shown that there is great heterogeneity in quality of FLS services, which needs to be improved [31]. </w:t>
      </w:r>
    </w:p>
    <w:p w14:paraId="2747E747" w14:textId="77777777" w:rsidR="00583B86" w:rsidRPr="00B76AC0" w:rsidRDefault="00583B86" w:rsidP="00B76AC0">
      <w:pPr>
        <w:spacing w:after="120" w:line="360" w:lineRule="auto"/>
        <w:jc w:val="both"/>
        <w:rPr>
          <w:i/>
          <w:sz w:val="22"/>
          <w:szCs w:val="22"/>
        </w:rPr>
      </w:pPr>
      <w:r w:rsidRPr="00B76AC0">
        <w:rPr>
          <w:i/>
          <w:sz w:val="22"/>
          <w:szCs w:val="22"/>
        </w:rPr>
        <w:t xml:space="preserve">Strengths and limitations </w:t>
      </w:r>
    </w:p>
    <w:p w14:paraId="0C805CCC" w14:textId="1C232597" w:rsidR="00583B86" w:rsidRPr="00B76AC0" w:rsidRDefault="00583B86" w:rsidP="00B76AC0">
      <w:pPr>
        <w:spacing w:after="120" w:line="360" w:lineRule="auto"/>
        <w:jc w:val="both"/>
        <w:rPr>
          <w:sz w:val="22"/>
          <w:szCs w:val="22"/>
        </w:rPr>
      </w:pPr>
      <w:r w:rsidRPr="00B76AC0">
        <w:rPr>
          <w:sz w:val="22"/>
          <w:szCs w:val="22"/>
        </w:rPr>
        <w:t xml:space="preserve">This study presented mortality outcomes for a large representative sample of community-dwelling patients with fractures in England. Through linkage to death certificates we were able to reliably estimate mortality risk and the associated underlying cause of death. There are, however, several limitations that should be considered. </w:t>
      </w:r>
      <w:r w:rsidR="004E1A0A" w:rsidRPr="00B76AC0">
        <w:rPr>
          <w:sz w:val="22"/>
          <w:szCs w:val="22"/>
        </w:rPr>
        <w:t xml:space="preserve">First, it was not possible to categorise fractures as secondary to specific morbidities, or into low or </w:t>
      </w:r>
      <w:r w:rsidRPr="00B76AC0">
        <w:rPr>
          <w:sz w:val="22"/>
          <w:szCs w:val="22"/>
        </w:rPr>
        <w:t xml:space="preserve">high trauma since the degree of trauma leading to a fracture is not reliably captured in the CPRD. However, the patterns of mortality by age and gender are well in line with those previously reported. Second, a substantial number of individuals had missing data on ethnicity, which may have influenced ethnicity results. Improving database capture of ethnicity will aid in </w:t>
      </w:r>
      <w:r w:rsidRPr="00B76AC0">
        <w:rPr>
          <w:color w:val="000000" w:themeColor="text1"/>
          <w:sz w:val="22"/>
          <w:szCs w:val="22"/>
        </w:rPr>
        <w:t xml:space="preserve">population studies. Furthermore, we were not able to adjust the stratification for geographical region by socioeconomic status. Although we have adjusted the standardized mortality ratio after fracture for age and sex, residual confounding may still have been present. Propensity score adjustment or matching by a comorbidity score may further reduce this confounding issue but we were not able to apply this method in this study. And finally, </w:t>
      </w:r>
      <w:r w:rsidRPr="00B76AC0">
        <w:rPr>
          <w:sz w:val="22"/>
          <w:szCs w:val="22"/>
        </w:rPr>
        <w:t xml:space="preserve">representativeness of the CPRD when stratified by geographical region and ethnicity has not been documented. </w:t>
      </w:r>
    </w:p>
    <w:p w14:paraId="3374B4F5" w14:textId="77777777" w:rsidR="00583B86" w:rsidRPr="00B76AC0" w:rsidRDefault="00583B86" w:rsidP="00B76AC0">
      <w:pPr>
        <w:spacing w:after="120" w:line="360" w:lineRule="auto"/>
        <w:jc w:val="both"/>
        <w:rPr>
          <w:i/>
          <w:sz w:val="22"/>
          <w:szCs w:val="22"/>
        </w:rPr>
      </w:pPr>
      <w:r w:rsidRPr="00B76AC0">
        <w:rPr>
          <w:i/>
          <w:sz w:val="22"/>
          <w:szCs w:val="22"/>
        </w:rPr>
        <w:t xml:space="preserve">Conclusions </w:t>
      </w:r>
    </w:p>
    <w:p w14:paraId="1A0543E8" w14:textId="77777777" w:rsidR="003F0ACA" w:rsidRDefault="00583B86" w:rsidP="00B76AC0">
      <w:pPr>
        <w:spacing w:after="120" w:line="360" w:lineRule="auto"/>
        <w:jc w:val="both"/>
        <w:rPr>
          <w:sz w:val="22"/>
          <w:szCs w:val="22"/>
        </w:rPr>
      </w:pPr>
      <w:r w:rsidRPr="00B76AC0">
        <w:rPr>
          <w:sz w:val="22"/>
          <w:szCs w:val="22"/>
        </w:rPr>
        <w:lastRenderedPageBreak/>
        <w:t xml:space="preserve">In conclusion, we have documented up-to-date age- and sex-specific mortality rates following fracture for England. We have shown marked differences in mortality according to the geographic region and ethnicity among women, but less so among men. Major causes of death were neoplasms, respiratory diseases, and circulatory diseases for both genders. And finally, the excess in one-year mortality after fracture did not change during the study period with a 3.2-fold higher risk of death as compared to the general population. Future investigations should focus on the cost benefit of targeted interventions for reducing the associated mortality outcome following fracture. </w:t>
      </w:r>
    </w:p>
    <w:p w14:paraId="3F93ED70" w14:textId="77777777" w:rsidR="00B76AC0" w:rsidRPr="00B76AC0" w:rsidRDefault="00B76AC0" w:rsidP="00B76AC0">
      <w:pPr>
        <w:spacing w:after="120" w:line="360" w:lineRule="auto"/>
        <w:jc w:val="both"/>
        <w:rPr>
          <w:sz w:val="22"/>
          <w:szCs w:val="22"/>
        </w:rPr>
      </w:pPr>
    </w:p>
    <w:p w14:paraId="32DA56BA" w14:textId="6B2D2FE9" w:rsidR="00583B86" w:rsidRPr="00B76AC0" w:rsidRDefault="00583B86" w:rsidP="00B76AC0">
      <w:pPr>
        <w:spacing w:after="120" w:line="360" w:lineRule="auto"/>
        <w:jc w:val="both"/>
        <w:rPr>
          <w:b/>
          <w:sz w:val="22"/>
          <w:szCs w:val="22"/>
        </w:rPr>
      </w:pPr>
      <w:r w:rsidRPr="00B76AC0">
        <w:rPr>
          <w:b/>
          <w:sz w:val="22"/>
          <w:szCs w:val="22"/>
        </w:rPr>
        <w:t>Acknowledgements</w:t>
      </w:r>
    </w:p>
    <w:p w14:paraId="7D3DFCA7" w14:textId="77777777" w:rsidR="00583B86" w:rsidRPr="00B76AC0" w:rsidRDefault="00583B86" w:rsidP="00B76AC0">
      <w:pPr>
        <w:spacing w:after="120" w:line="360" w:lineRule="auto"/>
        <w:jc w:val="both"/>
        <w:rPr>
          <w:sz w:val="22"/>
          <w:szCs w:val="22"/>
        </w:rPr>
      </w:pPr>
      <w:r w:rsidRPr="00B76AC0">
        <w:rPr>
          <w:sz w:val="22"/>
          <w:szCs w:val="22"/>
        </w:rPr>
        <w:t xml:space="preserve">The work was supported by a grant from the National Osteoporosis Society. This work was further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w:t>
      </w:r>
    </w:p>
    <w:p w14:paraId="4E127FC3" w14:textId="77777777" w:rsidR="00583B86" w:rsidRPr="00B76AC0" w:rsidRDefault="00583B86" w:rsidP="00B76AC0">
      <w:pPr>
        <w:spacing w:after="120" w:line="360" w:lineRule="auto"/>
        <w:jc w:val="both"/>
        <w:rPr>
          <w:sz w:val="22"/>
          <w:szCs w:val="22"/>
        </w:rPr>
      </w:pPr>
    </w:p>
    <w:p w14:paraId="36BC47AA" w14:textId="77777777" w:rsidR="00583B86" w:rsidRPr="00B76AC0" w:rsidRDefault="00583B86" w:rsidP="00B76AC0">
      <w:pPr>
        <w:spacing w:after="120" w:line="360" w:lineRule="auto"/>
        <w:jc w:val="both"/>
        <w:rPr>
          <w:b/>
          <w:sz w:val="22"/>
          <w:szCs w:val="22"/>
        </w:rPr>
      </w:pPr>
      <w:r w:rsidRPr="00B76AC0">
        <w:rPr>
          <w:b/>
          <w:sz w:val="22"/>
          <w:szCs w:val="22"/>
        </w:rPr>
        <w:t xml:space="preserve">Conflicts of Interest </w:t>
      </w:r>
    </w:p>
    <w:p w14:paraId="701606D8" w14:textId="77777777" w:rsidR="00583B86" w:rsidRPr="00B76AC0" w:rsidRDefault="00583B86" w:rsidP="00B76AC0">
      <w:pPr>
        <w:spacing w:after="120" w:line="360" w:lineRule="auto"/>
        <w:rPr>
          <w:sz w:val="22"/>
          <w:szCs w:val="22"/>
        </w:rPr>
      </w:pPr>
      <w:r w:rsidRPr="00B76AC0">
        <w:rPr>
          <w:noProof/>
          <w:sz w:val="22"/>
          <w:szCs w:val="22"/>
        </w:rPr>
        <w:t>Corinne Klop, Tjeerd P. van Staa, Cyrus Cooper, Nicholas C. Harvey and Frank de Vries</w:t>
      </w:r>
      <w:r w:rsidRPr="00B76AC0">
        <w:rPr>
          <w:noProof/>
          <w:sz w:val="22"/>
          <w:szCs w:val="22"/>
          <w:vertAlign w:val="superscript"/>
        </w:rPr>
        <w:t xml:space="preserve"> </w:t>
      </w:r>
      <w:r w:rsidRPr="00B76AC0">
        <w:rPr>
          <w:sz w:val="22"/>
          <w:szCs w:val="22"/>
        </w:rPr>
        <w:t>report no conflicts of interest.</w:t>
      </w:r>
    </w:p>
    <w:p w14:paraId="18116E41" w14:textId="77777777" w:rsidR="00583B86" w:rsidRPr="00B76AC0" w:rsidRDefault="00583B86" w:rsidP="00B76AC0">
      <w:pPr>
        <w:spacing w:after="120" w:line="360" w:lineRule="auto"/>
        <w:rPr>
          <w:sz w:val="22"/>
          <w:szCs w:val="22"/>
        </w:rPr>
      </w:pPr>
      <w:r w:rsidRPr="00B76AC0">
        <w:rPr>
          <w:sz w:val="22"/>
          <w:szCs w:val="22"/>
        </w:rPr>
        <w:br w:type="page"/>
      </w:r>
    </w:p>
    <w:p w14:paraId="6FBF68BC" w14:textId="77777777" w:rsidR="00583B86" w:rsidRPr="00D94B08" w:rsidRDefault="00583B86" w:rsidP="00C0448A">
      <w:pPr>
        <w:spacing w:after="200" w:line="480" w:lineRule="auto"/>
        <w:jc w:val="both"/>
        <w:rPr>
          <w:b/>
          <w:sz w:val="22"/>
          <w:szCs w:val="22"/>
        </w:rPr>
      </w:pPr>
      <w:r w:rsidRPr="00D94B08">
        <w:rPr>
          <w:b/>
          <w:sz w:val="22"/>
          <w:szCs w:val="22"/>
        </w:rPr>
        <w:lastRenderedPageBreak/>
        <w:t>References</w:t>
      </w:r>
    </w:p>
    <w:p w14:paraId="1D21EC2F" w14:textId="77777777" w:rsidR="00583B86" w:rsidRPr="00D94B08" w:rsidRDefault="00583B86" w:rsidP="00B40633">
      <w:pPr>
        <w:spacing w:line="276" w:lineRule="auto"/>
        <w:rPr>
          <w:sz w:val="22"/>
          <w:szCs w:val="22"/>
          <w:lang w:val="en-US"/>
        </w:rPr>
      </w:pPr>
      <w:r w:rsidRPr="00D94B08">
        <w:rPr>
          <w:sz w:val="22"/>
          <w:szCs w:val="22"/>
        </w:rPr>
        <w:t xml:space="preserve">[1] </w:t>
      </w:r>
      <w:r w:rsidRPr="00D94B08">
        <w:rPr>
          <w:sz w:val="22"/>
          <w:szCs w:val="22"/>
          <w:lang w:val="en-US"/>
        </w:rPr>
        <w:t>Van Staa TP, Dennison EM, Leufkens HGM, Cooper C. Epidemiology of fractures in England and Wales. Bone 2001; 29: 517-522.</w:t>
      </w:r>
    </w:p>
    <w:p w14:paraId="396E9287" w14:textId="77777777" w:rsidR="00583B86" w:rsidRPr="00D94B08" w:rsidRDefault="00583B86" w:rsidP="00176CF4">
      <w:pPr>
        <w:spacing w:line="276" w:lineRule="auto"/>
        <w:jc w:val="both"/>
        <w:rPr>
          <w:sz w:val="22"/>
          <w:szCs w:val="22"/>
        </w:rPr>
      </w:pPr>
    </w:p>
    <w:p w14:paraId="61F81B82" w14:textId="77777777" w:rsidR="00583B86" w:rsidRPr="00D94B08" w:rsidRDefault="00583B86" w:rsidP="00176CF4">
      <w:pPr>
        <w:spacing w:line="276" w:lineRule="auto"/>
        <w:jc w:val="both"/>
        <w:rPr>
          <w:sz w:val="22"/>
          <w:szCs w:val="22"/>
        </w:rPr>
      </w:pPr>
      <w:r w:rsidRPr="00D94B08">
        <w:rPr>
          <w:sz w:val="22"/>
          <w:szCs w:val="22"/>
        </w:rPr>
        <w:t>[2] Bliuc D, Nguyen ND, Milch VE, Nguyen TV, Eisman JA, Center JR. Mortality risk associated with low-trauma osteoporotic fracture and subsequent fracture in men and women. JAMA 2009, 301: 513-521.</w:t>
      </w:r>
    </w:p>
    <w:p w14:paraId="06443B99" w14:textId="77777777" w:rsidR="00583B86" w:rsidRPr="00D94B08" w:rsidRDefault="00583B86" w:rsidP="00176CF4">
      <w:pPr>
        <w:spacing w:line="276" w:lineRule="auto"/>
        <w:jc w:val="both"/>
        <w:rPr>
          <w:sz w:val="22"/>
          <w:szCs w:val="22"/>
        </w:rPr>
      </w:pPr>
    </w:p>
    <w:p w14:paraId="02AF093E" w14:textId="77777777" w:rsidR="00583B86" w:rsidRPr="00920D71" w:rsidRDefault="00583B86" w:rsidP="00176CF4">
      <w:pPr>
        <w:spacing w:line="276" w:lineRule="auto"/>
        <w:jc w:val="both"/>
        <w:rPr>
          <w:sz w:val="22"/>
          <w:szCs w:val="22"/>
          <w:lang w:val="nl-NL"/>
        </w:rPr>
      </w:pPr>
      <w:r w:rsidRPr="00D94B08">
        <w:rPr>
          <w:sz w:val="22"/>
          <w:szCs w:val="22"/>
        </w:rPr>
        <w:t xml:space="preserve">[3] Morin S, Lix LM, Azimaee M, Metge C, Caetano P, Leslie WD. Mortality rates after incident non-traumatic fractures in older men and women. </w:t>
      </w:r>
      <w:r w:rsidRPr="00920D71">
        <w:rPr>
          <w:sz w:val="22"/>
          <w:szCs w:val="22"/>
          <w:lang w:val="nl-NL"/>
        </w:rPr>
        <w:t xml:space="preserve">Osteoporos Int 2011; 22: 2439-48. </w:t>
      </w:r>
    </w:p>
    <w:p w14:paraId="10024CE5" w14:textId="77777777" w:rsidR="00583B86" w:rsidRPr="00920D71" w:rsidRDefault="00583B86" w:rsidP="00176CF4">
      <w:pPr>
        <w:spacing w:line="276" w:lineRule="auto"/>
        <w:jc w:val="both"/>
        <w:rPr>
          <w:sz w:val="22"/>
          <w:szCs w:val="22"/>
          <w:lang w:val="nl-NL"/>
        </w:rPr>
      </w:pPr>
    </w:p>
    <w:p w14:paraId="434C979A" w14:textId="77777777" w:rsidR="00583B86" w:rsidRPr="00D94B08" w:rsidRDefault="00583B86" w:rsidP="00B40633">
      <w:pPr>
        <w:spacing w:line="276" w:lineRule="auto"/>
        <w:jc w:val="both"/>
        <w:rPr>
          <w:sz w:val="22"/>
          <w:szCs w:val="22"/>
          <w:lang w:val="en-US"/>
        </w:rPr>
      </w:pPr>
      <w:r w:rsidRPr="00D94B08">
        <w:rPr>
          <w:sz w:val="22"/>
          <w:szCs w:val="22"/>
          <w:lang w:val="nl-NL"/>
        </w:rPr>
        <w:t xml:space="preserve">[4] Huntjens KMB, Kosar S, van Geel TACM, Geusens PP, Willems P, Kessels A, et al. </w:t>
      </w:r>
      <w:r w:rsidRPr="00D94B08">
        <w:rPr>
          <w:sz w:val="22"/>
          <w:szCs w:val="22"/>
        </w:rPr>
        <w:t xml:space="preserve">Risk of subsequent fracture and mortality within 5 years after a non-vertebral fracture </w:t>
      </w:r>
      <w:r w:rsidRPr="00D94B08">
        <w:rPr>
          <w:sz w:val="22"/>
          <w:szCs w:val="22"/>
          <w:lang w:val="en-US"/>
        </w:rPr>
        <w:t>Osteoporos Int 2010; 21:2075–82.</w:t>
      </w:r>
    </w:p>
    <w:p w14:paraId="6C60D871" w14:textId="77777777" w:rsidR="00583B86" w:rsidRPr="00D94B08" w:rsidRDefault="00583B86" w:rsidP="00176CF4">
      <w:pPr>
        <w:spacing w:line="276" w:lineRule="auto"/>
        <w:jc w:val="both"/>
        <w:rPr>
          <w:sz w:val="22"/>
          <w:szCs w:val="22"/>
          <w:lang w:val="en-US"/>
        </w:rPr>
      </w:pPr>
    </w:p>
    <w:p w14:paraId="5A5C5DA9" w14:textId="77777777" w:rsidR="00583B86" w:rsidRPr="00D94B08" w:rsidRDefault="00583B86" w:rsidP="00B40633">
      <w:pPr>
        <w:spacing w:line="276" w:lineRule="auto"/>
        <w:jc w:val="both"/>
        <w:rPr>
          <w:sz w:val="22"/>
          <w:szCs w:val="22"/>
          <w:lang w:val="nl-NL"/>
        </w:rPr>
      </w:pPr>
      <w:r w:rsidRPr="00D94B08">
        <w:rPr>
          <w:sz w:val="22"/>
          <w:szCs w:val="22"/>
          <w:lang w:val="nl-NL"/>
        </w:rPr>
        <w:t xml:space="preserve">[5] Haentjens P, Magaziner J, Colón-Emeric CS, van der Schueren D, Milisen K, Velkeniers B, et al. </w:t>
      </w:r>
      <w:r w:rsidRPr="00D94B08">
        <w:rPr>
          <w:sz w:val="22"/>
          <w:szCs w:val="22"/>
          <w:lang w:val="en-US"/>
        </w:rPr>
        <w:t xml:space="preserve">Meta-analysis: excess mortality after hip fracture among older women and men. </w:t>
      </w:r>
      <w:r w:rsidRPr="00D94B08">
        <w:rPr>
          <w:sz w:val="22"/>
          <w:szCs w:val="22"/>
          <w:lang w:val="nl-NL"/>
        </w:rPr>
        <w:t>Ann Intern Med 2010; 152: 380-90.</w:t>
      </w:r>
    </w:p>
    <w:p w14:paraId="24820AEA" w14:textId="77777777" w:rsidR="00583B86" w:rsidRPr="00D94B08" w:rsidRDefault="00583B86" w:rsidP="00B40633">
      <w:pPr>
        <w:spacing w:line="276" w:lineRule="auto"/>
        <w:jc w:val="both"/>
        <w:rPr>
          <w:sz w:val="22"/>
          <w:szCs w:val="22"/>
          <w:lang w:val="nl-NL"/>
        </w:rPr>
      </w:pPr>
    </w:p>
    <w:p w14:paraId="2BE989C7" w14:textId="77777777" w:rsidR="00583B86" w:rsidRPr="00D94B08" w:rsidRDefault="00583B86" w:rsidP="00B40633">
      <w:pPr>
        <w:spacing w:line="276" w:lineRule="auto"/>
        <w:jc w:val="both"/>
        <w:rPr>
          <w:sz w:val="22"/>
          <w:szCs w:val="22"/>
          <w:lang w:val="en-US"/>
        </w:rPr>
      </w:pPr>
      <w:r w:rsidRPr="00D94B08">
        <w:rPr>
          <w:sz w:val="22"/>
          <w:szCs w:val="22"/>
          <w:lang w:val="nl-NL"/>
        </w:rPr>
        <w:t xml:space="preserve">[6] Klop C, Welsing PMJ, Cooper C, Harvey NC, Elders PJM, Bijlsma JWJ, et al. </w:t>
      </w:r>
      <w:r w:rsidRPr="00D94B08">
        <w:rPr>
          <w:sz w:val="22"/>
          <w:szCs w:val="22"/>
          <w:lang w:val="en-US"/>
        </w:rPr>
        <w:t>Mortality in British hip fracture patients, 2000-2010: a population-based retrospective cohort study. Bone 2014; 66: 171-7.</w:t>
      </w:r>
    </w:p>
    <w:p w14:paraId="395757CF" w14:textId="77777777" w:rsidR="00583B86" w:rsidRPr="00D94B08" w:rsidRDefault="00583B86" w:rsidP="00176CF4">
      <w:pPr>
        <w:spacing w:line="276" w:lineRule="auto"/>
        <w:jc w:val="both"/>
        <w:rPr>
          <w:sz w:val="22"/>
          <w:szCs w:val="22"/>
        </w:rPr>
      </w:pPr>
    </w:p>
    <w:p w14:paraId="66D062BC" w14:textId="77777777" w:rsidR="00583B86" w:rsidRPr="00D94B08" w:rsidRDefault="00583B86" w:rsidP="00B40633">
      <w:pPr>
        <w:shd w:val="clear" w:color="auto" w:fill="FFFFFF"/>
        <w:rPr>
          <w:sz w:val="22"/>
          <w:szCs w:val="22"/>
        </w:rPr>
      </w:pPr>
      <w:r w:rsidRPr="00D94B08">
        <w:rPr>
          <w:sz w:val="22"/>
          <w:szCs w:val="22"/>
        </w:rPr>
        <w:t>[7] Svedbom A, Hernlund E, Ivergard M, Compston J, Cooper C, Stenmark J, et al. Osteoporosis in the European Union: a compendium of country-specific reports. Arch Osteoporos 2013; 8: 137.</w:t>
      </w:r>
    </w:p>
    <w:p w14:paraId="6368AB86" w14:textId="77777777" w:rsidR="00583B86" w:rsidRPr="00D94B08" w:rsidRDefault="00583B86" w:rsidP="00176CF4">
      <w:pPr>
        <w:spacing w:line="276" w:lineRule="auto"/>
        <w:jc w:val="both"/>
        <w:rPr>
          <w:sz w:val="22"/>
          <w:szCs w:val="22"/>
        </w:rPr>
      </w:pPr>
    </w:p>
    <w:p w14:paraId="41891CBB" w14:textId="77777777" w:rsidR="00583B86" w:rsidRPr="00D94B08" w:rsidRDefault="00583B86" w:rsidP="00C3772E">
      <w:pPr>
        <w:widowControl w:val="0"/>
        <w:autoSpaceDE w:val="0"/>
        <w:autoSpaceDN w:val="0"/>
        <w:adjustRightInd w:val="0"/>
        <w:spacing w:after="240"/>
        <w:rPr>
          <w:sz w:val="22"/>
          <w:szCs w:val="22"/>
          <w:lang w:eastAsia="nl-NL"/>
        </w:rPr>
      </w:pPr>
      <w:r w:rsidRPr="00D94B08">
        <w:rPr>
          <w:sz w:val="22"/>
          <w:szCs w:val="22"/>
        </w:rPr>
        <w:t xml:space="preserve">[8] </w:t>
      </w:r>
      <w:r w:rsidRPr="00D94B08">
        <w:rPr>
          <w:sz w:val="22"/>
          <w:szCs w:val="22"/>
          <w:lang w:val="en-US" w:eastAsia="nl-NL"/>
        </w:rPr>
        <w:t>E. Herrett, A.M. Gallagher, K. Bhaskaran, H. Forbes, R. Mathur, T. van Staa, L. Smeeth, Data resource profile: clinical practice research datalink (CPRD), Int. J. Epidemiol 2015.</w:t>
      </w:r>
      <w:r w:rsidRPr="00D94B08">
        <w:rPr>
          <w:rFonts w:ascii="MS Mincho" w:eastAsia="MS Mincho" w:hAnsi="MS Mincho" w:cs="MS Mincho" w:hint="eastAsia"/>
          <w:sz w:val="22"/>
          <w:szCs w:val="22"/>
          <w:lang w:val="en-US" w:eastAsia="nl-NL"/>
        </w:rPr>
        <w:t> </w:t>
      </w:r>
    </w:p>
    <w:p w14:paraId="441FFEBC" w14:textId="77777777" w:rsidR="00583B86" w:rsidRPr="00D94B08" w:rsidRDefault="00583B86" w:rsidP="00C3772E">
      <w:pPr>
        <w:spacing w:line="276" w:lineRule="auto"/>
        <w:jc w:val="both"/>
        <w:rPr>
          <w:sz w:val="22"/>
          <w:szCs w:val="22"/>
          <w:lang w:val="en-US"/>
        </w:rPr>
      </w:pPr>
      <w:r w:rsidRPr="00D94B08">
        <w:rPr>
          <w:sz w:val="22"/>
          <w:szCs w:val="22"/>
          <w:lang w:val="nl-NL"/>
        </w:rPr>
        <w:t xml:space="preserve">[9] Van Staa TP, Abenhaim L, Cooper C, Zhang B, Leufkens HG. </w:t>
      </w:r>
      <w:r w:rsidRPr="00D94B08">
        <w:rPr>
          <w:sz w:val="22"/>
          <w:szCs w:val="22"/>
          <w:lang w:val="en-US"/>
        </w:rPr>
        <w:t>The use of a large pharmacoepidemiological database to study exposure to oral glucocorticoids and risk of fractures: validation of study population and results. Pharmacoepidemiol Drug Saf 2000; 9: 359-366.</w:t>
      </w:r>
    </w:p>
    <w:p w14:paraId="1A7C531B" w14:textId="77777777" w:rsidR="00583B86" w:rsidRPr="00D94B08" w:rsidRDefault="00583B86" w:rsidP="00176CF4">
      <w:pPr>
        <w:spacing w:line="276" w:lineRule="auto"/>
        <w:jc w:val="both"/>
        <w:rPr>
          <w:sz w:val="22"/>
          <w:szCs w:val="22"/>
        </w:rPr>
      </w:pPr>
    </w:p>
    <w:p w14:paraId="2E8D005C" w14:textId="77777777" w:rsidR="00583B86" w:rsidRPr="00D94B08" w:rsidRDefault="00583B86" w:rsidP="00C3772E">
      <w:pPr>
        <w:spacing w:line="276" w:lineRule="auto"/>
        <w:jc w:val="both"/>
        <w:rPr>
          <w:sz w:val="22"/>
          <w:szCs w:val="22"/>
          <w:lang w:val="en-US"/>
        </w:rPr>
      </w:pPr>
      <w:r w:rsidRPr="00D94B08">
        <w:rPr>
          <w:sz w:val="22"/>
          <w:szCs w:val="22"/>
        </w:rPr>
        <w:t xml:space="preserve">[10] </w:t>
      </w:r>
      <w:r w:rsidRPr="00D94B08">
        <w:rPr>
          <w:sz w:val="22"/>
          <w:szCs w:val="22"/>
          <w:lang w:val="en-US"/>
        </w:rPr>
        <w:t xml:space="preserve">Herrett E, Thomas SL, Schoonen WM, Smeeth L, Hall AJ. Validation and validity of diagnoses in the General Practice Research Database: a systematic review. Br J Clin Pharmacol 2010; 69:4-14. </w:t>
      </w:r>
    </w:p>
    <w:p w14:paraId="7253A32F" w14:textId="77777777" w:rsidR="00583B86" w:rsidRPr="00D94B08" w:rsidRDefault="00583B86" w:rsidP="00176CF4">
      <w:pPr>
        <w:spacing w:line="276" w:lineRule="auto"/>
        <w:jc w:val="both"/>
        <w:rPr>
          <w:sz w:val="22"/>
          <w:szCs w:val="22"/>
        </w:rPr>
      </w:pPr>
    </w:p>
    <w:p w14:paraId="0DA83325" w14:textId="77777777" w:rsidR="00583B86" w:rsidRPr="00D94B08" w:rsidRDefault="00583B86" w:rsidP="00C3772E">
      <w:pPr>
        <w:spacing w:line="276" w:lineRule="auto"/>
        <w:jc w:val="both"/>
        <w:rPr>
          <w:sz w:val="22"/>
          <w:szCs w:val="22"/>
        </w:rPr>
      </w:pPr>
      <w:r w:rsidRPr="00D94B08">
        <w:rPr>
          <w:sz w:val="22"/>
          <w:szCs w:val="22"/>
        </w:rPr>
        <w:t xml:space="preserve">[11] </w:t>
      </w:r>
      <w:r w:rsidRPr="00D94B08">
        <w:rPr>
          <w:sz w:val="22"/>
          <w:szCs w:val="22"/>
          <w:lang w:val="en-US"/>
        </w:rPr>
        <w:t xml:space="preserve">Khan NF, Harrison SE, Rose PW. Validity of diagnostic coding within the General Practice Research Database: a systematic review. </w:t>
      </w:r>
      <w:r w:rsidRPr="00D94B08">
        <w:rPr>
          <w:sz w:val="22"/>
          <w:szCs w:val="22"/>
        </w:rPr>
        <w:t xml:space="preserve">Br J Gen Pract 2010; 60:e128-36. </w:t>
      </w:r>
    </w:p>
    <w:p w14:paraId="08BEC9AB" w14:textId="77777777" w:rsidR="00583B86" w:rsidRPr="00D94B08" w:rsidRDefault="00583B86" w:rsidP="00C3772E">
      <w:pPr>
        <w:spacing w:line="276" w:lineRule="auto"/>
        <w:jc w:val="both"/>
        <w:rPr>
          <w:sz w:val="22"/>
          <w:szCs w:val="22"/>
        </w:rPr>
      </w:pPr>
    </w:p>
    <w:p w14:paraId="1A4B5394" w14:textId="77777777" w:rsidR="00583B86" w:rsidRPr="00D94B08" w:rsidRDefault="00583B86" w:rsidP="00C3772E">
      <w:pPr>
        <w:spacing w:line="276" w:lineRule="auto"/>
        <w:jc w:val="both"/>
        <w:rPr>
          <w:sz w:val="22"/>
          <w:szCs w:val="22"/>
          <w:lang w:val="en-US"/>
        </w:rPr>
      </w:pPr>
      <w:r w:rsidRPr="00D94B08">
        <w:rPr>
          <w:sz w:val="22"/>
          <w:szCs w:val="22"/>
        </w:rPr>
        <w:t xml:space="preserve">[12] Lewis JD, Brensinger C. Agreement between GPRD smoking data: a survey of general  practitioners and a population-based survey. </w:t>
      </w:r>
      <w:r w:rsidRPr="00D94B08">
        <w:rPr>
          <w:sz w:val="22"/>
          <w:szCs w:val="22"/>
          <w:lang w:val="en-US"/>
        </w:rPr>
        <w:t xml:space="preserve">Pharmacoepidemiol Drug Saf 2004; 13:437-41. </w:t>
      </w:r>
    </w:p>
    <w:p w14:paraId="56D21FEB" w14:textId="77777777" w:rsidR="00583B86" w:rsidRPr="00D94B08" w:rsidRDefault="00583B86" w:rsidP="00C3772E">
      <w:pPr>
        <w:spacing w:line="276" w:lineRule="auto"/>
        <w:jc w:val="both"/>
        <w:rPr>
          <w:sz w:val="22"/>
          <w:szCs w:val="22"/>
          <w:lang w:val="en-US"/>
        </w:rPr>
      </w:pPr>
    </w:p>
    <w:p w14:paraId="561F5B54" w14:textId="77777777" w:rsidR="00583B86" w:rsidRDefault="00583B86" w:rsidP="00C3772E">
      <w:pPr>
        <w:spacing w:line="276" w:lineRule="auto"/>
        <w:jc w:val="both"/>
        <w:rPr>
          <w:color w:val="000000"/>
          <w:sz w:val="22"/>
          <w:szCs w:val="22"/>
          <w:lang w:val="en-US" w:eastAsia="en-US"/>
        </w:rPr>
      </w:pPr>
      <w:r w:rsidRPr="00D94B08">
        <w:rPr>
          <w:sz w:val="22"/>
          <w:szCs w:val="22"/>
          <w:lang w:val="en-US"/>
        </w:rPr>
        <w:t xml:space="preserve">[13] </w:t>
      </w:r>
      <w:r w:rsidRPr="00D94B08">
        <w:rPr>
          <w:color w:val="000000"/>
          <w:sz w:val="22"/>
          <w:szCs w:val="22"/>
          <w:lang w:val="en-US" w:eastAsia="en-US"/>
        </w:rPr>
        <w:t>Gallagher AM, Puri S, van Staa TP: Linkage of the General Practice Research Database (GPRD) with other data sources. Pharmacoepidemiol Drug Saf 2011, 20:S230.</w:t>
      </w:r>
    </w:p>
    <w:p w14:paraId="0BFF8102" w14:textId="77777777" w:rsidR="00583B86" w:rsidRPr="00DE7C40" w:rsidRDefault="00583B86" w:rsidP="00C3772E">
      <w:pPr>
        <w:spacing w:line="276" w:lineRule="auto"/>
        <w:jc w:val="both"/>
        <w:rPr>
          <w:color w:val="000000"/>
          <w:sz w:val="22"/>
          <w:szCs w:val="22"/>
          <w:lang w:val="en-US" w:eastAsia="en-US"/>
        </w:rPr>
      </w:pPr>
      <w:r w:rsidRPr="00DE7C40">
        <w:rPr>
          <w:color w:val="000000"/>
          <w:sz w:val="22"/>
          <w:szCs w:val="22"/>
          <w:lang w:val="en-US" w:eastAsia="en-US"/>
        </w:rPr>
        <w:lastRenderedPageBreak/>
        <w:t xml:space="preserve">[14] </w:t>
      </w:r>
      <w:r w:rsidRPr="00DE7C40">
        <w:rPr>
          <w:sz w:val="22"/>
          <w:szCs w:val="22"/>
        </w:rPr>
        <w:t>Rothman KJ, Greenland S, editors. Modern epidemiology. 2</w:t>
      </w:r>
      <w:r w:rsidRPr="00DE7C40">
        <w:rPr>
          <w:sz w:val="22"/>
          <w:szCs w:val="22"/>
          <w:vertAlign w:val="superscript"/>
        </w:rPr>
        <w:t>nd</w:t>
      </w:r>
      <w:r w:rsidRPr="00DE7C40">
        <w:rPr>
          <w:sz w:val="22"/>
          <w:szCs w:val="22"/>
        </w:rPr>
        <w:t xml:space="preserve"> ed. Philadelphia: Lippincott-Raven; 1998.  </w:t>
      </w:r>
    </w:p>
    <w:p w14:paraId="6404D4E2" w14:textId="77777777" w:rsidR="00583B86" w:rsidRPr="00D94B08" w:rsidRDefault="00583B86" w:rsidP="00C3772E">
      <w:pPr>
        <w:spacing w:line="276" w:lineRule="auto"/>
        <w:jc w:val="both"/>
        <w:rPr>
          <w:sz w:val="22"/>
          <w:szCs w:val="22"/>
          <w:lang w:val="en-US"/>
        </w:rPr>
      </w:pPr>
    </w:p>
    <w:p w14:paraId="2867D3EB" w14:textId="77777777" w:rsidR="00583B86" w:rsidRPr="00D94B08" w:rsidRDefault="00583B86" w:rsidP="00176CF4">
      <w:pPr>
        <w:spacing w:line="276" w:lineRule="auto"/>
        <w:jc w:val="both"/>
        <w:rPr>
          <w:sz w:val="22"/>
          <w:szCs w:val="22"/>
        </w:rPr>
      </w:pPr>
      <w:r w:rsidRPr="00D94B08">
        <w:rPr>
          <w:sz w:val="22"/>
          <w:szCs w:val="22"/>
        </w:rPr>
        <w:t>[</w:t>
      </w:r>
      <w:r>
        <w:rPr>
          <w:sz w:val="22"/>
          <w:szCs w:val="22"/>
        </w:rPr>
        <w:t>15</w:t>
      </w:r>
      <w:r w:rsidRPr="00D94B08">
        <w:rPr>
          <w:sz w:val="22"/>
          <w:szCs w:val="22"/>
        </w:rPr>
        <w:t xml:space="preserve">] Bliuc D, Nguyen TV, Eisman JA, Center JR. The impact of nonhip nonvertebral fractures in elderly women and men. J Clin Endocrinol Metab 2014, 99: 415-423. </w:t>
      </w:r>
    </w:p>
    <w:p w14:paraId="3239B4D7" w14:textId="77777777" w:rsidR="00583B86" w:rsidRPr="00D94B08" w:rsidRDefault="00583B86" w:rsidP="00176CF4">
      <w:pPr>
        <w:spacing w:line="276" w:lineRule="auto"/>
        <w:jc w:val="both"/>
        <w:rPr>
          <w:sz w:val="22"/>
          <w:szCs w:val="22"/>
        </w:rPr>
      </w:pPr>
    </w:p>
    <w:p w14:paraId="6ADB671B" w14:textId="77777777" w:rsidR="00583B86" w:rsidRPr="00D94B08" w:rsidRDefault="00583B86" w:rsidP="00C3772E">
      <w:pPr>
        <w:spacing w:line="276" w:lineRule="auto"/>
        <w:jc w:val="both"/>
        <w:rPr>
          <w:sz w:val="22"/>
          <w:szCs w:val="22"/>
        </w:rPr>
      </w:pPr>
      <w:r w:rsidRPr="00D94B08">
        <w:rPr>
          <w:sz w:val="22"/>
          <w:szCs w:val="22"/>
        </w:rPr>
        <w:t>[</w:t>
      </w:r>
      <w:r>
        <w:rPr>
          <w:sz w:val="22"/>
          <w:szCs w:val="22"/>
        </w:rPr>
        <w:t>16</w:t>
      </w:r>
      <w:r w:rsidRPr="00D94B08">
        <w:rPr>
          <w:sz w:val="22"/>
          <w:szCs w:val="22"/>
        </w:rPr>
        <w:t xml:space="preserve">] Sattui SE, Saag KG. Fracture mortality: associations with epidemiology and osteoporosis treatment. Nat Rev Endocrinol 2014; 10: 592-602. </w:t>
      </w:r>
    </w:p>
    <w:p w14:paraId="7E0F7030" w14:textId="77777777" w:rsidR="00583B86" w:rsidRPr="00D94B08" w:rsidRDefault="00583B86" w:rsidP="00C3772E">
      <w:pPr>
        <w:spacing w:line="276" w:lineRule="auto"/>
        <w:jc w:val="both"/>
        <w:rPr>
          <w:sz w:val="22"/>
          <w:szCs w:val="22"/>
        </w:rPr>
      </w:pPr>
    </w:p>
    <w:p w14:paraId="314FEB88" w14:textId="77777777" w:rsidR="00583B86" w:rsidRPr="00D94B08" w:rsidRDefault="00583B86" w:rsidP="00C3772E">
      <w:pPr>
        <w:spacing w:line="276" w:lineRule="auto"/>
        <w:jc w:val="both"/>
        <w:rPr>
          <w:sz w:val="22"/>
          <w:szCs w:val="22"/>
        </w:rPr>
      </w:pPr>
      <w:r w:rsidRPr="00D94B08">
        <w:rPr>
          <w:sz w:val="22"/>
          <w:szCs w:val="22"/>
        </w:rPr>
        <w:t>[</w:t>
      </w:r>
      <w:r>
        <w:rPr>
          <w:sz w:val="22"/>
          <w:szCs w:val="22"/>
        </w:rPr>
        <w:t>17</w:t>
      </w:r>
      <w:r w:rsidRPr="00D94B08">
        <w:rPr>
          <w:sz w:val="22"/>
          <w:szCs w:val="22"/>
        </w:rPr>
        <w:t>] Roche JJW, Wenn RT, Sahota O, Mora CG. Effect of comorbidities and postoperative complications on mortality after hip fracture in elderly people: prospective observational cohort study. BMJ. doi:10.1136/bmj.38643.663843.55 (published 18 November 2005).</w:t>
      </w:r>
    </w:p>
    <w:p w14:paraId="620B9141" w14:textId="77777777" w:rsidR="00583B86" w:rsidRPr="00D94B08" w:rsidRDefault="00583B86" w:rsidP="00C3772E">
      <w:pPr>
        <w:spacing w:line="276" w:lineRule="auto"/>
        <w:jc w:val="both"/>
        <w:rPr>
          <w:sz w:val="22"/>
          <w:szCs w:val="22"/>
        </w:rPr>
      </w:pPr>
    </w:p>
    <w:p w14:paraId="70D04413" w14:textId="77777777" w:rsidR="00583B86" w:rsidRPr="00D94B08" w:rsidRDefault="00583B86" w:rsidP="00C3772E">
      <w:pPr>
        <w:rPr>
          <w:sz w:val="22"/>
          <w:szCs w:val="22"/>
        </w:rPr>
      </w:pPr>
      <w:r>
        <w:rPr>
          <w:sz w:val="22"/>
          <w:szCs w:val="22"/>
        </w:rPr>
        <w:t>[18</w:t>
      </w:r>
      <w:r w:rsidRPr="00D94B08">
        <w:rPr>
          <w:sz w:val="22"/>
          <w:szCs w:val="22"/>
        </w:rPr>
        <w:t xml:space="preserve">] Sterling RS. Gender and race/ethnicity differences in hip fracture incidence, morbidity, mortality, and function. Clin Orthop Relat Res 2011; 469: 1913-8. </w:t>
      </w:r>
    </w:p>
    <w:p w14:paraId="00D08877" w14:textId="77777777" w:rsidR="00583B86" w:rsidRPr="00D94B08" w:rsidRDefault="00583B86" w:rsidP="00C3772E">
      <w:pPr>
        <w:spacing w:line="276" w:lineRule="auto"/>
        <w:jc w:val="both"/>
        <w:rPr>
          <w:sz w:val="22"/>
          <w:szCs w:val="22"/>
        </w:rPr>
      </w:pPr>
    </w:p>
    <w:p w14:paraId="5B0FDE92" w14:textId="77777777" w:rsidR="00583B86" w:rsidRPr="00D94B08" w:rsidRDefault="00583B86" w:rsidP="00C3772E">
      <w:pPr>
        <w:rPr>
          <w:sz w:val="22"/>
          <w:szCs w:val="22"/>
        </w:rPr>
      </w:pPr>
      <w:r>
        <w:rPr>
          <w:sz w:val="22"/>
          <w:szCs w:val="22"/>
        </w:rPr>
        <w:t>[19</w:t>
      </w:r>
      <w:r w:rsidRPr="00D94B08">
        <w:rPr>
          <w:sz w:val="22"/>
          <w:szCs w:val="22"/>
        </w:rPr>
        <w:t>] Penrod JD, Litke A, Hawkes WG, Magaziner J, Doucette JT, Koval KJ, et al. The association of race, gender, and comorbidity with mortality and function after hip fracture. J Gerontol A Biol Sci Med Sci 2008; 63:867-72.</w:t>
      </w:r>
    </w:p>
    <w:p w14:paraId="0ADA80BA" w14:textId="77777777" w:rsidR="00583B86" w:rsidRPr="00D94B08" w:rsidRDefault="00583B86" w:rsidP="00C3772E">
      <w:pPr>
        <w:rPr>
          <w:sz w:val="22"/>
          <w:szCs w:val="22"/>
        </w:rPr>
      </w:pPr>
    </w:p>
    <w:p w14:paraId="7B891DE8" w14:textId="77777777" w:rsidR="00583B86" w:rsidRPr="00D94B08" w:rsidRDefault="00583B86" w:rsidP="00C3772E">
      <w:pPr>
        <w:autoSpaceDE w:val="0"/>
        <w:autoSpaceDN w:val="0"/>
        <w:adjustRightInd w:val="0"/>
        <w:rPr>
          <w:color w:val="000000"/>
          <w:sz w:val="22"/>
          <w:szCs w:val="22"/>
          <w:lang w:val="en-US" w:eastAsia="nl-NL"/>
        </w:rPr>
      </w:pPr>
      <w:r>
        <w:rPr>
          <w:sz w:val="22"/>
          <w:szCs w:val="22"/>
        </w:rPr>
        <w:t>[20</w:t>
      </w:r>
      <w:r w:rsidRPr="00D94B08">
        <w:rPr>
          <w:sz w:val="22"/>
          <w:szCs w:val="22"/>
        </w:rPr>
        <w:t xml:space="preserve">] </w:t>
      </w:r>
      <w:r w:rsidRPr="00D94B08">
        <w:rPr>
          <w:color w:val="000000"/>
          <w:sz w:val="22"/>
          <w:szCs w:val="22"/>
          <w:lang w:val="en-US" w:eastAsia="nl-NL"/>
        </w:rPr>
        <w:t>Jacobsen SJ, Goldberg J, Miles TP, Brody JA, Stiers W, Rimm AA. Race and sex differences in</w:t>
      </w:r>
    </w:p>
    <w:p w14:paraId="564D5247" w14:textId="77777777" w:rsidR="00583B86" w:rsidRPr="00D94B08" w:rsidRDefault="00583B86" w:rsidP="00C3772E">
      <w:pPr>
        <w:rPr>
          <w:sz w:val="22"/>
          <w:szCs w:val="22"/>
        </w:rPr>
      </w:pPr>
      <w:r w:rsidRPr="00D94B08">
        <w:rPr>
          <w:color w:val="000000"/>
          <w:sz w:val="22"/>
          <w:szCs w:val="22"/>
          <w:lang w:val="en-US" w:eastAsia="nl-NL"/>
        </w:rPr>
        <w:t>mortality following fracture of the hip. Am J Public Health. 1992; 82:1147–1150.</w:t>
      </w:r>
      <w:r w:rsidRPr="00D94B08">
        <w:rPr>
          <w:sz w:val="22"/>
          <w:szCs w:val="22"/>
        </w:rPr>
        <w:t xml:space="preserve"> </w:t>
      </w:r>
    </w:p>
    <w:p w14:paraId="6F5A5784" w14:textId="77777777" w:rsidR="00583B86" w:rsidRPr="00D94B08" w:rsidRDefault="00583B86" w:rsidP="00C3772E">
      <w:pPr>
        <w:rPr>
          <w:sz w:val="22"/>
          <w:szCs w:val="22"/>
        </w:rPr>
      </w:pPr>
    </w:p>
    <w:p w14:paraId="77DC481A" w14:textId="77777777" w:rsidR="00583B86" w:rsidRPr="00D94B08" w:rsidRDefault="00583B86" w:rsidP="00C3772E">
      <w:pPr>
        <w:autoSpaceDE w:val="0"/>
        <w:autoSpaceDN w:val="0"/>
        <w:adjustRightInd w:val="0"/>
        <w:rPr>
          <w:color w:val="000000"/>
          <w:sz w:val="22"/>
          <w:szCs w:val="22"/>
          <w:lang w:val="en-US" w:eastAsia="nl-NL"/>
        </w:rPr>
      </w:pPr>
      <w:r>
        <w:rPr>
          <w:sz w:val="22"/>
          <w:szCs w:val="22"/>
        </w:rPr>
        <w:t>[21</w:t>
      </w:r>
      <w:r w:rsidRPr="00D94B08">
        <w:rPr>
          <w:sz w:val="22"/>
          <w:szCs w:val="22"/>
        </w:rPr>
        <w:t xml:space="preserve">] </w:t>
      </w:r>
      <w:r w:rsidRPr="00D94B08">
        <w:rPr>
          <w:color w:val="000000"/>
          <w:sz w:val="22"/>
          <w:szCs w:val="22"/>
          <w:lang w:val="en-US" w:eastAsia="nl-NL"/>
        </w:rPr>
        <w:t>Lu-Yao GL, Baron JA, Barrett JA, Fisher ES. Treatment and survival among elderly Americans</w:t>
      </w:r>
    </w:p>
    <w:p w14:paraId="58C7160A" w14:textId="77777777" w:rsidR="00583B86" w:rsidRPr="00D94B08" w:rsidRDefault="00583B86" w:rsidP="00C3772E">
      <w:pPr>
        <w:autoSpaceDE w:val="0"/>
        <w:autoSpaceDN w:val="0"/>
        <w:adjustRightInd w:val="0"/>
        <w:rPr>
          <w:color w:val="000000"/>
          <w:sz w:val="22"/>
          <w:szCs w:val="22"/>
          <w:lang w:val="en-US" w:eastAsia="nl-NL"/>
        </w:rPr>
      </w:pPr>
      <w:r w:rsidRPr="00D94B08">
        <w:rPr>
          <w:color w:val="000000"/>
          <w:sz w:val="22"/>
          <w:szCs w:val="22"/>
          <w:lang w:val="en-US" w:eastAsia="nl-NL"/>
        </w:rPr>
        <w:t>with hip fractures: a population-based study. Am J Public Health. 1994; 84:1287–1291</w:t>
      </w:r>
    </w:p>
    <w:p w14:paraId="68A55C91" w14:textId="77777777" w:rsidR="00583B86" w:rsidRPr="00D94B08" w:rsidRDefault="00583B86" w:rsidP="00C3772E">
      <w:pPr>
        <w:rPr>
          <w:sz w:val="22"/>
          <w:szCs w:val="22"/>
        </w:rPr>
      </w:pPr>
    </w:p>
    <w:p w14:paraId="2ADD05D6" w14:textId="77777777" w:rsidR="00583B86" w:rsidRPr="00D94B08" w:rsidRDefault="00583B86" w:rsidP="00C3772E">
      <w:pPr>
        <w:spacing w:line="276" w:lineRule="auto"/>
        <w:rPr>
          <w:sz w:val="22"/>
          <w:szCs w:val="22"/>
          <w:lang w:val="en-US"/>
        </w:rPr>
      </w:pPr>
      <w:r>
        <w:rPr>
          <w:sz w:val="22"/>
          <w:szCs w:val="22"/>
        </w:rPr>
        <w:t>[22</w:t>
      </w:r>
      <w:r w:rsidRPr="00D94B08">
        <w:rPr>
          <w:sz w:val="22"/>
          <w:szCs w:val="22"/>
        </w:rPr>
        <w:t xml:space="preserve">] </w:t>
      </w:r>
      <w:r w:rsidRPr="00D94B08">
        <w:rPr>
          <w:sz w:val="22"/>
          <w:szCs w:val="22"/>
          <w:lang w:val="en-US"/>
        </w:rPr>
        <w:t xml:space="preserve">Sullivan KJ, Husak LE, Altebarmakian M, Brox WT. Demographic factors in hip fracture incidence and mortality rates in California, 2000-2011. J Orthop Surg Res. 2016; 11:4. </w:t>
      </w:r>
    </w:p>
    <w:p w14:paraId="7C35B071" w14:textId="77777777" w:rsidR="00583B86" w:rsidRPr="00D94B08" w:rsidRDefault="00583B86" w:rsidP="00C3772E">
      <w:pPr>
        <w:spacing w:line="276" w:lineRule="auto"/>
        <w:jc w:val="both"/>
        <w:rPr>
          <w:sz w:val="22"/>
          <w:szCs w:val="22"/>
        </w:rPr>
      </w:pPr>
    </w:p>
    <w:p w14:paraId="32BEC6C1" w14:textId="77777777" w:rsidR="00583B86" w:rsidRPr="00D94B08" w:rsidRDefault="00583B86" w:rsidP="00C3772E">
      <w:pPr>
        <w:autoSpaceDE w:val="0"/>
        <w:autoSpaceDN w:val="0"/>
        <w:adjustRightInd w:val="0"/>
        <w:rPr>
          <w:color w:val="000000"/>
          <w:sz w:val="22"/>
          <w:szCs w:val="22"/>
          <w:lang w:val="en-US" w:eastAsia="nl-NL"/>
        </w:rPr>
      </w:pPr>
      <w:r>
        <w:rPr>
          <w:sz w:val="22"/>
          <w:szCs w:val="22"/>
        </w:rPr>
        <w:t>[23</w:t>
      </w:r>
      <w:r w:rsidRPr="00D94B08">
        <w:rPr>
          <w:sz w:val="22"/>
          <w:szCs w:val="22"/>
        </w:rPr>
        <w:t xml:space="preserve">] </w:t>
      </w:r>
      <w:r w:rsidRPr="00D94B08">
        <w:rPr>
          <w:color w:val="000000"/>
          <w:sz w:val="22"/>
          <w:szCs w:val="22"/>
          <w:lang w:val="en-US" w:eastAsia="nl-NL"/>
        </w:rPr>
        <w:t>Hoenig H, Rubenstein L, Kahn K. Rehabilitation after hip fracture–equal opportunity for all? Arch</w:t>
      </w:r>
    </w:p>
    <w:p w14:paraId="5BDB9C93" w14:textId="77777777" w:rsidR="00583B86" w:rsidRPr="00D94B08" w:rsidRDefault="00583B86" w:rsidP="00C3772E">
      <w:pPr>
        <w:autoSpaceDE w:val="0"/>
        <w:autoSpaceDN w:val="0"/>
        <w:adjustRightInd w:val="0"/>
        <w:rPr>
          <w:color w:val="000000"/>
          <w:sz w:val="22"/>
          <w:szCs w:val="22"/>
          <w:lang w:val="en-US" w:eastAsia="nl-NL"/>
        </w:rPr>
      </w:pPr>
      <w:r w:rsidRPr="00D94B08">
        <w:rPr>
          <w:color w:val="000000"/>
          <w:sz w:val="22"/>
          <w:szCs w:val="22"/>
          <w:lang w:val="en-US" w:eastAsia="nl-NL"/>
        </w:rPr>
        <w:t>Phys Med Rehabil. 1996; 77:58–63.</w:t>
      </w:r>
    </w:p>
    <w:p w14:paraId="131291AA" w14:textId="77777777" w:rsidR="00583B86" w:rsidRPr="00D94B08" w:rsidRDefault="00583B86" w:rsidP="00C3772E">
      <w:pPr>
        <w:spacing w:line="276" w:lineRule="auto"/>
        <w:jc w:val="both"/>
        <w:rPr>
          <w:sz w:val="22"/>
          <w:szCs w:val="22"/>
        </w:rPr>
      </w:pPr>
    </w:p>
    <w:p w14:paraId="4A6AED91" w14:textId="77777777" w:rsidR="00583B86" w:rsidRPr="00D94B08" w:rsidRDefault="00583B86" w:rsidP="00C3772E">
      <w:pPr>
        <w:autoSpaceDE w:val="0"/>
        <w:autoSpaceDN w:val="0"/>
        <w:adjustRightInd w:val="0"/>
        <w:rPr>
          <w:color w:val="000000"/>
          <w:sz w:val="22"/>
          <w:szCs w:val="22"/>
          <w:lang w:val="en-US" w:eastAsia="nl-NL"/>
        </w:rPr>
      </w:pPr>
      <w:r>
        <w:rPr>
          <w:sz w:val="22"/>
          <w:szCs w:val="22"/>
        </w:rPr>
        <w:t>[24</w:t>
      </w:r>
      <w:r w:rsidRPr="00D94B08">
        <w:rPr>
          <w:sz w:val="22"/>
          <w:szCs w:val="22"/>
        </w:rPr>
        <w:t xml:space="preserve">] </w:t>
      </w:r>
      <w:r w:rsidRPr="00D94B08">
        <w:rPr>
          <w:color w:val="000000"/>
          <w:sz w:val="22"/>
          <w:szCs w:val="22"/>
          <w:lang w:val="en-US" w:eastAsia="nl-NL"/>
        </w:rPr>
        <w:t>Harada ND, Chun A, Chiu V, Pakalniskis A. Patterns of rehabilitation utilization after hip fracture</w:t>
      </w:r>
    </w:p>
    <w:p w14:paraId="0328A01B" w14:textId="77777777" w:rsidR="00583B86" w:rsidRPr="00D94B08" w:rsidRDefault="00583B86" w:rsidP="00C3772E">
      <w:pPr>
        <w:autoSpaceDE w:val="0"/>
        <w:autoSpaceDN w:val="0"/>
        <w:adjustRightInd w:val="0"/>
        <w:rPr>
          <w:color w:val="000000"/>
          <w:sz w:val="22"/>
          <w:szCs w:val="22"/>
          <w:lang w:eastAsia="nl-NL"/>
        </w:rPr>
      </w:pPr>
      <w:r w:rsidRPr="00D94B08">
        <w:rPr>
          <w:color w:val="000000"/>
          <w:sz w:val="22"/>
          <w:szCs w:val="22"/>
          <w:lang w:val="en-US" w:eastAsia="nl-NL"/>
        </w:rPr>
        <w:t xml:space="preserve">in acute hospitals and skilled nursing facilities. </w:t>
      </w:r>
      <w:r w:rsidRPr="00D94B08">
        <w:rPr>
          <w:color w:val="000000"/>
          <w:sz w:val="22"/>
          <w:szCs w:val="22"/>
          <w:lang w:eastAsia="nl-NL"/>
        </w:rPr>
        <w:t>Med Care. 2000; 38:1119–1130.</w:t>
      </w:r>
    </w:p>
    <w:p w14:paraId="4892E9C6" w14:textId="77777777" w:rsidR="00583B86" w:rsidRPr="00D94B08" w:rsidRDefault="00583B86" w:rsidP="00C3772E">
      <w:pPr>
        <w:autoSpaceDE w:val="0"/>
        <w:autoSpaceDN w:val="0"/>
        <w:adjustRightInd w:val="0"/>
        <w:rPr>
          <w:color w:val="000000"/>
          <w:sz w:val="22"/>
          <w:szCs w:val="22"/>
          <w:lang w:eastAsia="nl-NL"/>
        </w:rPr>
      </w:pPr>
    </w:p>
    <w:p w14:paraId="471F3317" w14:textId="77777777" w:rsidR="00583B86" w:rsidRPr="00D94B08" w:rsidRDefault="00583B86" w:rsidP="00C3772E">
      <w:pPr>
        <w:autoSpaceDE w:val="0"/>
        <w:autoSpaceDN w:val="0"/>
        <w:adjustRightInd w:val="0"/>
        <w:rPr>
          <w:color w:val="000000"/>
          <w:sz w:val="22"/>
          <w:szCs w:val="22"/>
          <w:lang w:eastAsia="nl-NL"/>
        </w:rPr>
      </w:pPr>
      <w:r>
        <w:rPr>
          <w:color w:val="000000"/>
          <w:sz w:val="22"/>
          <w:szCs w:val="22"/>
          <w:lang w:eastAsia="nl-NL"/>
        </w:rPr>
        <w:t>[25</w:t>
      </w:r>
      <w:r w:rsidRPr="00D94B08">
        <w:rPr>
          <w:color w:val="000000"/>
          <w:sz w:val="22"/>
          <w:szCs w:val="22"/>
          <w:lang w:eastAsia="nl-NL"/>
        </w:rPr>
        <w:t xml:space="preserve">] </w:t>
      </w:r>
      <w:r w:rsidRPr="00D94B08">
        <w:rPr>
          <w:sz w:val="22"/>
          <w:szCs w:val="22"/>
        </w:rPr>
        <w:t>Office of National Statistics. Statistical bulletin: deaths registered in England and Wales: 2014</w:t>
      </w:r>
    </w:p>
    <w:p w14:paraId="12F7C1E4" w14:textId="77777777" w:rsidR="00583B86" w:rsidRPr="00D94B08" w:rsidRDefault="00583B86" w:rsidP="00C3772E">
      <w:pPr>
        <w:spacing w:line="276" w:lineRule="auto"/>
        <w:jc w:val="both"/>
        <w:rPr>
          <w:sz w:val="22"/>
          <w:szCs w:val="22"/>
        </w:rPr>
      </w:pPr>
    </w:p>
    <w:p w14:paraId="45D5F4B6" w14:textId="77777777" w:rsidR="00583B86" w:rsidRPr="00D94B08" w:rsidRDefault="00583B86" w:rsidP="00C3772E">
      <w:pPr>
        <w:spacing w:line="276" w:lineRule="auto"/>
        <w:rPr>
          <w:sz w:val="22"/>
          <w:szCs w:val="22"/>
          <w:lang w:val="en-US"/>
        </w:rPr>
      </w:pPr>
      <w:r>
        <w:rPr>
          <w:sz w:val="22"/>
          <w:szCs w:val="22"/>
        </w:rPr>
        <w:t>[26</w:t>
      </w:r>
      <w:r w:rsidRPr="00D94B08">
        <w:rPr>
          <w:sz w:val="22"/>
          <w:szCs w:val="22"/>
        </w:rPr>
        <w:t xml:space="preserve">] </w:t>
      </w:r>
      <w:r w:rsidRPr="00D94B08">
        <w:rPr>
          <w:sz w:val="22"/>
          <w:szCs w:val="22"/>
          <w:lang w:val="en-US"/>
        </w:rPr>
        <w:t xml:space="preserve">Wu TY, Jen MH, Bottle A, Liaw CK, Aylin P, Majeed A. Admission rates and in-hospital mortality for hip fractures in England 1998 to 2009: time trends study. J Public Health (Oxf) 2010; </w:t>
      </w:r>
      <w:r w:rsidRPr="00D94B08">
        <w:rPr>
          <w:b/>
          <w:sz w:val="22"/>
          <w:szCs w:val="22"/>
          <w:lang w:val="en-US"/>
        </w:rPr>
        <w:t>33:</w:t>
      </w:r>
      <w:r w:rsidRPr="00D94B08">
        <w:rPr>
          <w:sz w:val="22"/>
          <w:szCs w:val="22"/>
          <w:lang w:val="en-US"/>
        </w:rPr>
        <w:t xml:space="preserve"> 284-91. </w:t>
      </w:r>
    </w:p>
    <w:p w14:paraId="3C19BC64" w14:textId="77777777" w:rsidR="00583B86" w:rsidRPr="00D94B08" w:rsidRDefault="00583B86" w:rsidP="00176CF4">
      <w:pPr>
        <w:spacing w:line="276" w:lineRule="auto"/>
        <w:jc w:val="both"/>
        <w:rPr>
          <w:sz w:val="22"/>
          <w:szCs w:val="22"/>
        </w:rPr>
      </w:pPr>
    </w:p>
    <w:p w14:paraId="425D0CBD" w14:textId="77777777" w:rsidR="00583B86" w:rsidRPr="00D94B08" w:rsidRDefault="00583B86" w:rsidP="00C3772E">
      <w:pPr>
        <w:autoSpaceDE w:val="0"/>
        <w:autoSpaceDN w:val="0"/>
        <w:adjustRightInd w:val="0"/>
        <w:rPr>
          <w:color w:val="000000"/>
          <w:sz w:val="22"/>
          <w:szCs w:val="22"/>
          <w:lang w:val="en-US" w:eastAsia="nl-NL"/>
        </w:rPr>
      </w:pPr>
      <w:r>
        <w:rPr>
          <w:sz w:val="22"/>
          <w:szCs w:val="22"/>
        </w:rPr>
        <w:t>[27</w:t>
      </w:r>
      <w:r w:rsidRPr="00D94B08">
        <w:rPr>
          <w:sz w:val="22"/>
          <w:szCs w:val="22"/>
        </w:rPr>
        <w:t xml:space="preserve">] </w:t>
      </w:r>
      <w:r w:rsidRPr="00D94B08">
        <w:rPr>
          <w:color w:val="000000"/>
          <w:sz w:val="22"/>
          <w:szCs w:val="22"/>
          <w:lang w:val="en-US" w:eastAsia="nl-NL"/>
        </w:rPr>
        <w:t xml:space="preserve">Chau PH, Wong M, Lee A, Ling M, Woo J. Trends in hip fracture incidence and mortality in Chinese population from Hong Kong 2001-2009. Age Ageing 2013; 42: 229-33. </w:t>
      </w:r>
    </w:p>
    <w:p w14:paraId="06BE8249" w14:textId="77777777" w:rsidR="00583B86" w:rsidRPr="00D94B08" w:rsidRDefault="00583B86" w:rsidP="00176CF4">
      <w:pPr>
        <w:spacing w:line="276" w:lineRule="auto"/>
        <w:jc w:val="both"/>
        <w:rPr>
          <w:sz w:val="22"/>
          <w:szCs w:val="22"/>
        </w:rPr>
      </w:pPr>
    </w:p>
    <w:p w14:paraId="5598D2E8" w14:textId="77777777" w:rsidR="00583B86" w:rsidRPr="00D94B08" w:rsidRDefault="00583B86" w:rsidP="00C3772E">
      <w:pPr>
        <w:autoSpaceDE w:val="0"/>
        <w:autoSpaceDN w:val="0"/>
        <w:adjustRightInd w:val="0"/>
        <w:rPr>
          <w:color w:val="000000"/>
          <w:sz w:val="22"/>
          <w:szCs w:val="22"/>
          <w:lang w:val="en-US" w:eastAsia="nl-NL"/>
        </w:rPr>
      </w:pPr>
      <w:r>
        <w:rPr>
          <w:sz w:val="22"/>
          <w:szCs w:val="22"/>
        </w:rPr>
        <w:t>[28</w:t>
      </w:r>
      <w:r w:rsidRPr="00D94B08">
        <w:rPr>
          <w:sz w:val="22"/>
          <w:szCs w:val="22"/>
        </w:rPr>
        <w:t xml:space="preserve">] </w:t>
      </w:r>
      <w:r w:rsidRPr="00D94B08">
        <w:rPr>
          <w:color w:val="000000"/>
          <w:sz w:val="22"/>
          <w:szCs w:val="22"/>
          <w:lang w:val="en-US" w:eastAsia="nl-NL"/>
        </w:rPr>
        <w:t xml:space="preserve">Gordon J, Pham CT, Karnon J, Crotty M. Monitoring progress in the management of hip frcture in South Australia, Australia. Arch Osteoporos 2012; 7: 267-73. </w:t>
      </w:r>
    </w:p>
    <w:p w14:paraId="62DFE472" w14:textId="77777777" w:rsidR="00583B86" w:rsidRPr="00D94B08" w:rsidRDefault="00583B86" w:rsidP="00C3772E">
      <w:pPr>
        <w:autoSpaceDE w:val="0"/>
        <w:autoSpaceDN w:val="0"/>
        <w:adjustRightInd w:val="0"/>
        <w:rPr>
          <w:color w:val="000000"/>
          <w:sz w:val="22"/>
          <w:szCs w:val="22"/>
          <w:lang w:val="en-US" w:eastAsia="nl-NL"/>
        </w:rPr>
      </w:pPr>
    </w:p>
    <w:p w14:paraId="424BE545" w14:textId="77777777" w:rsidR="00583B86" w:rsidRPr="00D94B08" w:rsidRDefault="00583B86" w:rsidP="00C3772E">
      <w:pPr>
        <w:autoSpaceDE w:val="0"/>
        <w:autoSpaceDN w:val="0"/>
        <w:adjustRightInd w:val="0"/>
        <w:rPr>
          <w:color w:val="000000"/>
          <w:sz w:val="22"/>
          <w:szCs w:val="22"/>
          <w:lang w:val="nl-NL" w:eastAsia="nl-NL"/>
        </w:rPr>
      </w:pPr>
      <w:r>
        <w:rPr>
          <w:color w:val="000000"/>
          <w:sz w:val="22"/>
          <w:szCs w:val="22"/>
          <w:lang w:val="en-US" w:eastAsia="nl-NL"/>
        </w:rPr>
        <w:lastRenderedPageBreak/>
        <w:t>[29</w:t>
      </w:r>
      <w:r w:rsidRPr="00D94B08">
        <w:rPr>
          <w:color w:val="000000"/>
          <w:sz w:val="22"/>
          <w:szCs w:val="22"/>
          <w:lang w:val="en-US" w:eastAsia="nl-NL"/>
        </w:rPr>
        <w:t xml:space="preserve">] Brauer CA, Coca-Perraillon M, Cutlet DM, Rosen AB. Incidence and mortality of hip fractures in the United States. </w:t>
      </w:r>
      <w:r w:rsidRPr="00D94B08">
        <w:rPr>
          <w:color w:val="000000"/>
          <w:sz w:val="22"/>
          <w:szCs w:val="22"/>
          <w:lang w:val="nl-NL" w:eastAsia="nl-NL"/>
        </w:rPr>
        <w:t xml:space="preserve">JAMA 2009; 302: 1573-79. </w:t>
      </w:r>
    </w:p>
    <w:p w14:paraId="74A76B91" w14:textId="77777777" w:rsidR="00583B86" w:rsidRPr="00D94B08" w:rsidRDefault="00583B86" w:rsidP="00C3772E">
      <w:pPr>
        <w:autoSpaceDE w:val="0"/>
        <w:autoSpaceDN w:val="0"/>
        <w:adjustRightInd w:val="0"/>
        <w:rPr>
          <w:color w:val="000000"/>
          <w:sz w:val="22"/>
          <w:szCs w:val="22"/>
          <w:lang w:val="nl-NL" w:eastAsia="nl-NL"/>
        </w:rPr>
      </w:pPr>
    </w:p>
    <w:p w14:paraId="55D6A245" w14:textId="77777777" w:rsidR="00583B86" w:rsidRPr="00D94B08" w:rsidRDefault="00583B86" w:rsidP="00C3772E">
      <w:pPr>
        <w:autoSpaceDE w:val="0"/>
        <w:autoSpaceDN w:val="0"/>
        <w:adjustRightInd w:val="0"/>
        <w:rPr>
          <w:color w:val="000000"/>
          <w:sz w:val="22"/>
          <w:szCs w:val="22"/>
          <w:lang w:val="en-US" w:eastAsia="nl-NL"/>
        </w:rPr>
      </w:pPr>
      <w:r>
        <w:rPr>
          <w:sz w:val="22"/>
          <w:szCs w:val="22"/>
          <w:lang w:val="nl-NL"/>
        </w:rPr>
        <w:t>[30</w:t>
      </w:r>
      <w:r w:rsidRPr="00D94B08">
        <w:rPr>
          <w:sz w:val="22"/>
          <w:szCs w:val="22"/>
          <w:lang w:val="nl-NL"/>
        </w:rPr>
        <w:t xml:space="preserve">] </w:t>
      </w:r>
      <w:r w:rsidRPr="00D94B08">
        <w:rPr>
          <w:color w:val="000000"/>
          <w:sz w:val="22"/>
          <w:szCs w:val="22"/>
          <w:lang w:val="nl-NL" w:eastAsia="nl-NL"/>
        </w:rPr>
        <w:t xml:space="preserve">Huntjens KMB, van Geel TACM, van den  Bergh JPW, van Helden S, Willems P, et al. </w:t>
      </w:r>
      <w:r w:rsidRPr="00D94B08">
        <w:rPr>
          <w:color w:val="000000"/>
          <w:sz w:val="22"/>
          <w:szCs w:val="22"/>
          <w:lang w:val="en-US" w:eastAsia="nl-NL"/>
        </w:rPr>
        <w:t>Fracture Liaison Service: Impact on Subsequent Nonvertebral Fracture Incidence and Mortality. J Bone Joint Surg Am. 2014; 96:e29(1-8).</w:t>
      </w:r>
    </w:p>
    <w:p w14:paraId="261C1001" w14:textId="77777777" w:rsidR="00583B86" w:rsidRPr="00D94B08" w:rsidRDefault="00583B86" w:rsidP="00C3772E">
      <w:pPr>
        <w:autoSpaceDE w:val="0"/>
        <w:autoSpaceDN w:val="0"/>
        <w:adjustRightInd w:val="0"/>
        <w:rPr>
          <w:color w:val="000000"/>
          <w:sz w:val="22"/>
          <w:szCs w:val="22"/>
          <w:lang w:val="en-US" w:eastAsia="nl-NL"/>
        </w:rPr>
      </w:pPr>
    </w:p>
    <w:p w14:paraId="1D9EAF29" w14:textId="77777777" w:rsidR="00583B86" w:rsidRPr="00D94B08" w:rsidRDefault="00583B86" w:rsidP="00C3772E">
      <w:pPr>
        <w:autoSpaceDE w:val="0"/>
        <w:autoSpaceDN w:val="0"/>
        <w:adjustRightInd w:val="0"/>
        <w:rPr>
          <w:color w:val="000000"/>
          <w:sz w:val="22"/>
          <w:szCs w:val="22"/>
          <w:lang w:val="en-US" w:eastAsia="nl-NL"/>
        </w:rPr>
      </w:pPr>
      <w:r>
        <w:rPr>
          <w:color w:val="000000"/>
          <w:sz w:val="22"/>
          <w:szCs w:val="22"/>
          <w:lang w:val="en-US" w:eastAsia="nl-NL"/>
        </w:rPr>
        <w:t>[31</w:t>
      </w:r>
      <w:r w:rsidRPr="00D94B08">
        <w:rPr>
          <w:color w:val="000000"/>
          <w:sz w:val="22"/>
          <w:szCs w:val="22"/>
          <w:lang w:val="en-US" w:eastAsia="nl-NL"/>
        </w:rPr>
        <w:t xml:space="preserve">] Javaid MK, Kyer C, Mitchell PJ, Chana J, Moss C, Edwards MH, et al. Effective secondary fracture prevention: implementation of a global benchmarking of clinical quality using the IOF Capture the Fracture Best Practice Framework tool. Osteoporos Int 2015; 26: 2573-8. </w:t>
      </w:r>
    </w:p>
    <w:p w14:paraId="6BB28598" w14:textId="77777777" w:rsidR="00583B86" w:rsidRPr="00D94B08" w:rsidRDefault="00583B86" w:rsidP="00C3772E">
      <w:pPr>
        <w:autoSpaceDE w:val="0"/>
        <w:autoSpaceDN w:val="0"/>
        <w:adjustRightInd w:val="0"/>
        <w:rPr>
          <w:color w:val="000000"/>
          <w:sz w:val="22"/>
          <w:szCs w:val="22"/>
          <w:lang w:val="en-US" w:eastAsia="nl-NL"/>
        </w:rPr>
      </w:pPr>
    </w:p>
    <w:p w14:paraId="3ABBFFEC" w14:textId="77777777" w:rsidR="00583B86" w:rsidRPr="00D94B08" w:rsidRDefault="00583B86" w:rsidP="00ED6AAD">
      <w:pPr>
        <w:tabs>
          <w:tab w:val="left" w:pos="1669"/>
        </w:tabs>
        <w:rPr>
          <w:sz w:val="20"/>
          <w:szCs w:val="18"/>
          <w:lang w:val="en-US"/>
        </w:rPr>
        <w:sectPr w:rsidR="00583B86" w:rsidRPr="00D94B08" w:rsidSect="00744C66">
          <w:footerReference w:type="default" r:id="rId8"/>
          <w:pgSz w:w="12240" w:h="15840"/>
          <w:pgMar w:top="1440" w:right="1440" w:bottom="1440" w:left="1440" w:header="708" w:footer="708" w:gutter="0"/>
          <w:cols w:space="708"/>
          <w:docGrid w:linePitch="360"/>
        </w:sectPr>
      </w:pPr>
    </w:p>
    <w:tbl>
      <w:tblPr>
        <w:tblW w:w="12075" w:type="dxa"/>
        <w:tblInd w:w="93" w:type="dxa"/>
        <w:tblLook w:val="00A0" w:firstRow="1" w:lastRow="0" w:firstColumn="1" w:lastColumn="0" w:noHBand="0" w:noVBand="0"/>
      </w:tblPr>
      <w:tblGrid>
        <w:gridCol w:w="2355"/>
        <w:gridCol w:w="1620"/>
        <w:gridCol w:w="2160"/>
        <w:gridCol w:w="1080"/>
        <w:gridCol w:w="1260"/>
        <w:gridCol w:w="3600"/>
      </w:tblGrid>
      <w:tr w:rsidR="00583B86" w:rsidRPr="00D94B08" w14:paraId="4A2E336C" w14:textId="77777777" w:rsidTr="00FB265E">
        <w:trPr>
          <w:trHeight w:val="300"/>
        </w:trPr>
        <w:tc>
          <w:tcPr>
            <w:tcW w:w="12075" w:type="dxa"/>
            <w:gridSpan w:val="6"/>
            <w:tcBorders>
              <w:top w:val="single" w:sz="4" w:space="0" w:color="auto"/>
              <w:left w:val="single" w:sz="4" w:space="0" w:color="auto"/>
              <w:bottom w:val="single" w:sz="4" w:space="0" w:color="auto"/>
              <w:right w:val="single" w:sz="4" w:space="0" w:color="000000"/>
            </w:tcBorders>
            <w:noWrap/>
            <w:vAlign w:val="bottom"/>
          </w:tcPr>
          <w:p w14:paraId="5955C332" w14:textId="5F15440A" w:rsidR="00583B86" w:rsidRPr="00D94B08" w:rsidRDefault="00583B86" w:rsidP="00534F9D">
            <w:pPr>
              <w:rPr>
                <w:color w:val="000000"/>
                <w:lang w:val="en-US" w:eastAsia="en-US"/>
              </w:rPr>
            </w:pPr>
            <w:r w:rsidRPr="00D94B08">
              <w:rPr>
                <w:b/>
                <w:color w:val="000000"/>
                <w:sz w:val="22"/>
                <w:szCs w:val="22"/>
                <w:lang w:val="en-US" w:eastAsia="en-US"/>
              </w:rPr>
              <w:lastRenderedPageBreak/>
              <w:t>Table 1.</w:t>
            </w:r>
            <w:r w:rsidRPr="00D94B08">
              <w:rPr>
                <w:color w:val="000000"/>
                <w:sz w:val="22"/>
                <w:szCs w:val="22"/>
                <w:lang w:val="en-US" w:eastAsia="en-US"/>
              </w:rPr>
              <w:t xml:space="preserve"> One-year all-cause mortality after fracture for males stratified by age, ethnicity, socioeconomic status, and region</w:t>
            </w:r>
            <w:r w:rsidR="00C95CB4">
              <w:rPr>
                <w:color w:val="000000"/>
                <w:sz w:val="22"/>
                <w:szCs w:val="22"/>
                <w:lang w:val="en-US" w:eastAsia="en-US"/>
              </w:rPr>
              <w:t xml:space="preserve"> (crude rates).</w:t>
            </w:r>
          </w:p>
        </w:tc>
      </w:tr>
      <w:tr w:rsidR="00583B86" w:rsidRPr="00D94B08" w14:paraId="05D3B876"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977A367"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tcPr>
          <w:p w14:paraId="2DC49936" w14:textId="77777777" w:rsidR="00583B86" w:rsidRPr="00D94B08" w:rsidRDefault="00583B86" w:rsidP="00534F9D">
            <w:pPr>
              <w:jc w:val="center"/>
              <w:rPr>
                <w:color w:val="000000"/>
                <w:lang w:val="en-US" w:eastAsia="en-US"/>
              </w:rPr>
            </w:pPr>
            <w:r w:rsidRPr="00D94B08">
              <w:rPr>
                <w:color w:val="000000"/>
                <w:sz w:val="22"/>
                <w:szCs w:val="22"/>
                <w:lang w:val="en-US" w:eastAsia="en-US"/>
              </w:rPr>
              <w:t>N deaths</w:t>
            </w:r>
          </w:p>
        </w:tc>
        <w:tc>
          <w:tcPr>
            <w:tcW w:w="2160" w:type="dxa"/>
            <w:tcBorders>
              <w:top w:val="nil"/>
              <w:left w:val="nil"/>
              <w:bottom w:val="single" w:sz="4" w:space="0" w:color="auto"/>
              <w:right w:val="single" w:sz="4" w:space="0" w:color="auto"/>
            </w:tcBorders>
            <w:noWrap/>
            <w:vAlign w:val="bottom"/>
          </w:tcPr>
          <w:p w14:paraId="6A366A95" w14:textId="77777777" w:rsidR="00583B86" w:rsidRPr="00D94B08" w:rsidRDefault="00583B86" w:rsidP="00534F9D">
            <w:pPr>
              <w:jc w:val="center"/>
              <w:rPr>
                <w:color w:val="000000"/>
                <w:lang w:val="en-US" w:eastAsia="en-US"/>
              </w:rPr>
            </w:pPr>
            <w:r w:rsidRPr="00D94B08">
              <w:rPr>
                <w:color w:val="000000"/>
                <w:sz w:val="22"/>
                <w:szCs w:val="22"/>
                <w:lang w:val="en-US" w:eastAsia="en-US"/>
              </w:rPr>
              <w:t>IR (per 100 py)</w:t>
            </w:r>
          </w:p>
        </w:tc>
        <w:tc>
          <w:tcPr>
            <w:tcW w:w="2340" w:type="dxa"/>
            <w:gridSpan w:val="2"/>
            <w:tcBorders>
              <w:top w:val="single" w:sz="4" w:space="0" w:color="auto"/>
              <w:left w:val="nil"/>
              <w:bottom w:val="single" w:sz="4" w:space="0" w:color="auto"/>
              <w:right w:val="single" w:sz="4" w:space="0" w:color="000000"/>
            </w:tcBorders>
            <w:noWrap/>
            <w:vAlign w:val="bottom"/>
          </w:tcPr>
          <w:p w14:paraId="44A3B849" w14:textId="77777777" w:rsidR="00583B86" w:rsidRPr="00D94B08" w:rsidRDefault="00583B86" w:rsidP="00534F9D">
            <w:pPr>
              <w:jc w:val="center"/>
              <w:rPr>
                <w:color w:val="000000"/>
                <w:lang w:val="en-US" w:eastAsia="en-US"/>
              </w:rPr>
            </w:pPr>
            <w:r w:rsidRPr="00D94B08">
              <w:rPr>
                <w:color w:val="000000"/>
                <w:sz w:val="22"/>
                <w:szCs w:val="22"/>
                <w:lang w:val="en-US" w:eastAsia="en-US"/>
              </w:rPr>
              <w:t>IR 95% CI</w:t>
            </w:r>
          </w:p>
        </w:tc>
        <w:tc>
          <w:tcPr>
            <w:tcW w:w="3600" w:type="dxa"/>
            <w:tcBorders>
              <w:top w:val="nil"/>
              <w:left w:val="nil"/>
              <w:bottom w:val="single" w:sz="4" w:space="0" w:color="auto"/>
              <w:right w:val="single" w:sz="4" w:space="0" w:color="auto"/>
            </w:tcBorders>
            <w:noWrap/>
            <w:vAlign w:val="bottom"/>
          </w:tcPr>
          <w:p w14:paraId="57E1A069" w14:textId="77777777" w:rsidR="00583B86" w:rsidRPr="00D94B08" w:rsidRDefault="00583B86" w:rsidP="00534F9D">
            <w:pPr>
              <w:jc w:val="center"/>
              <w:rPr>
                <w:color w:val="000000"/>
                <w:lang w:val="en-US" w:eastAsia="en-US"/>
              </w:rPr>
            </w:pPr>
            <w:r w:rsidRPr="00D94B08">
              <w:rPr>
                <w:color w:val="000000"/>
                <w:sz w:val="22"/>
                <w:szCs w:val="22"/>
                <w:lang w:val="en-US" w:eastAsia="en-US"/>
              </w:rPr>
              <w:t>RR (95% CI)</w:t>
            </w:r>
          </w:p>
        </w:tc>
      </w:tr>
      <w:tr w:rsidR="00583B86" w:rsidRPr="00D94B08" w14:paraId="307C298B"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65831F4" w14:textId="77777777" w:rsidR="00583B86" w:rsidRPr="00D94B08" w:rsidRDefault="00583B86" w:rsidP="00534F9D">
            <w:pPr>
              <w:rPr>
                <w:color w:val="000000"/>
                <w:lang w:val="en-US" w:eastAsia="en-US"/>
              </w:rPr>
            </w:pPr>
            <w:r w:rsidRPr="00D94B08">
              <w:rPr>
                <w:color w:val="000000"/>
                <w:sz w:val="22"/>
                <w:szCs w:val="22"/>
                <w:lang w:eastAsia="en-US"/>
              </w:rPr>
              <w:t>By age categories</w:t>
            </w:r>
          </w:p>
        </w:tc>
        <w:tc>
          <w:tcPr>
            <w:tcW w:w="1620" w:type="dxa"/>
            <w:tcBorders>
              <w:top w:val="nil"/>
              <w:left w:val="nil"/>
              <w:bottom w:val="single" w:sz="4" w:space="0" w:color="auto"/>
              <w:right w:val="single" w:sz="4" w:space="0" w:color="auto"/>
            </w:tcBorders>
            <w:noWrap/>
            <w:vAlign w:val="bottom"/>
          </w:tcPr>
          <w:p w14:paraId="20812221"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15070037"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48A0089C"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3E771F37"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7AF552F3" w14:textId="77777777" w:rsidR="00583B86" w:rsidRPr="00D94B08" w:rsidRDefault="00583B86" w:rsidP="00534F9D">
            <w:pPr>
              <w:rPr>
                <w:color w:val="000000"/>
                <w:lang w:val="en-US" w:eastAsia="en-US"/>
              </w:rPr>
            </w:pPr>
            <w:r w:rsidRPr="00D94B08">
              <w:rPr>
                <w:color w:val="000000"/>
                <w:sz w:val="22"/>
                <w:szCs w:val="22"/>
                <w:lang w:val="en-US" w:eastAsia="en-US"/>
              </w:rPr>
              <w:t> </w:t>
            </w:r>
          </w:p>
        </w:tc>
      </w:tr>
      <w:tr w:rsidR="00583B86" w:rsidRPr="00D94B08" w14:paraId="44F691E1"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6527750" w14:textId="77777777" w:rsidR="00583B86" w:rsidRPr="00D94B08" w:rsidRDefault="00583B86" w:rsidP="00534F9D">
            <w:pPr>
              <w:rPr>
                <w:color w:val="000000"/>
                <w:lang w:val="en-US" w:eastAsia="en-US"/>
              </w:rPr>
            </w:pPr>
            <w:r w:rsidRPr="00D94B08">
              <w:rPr>
                <w:color w:val="000000"/>
                <w:sz w:val="22"/>
                <w:szCs w:val="18"/>
                <w:lang w:eastAsia="en-US"/>
              </w:rPr>
              <w:t xml:space="preserve">   50 – 54 </w:t>
            </w:r>
          </w:p>
        </w:tc>
        <w:tc>
          <w:tcPr>
            <w:tcW w:w="1620" w:type="dxa"/>
            <w:tcBorders>
              <w:top w:val="nil"/>
              <w:left w:val="nil"/>
              <w:bottom w:val="single" w:sz="4" w:space="0" w:color="auto"/>
              <w:right w:val="single" w:sz="4" w:space="0" w:color="auto"/>
            </w:tcBorders>
            <w:noWrap/>
            <w:vAlign w:val="bottom"/>
          </w:tcPr>
          <w:p w14:paraId="44B80C48" w14:textId="77777777" w:rsidR="00583B86" w:rsidRPr="00D94B08" w:rsidRDefault="00583B86" w:rsidP="00534F9D">
            <w:pPr>
              <w:jc w:val="center"/>
              <w:rPr>
                <w:color w:val="000000"/>
                <w:lang w:val="en-US" w:eastAsia="en-US"/>
              </w:rPr>
            </w:pPr>
            <w:r w:rsidRPr="00D94B08">
              <w:rPr>
                <w:color w:val="000000"/>
                <w:sz w:val="22"/>
                <w:szCs w:val="22"/>
                <w:lang w:val="en-US" w:eastAsia="en-US"/>
              </w:rPr>
              <w:t>41</w:t>
            </w:r>
          </w:p>
        </w:tc>
        <w:tc>
          <w:tcPr>
            <w:tcW w:w="2160" w:type="dxa"/>
            <w:tcBorders>
              <w:top w:val="nil"/>
              <w:left w:val="nil"/>
              <w:bottom w:val="single" w:sz="4" w:space="0" w:color="auto"/>
              <w:right w:val="single" w:sz="4" w:space="0" w:color="auto"/>
            </w:tcBorders>
            <w:noWrap/>
            <w:vAlign w:val="bottom"/>
          </w:tcPr>
          <w:p w14:paraId="63BC064A" w14:textId="77777777" w:rsidR="00583B86" w:rsidRPr="00D94B08" w:rsidRDefault="00583B86" w:rsidP="00534F9D">
            <w:pPr>
              <w:jc w:val="center"/>
              <w:rPr>
                <w:color w:val="000000"/>
                <w:lang w:val="en-US" w:eastAsia="en-US"/>
              </w:rPr>
            </w:pPr>
            <w:r w:rsidRPr="00D94B08">
              <w:rPr>
                <w:color w:val="000000"/>
                <w:sz w:val="22"/>
                <w:szCs w:val="22"/>
                <w:lang w:val="en-US" w:eastAsia="en-US"/>
              </w:rPr>
              <w:t>2.3</w:t>
            </w:r>
          </w:p>
        </w:tc>
        <w:tc>
          <w:tcPr>
            <w:tcW w:w="1080" w:type="dxa"/>
            <w:tcBorders>
              <w:top w:val="nil"/>
              <w:left w:val="nil"/>
              <w:bottom w:val="single" w:sz="4" w:space="0" w:color="auto"/>
              <w:right w:val="single" w:sz="4" w:space="0" w:color="auto"/>
            </w:tcBorders>
            <w:noWrap/>
            <w:vAlign w:val="bottom"/>
          </w:tcPr>
          <w:p w14:paraId="3F4A2072" w14:textId="77777777" w:rsidR="00583B86" w:rsidRPr="00D94B08" w:rsidRDefault="00583B86" w:rsidP="00534F9D">
            <w:pPr>
              <w:jc w:val="center"/>
              <w:rPr>
                <w:color w:val="000000"/>
                <w:lang w:val="en-US" w:eastAsia="en-US"/>
              </w:rPr>
            </w:pPr>
            <w:r w:rsidRPr="00D94B08">
              <w:rPr>
                <w:color w:val="000000"/>
                <w:sz w:val="22"/>
                <w:szCs w:val="22"/>
                <w:lang w:val="en-US" w:eastAsia="en-US"/>
              </w:rPr>
              <w:t>1.6</w:t>
            </w:r>
          </w:p>
        </w:tc>
        <w:tc>
          <w:tcPr>
            <w:tcW w:w="1260" w:type="dxa"/>
            <w:tcBorders>
              <w:top w:val="nil"/>
              <w:left w:val="nil"/>
              <w:bottom w:val="single" w:sz="4" w:space="0" w:color="auto"/>
              <w:right w:val="single" w:sz="4" w:space="0" w:color="auto"/>
            </w:tcBorders>
            <w:noWrap/>
            <w:vAlign w:val="bottom"/>
          </w:tcPr>
          <w:p w14:paraId="19CB8DE8" w14:textId="77777777" w:rsidR="00583B86" w:rsidRPr="00D94B08" w:rsidRDefault="00583B86" w:rsidP="00534F9D">
            <w:pPr>
              <w:jc w:val="center"/>
              <w:rPr>
                <w:color w:val="000000"/>
                <w:lang w:val="en-US" w:eastAsia="en-US"/>
              </w:rPr>
            </w:pPr>
            <w:r w:rsidRPr="00D94B08">
              <w:rPr>
                <w:color w:val="000000"/>
                <w:sz w:val="22"/>
                <w:szCs w:val="22"/>
                <w:lang w:val="en-US" w:eastAsia="en-US"/>
              </w:rPr>
              <w:t>3.0</w:t>
            </w:r>
          </w:p>
        </w:tc>
        <w:tc>
          <w:tcPr>
            <w:tcW w:w="3600" w:type="dxa"/>
            <w:tcBorders>
              <w:top w:val="nil"/>
              <w:left w:val="nil"/>
              <w:bottom w:val="single" w:sz="4" w:space="0" w:color="auto"/>
              <w:right w:val="single" w:sz="4" w:space="0" w:color="auto"/>
            </w:tcBorders>
            <w:noWrap/>
            <w:vAlign w:val="bottom"/>
          </w:tcPr>
          <w:p w14:paraId="310FC49D" w14:textId="77777777" w:rsidR="00583B86" w:rsidRPr="00D94B08" w:rsidRDefault="00583B86" w:rsidP="00534F9D">
            <w:pPr>
              <w:jc w:val="center"/>
              <w:rPr>
                <w:color w:val="000000"/>
                <w:lang w:val="en-US" w:eastAsia="en-US"/>
              </w:rPr>
            </w:pPr>
            <w:r w:rsidRPr="00D94B08">
              <w:rPr>
                <w:color w:val="000000"/>
                <w:sz w:val="22"/>
                <w:szCs w:val="22"/>
                <w:lang w:val="en-US" w:eastAsia="en-US"/>
              </w:rPr>
              <w:t>Reference </w:t>
            </w:r>
          </w:p>
        </w:tc>
      </w:tr>
      <w:tr w:rsidR="00583B86" w:rsidRPr="00D94B08" w14:paraId="2FA87EDC"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42472C38" w14:textId="77777777" w:rsidR="00583B86" w:rsidRPr="00D94B08" w:rsidRDefault="00583B86" w:rsidP="00534F9D">
            <w:pPr>
              <w:rPr>
                <w:color w:val="000000"/>
                <w:lang w:val="en-US" w:eastAsia="en-US"/>
              </w:rPr>
            </w:pPr>
            <w:r w:rsidRPr="00D94B08">
              <w:rPr>
                <w:color w:val="000000"/>
                <w:sz w:val="22"/>
                <w:szCs w:val="18"/>
                <w:lang w:eastAsia="en-US"/>
              </w:rPr>
              <w:t xml:space="preserve">   55 – 59 </w:t>
            </w:r>
          </w:p>
        </w:tc>
        <w:tc>
          <w:tcPr>
            <w:tcW w:w="1620" w:type="dxa"/>
            <w:tcBorders>
              <w:top w:val="nil"/>
              <w:left w:val="nil"/>
              <w:bottom w:val="single" w:sz="4" w:space="0" w:color="auto"/>
              <w:right w:val="single" w:sz="4" w:space="0" w:color="auto"/>
            </w:tcBorders>
            <w:noWrap/>
            <w:vAlign w:val="bottom"/>
          </w:tcPr>
          <w:p w14:paraId="3F78451F" w14:textId="77777777" w:rsidR="00583B86" w:rsidRPr="00D94B08" w:rsidRDefault="00583B86" w:rsidP="00534F9D">
            <w:pPr>
              <w:jc w:val="center"/>
              <w:rPr>
                <w:color w:val="000000"/>
                <w:lang w:val="en-US" w:eastAsia="en-US"/>
              </w:rPr>
            </w:pPr>
            <w:r w:rsidRPr="00D94B08">
              <w:rPr>
                <w:color w:val="000000"/>
                <w:sz w:val="22"/>
                <w:szCs w:val="22"/>
                <w:lang w:val="en-US" w:eastAsia="en-US"/>
              </w:rPr>
              <w:t>80</w:t>
            </w:r>
          </w:p>
        </w:tc>
        <w:tc>
          <w:tcPr>
            <w:tcW w:w="2160" w:type="dxa"/>
            <w:tcBorders>
              <w:top w:val="nil"/>
              <w:left w:val="nil"/>
              <w:bottom w:val="single" w:sz="4" w:space="0" w:color="auto"/>
              <w:right w:val="single" w:sz="4" w:space="0" w:color="auto"/>
            </w:tcBorders>
            <w:noWrap/>
            <w:vAlign w:val="bottom"/>
          </w:tcPr>
          <w:p w14:paraId="04009BDE" w14:textId="77777777" w:rsidR="00583B86" w:rsidRPr="00D94B08" w:rsidRDefault="00583B86" w:rsidP="00534F9D">
            <w:pPr>
              <w:jc w:val="center"/>
              <w:rPr>
                <w:color w:val="000000"/>
                <w:lang w:val="en-US" w:eastAsia="en-US"/>
              </w:rPr>
            </w:pPr>
            <w:r w:rsidRPr="00D94B08">
              <w:rPr>
                <w:color w:val="000000"/>
                <w:sz w:val="22"/>
                <w:szCs w:val="22"/>
                <w:lang w:val="en-US" w:eastAsia="en-US"/>
              </w:rPr>
              <w:t>3.5</w:t>
            </w:r>
          </w:p>
        </w:tc>
        <w:tc>
          <w:tcPr>
            <w:tcW w:w="1080" w:type="dxa"/>
            <w:tcBorders>
              <w:top w:val="nil"/>
              <w:left w:val="nil"/>
              <w:bottom w:val="single" w:sz="4" w:space="0" w:color="auto"/>
              <w:right w:val="single" w:sz="4" w:space="0" w:color="auto"/>
            </w:tcBorders>
            <w:noWrap/>
            <w:vAlign w:val="bottom"/>
          </w:tcPr>
          <w:p w14:paraId="266852D1" w14:textId="77777777" w:rsidR="00583B86" w:rsidRPr="00D94B08" w:rsidRDefault="00583B86" w:rsidP="00534F9D">
            <w:pPr>
              <w:jc w:val="center"/>
              <w:rPr>
                <w:color w:val="000000"/>
                <w:lang w:val="en-US" w:eastAsia="en-US"/>
              </w:rPr>
            </w:pPr>
            <w:r w:rsidRPr="00D94B08">
              <w:rPr>
                <w:color w:val="000000"/>
                <w:sz w:val="22"/>
                <w:szCs w:val="22"/>
                <w:lang w:val="en-US" w:eastAsia="en-US"/>
              </w:rPr>
              <w:t>2.8</w:t>
            </w:r>
          </w:p>
        </w:tc>
        <w:tc>
          <w:tcPr>
            <w:tcW w:w="1260" w:type="dxa"/>
            <w:tcBorders>
              <w:top w:val="nil"/>
              <w:left w:val="nil"/>
              <w:bottom w:val="single" w:sz="4" w:space="0" w:color="auto"/>
              <w:right w:val="single" w:sz="4" w:space="0" w:color="auto"/>
            </w:tcBorders>
            <w:noWrap/>
            <w:vAlign w:val="bottom"/>
          </w:tcPr>
          <w:p w14:paraId="0B3DD420" w14:textId="77777777" w:rsidR="00583B86" w:rsidRPr="00D94B08" w:rsidRDefault="00583B86" w:rsidP="00534F9D">
            <w:pPr>
              <w:jc w:val="center"/>
              <w:rPr>
                <w:color w:val="000000"/>
                <w:lang w:val="en-US" w:eastAsia="en-US"/>
              </w:rPr>
            </w:pPr>
            <w:r w:rsidRPr="00D94B08">
              <w:rPr>
                <w:color w:val="000000"/>
                <w:sz w:val="22"/>
                <w:szCs w:val="22"/>
                <w:lang w:val="en-US" w:eastAsia="en-US"/>
              </w:rPr>
              <w:t>4.3</w:t>
            </w:r>
          </w:p>
        </w:tc>
        <w:tc>
          <w:tcPr>
            <w:tcW w:w="3600" w:type="dxa"/>
            <w:tcBorders>
              <w:top w:val="nil"/>
              <w:left w:val="nil"/>
              <w:bottom w:val="single" w:sz="4" w:space="0" w:color="auto"/>
              <w:right w:val="single" w:sz="4" w:space="0" w:color="auto"/>
            </w:tcBorders>
            <w:noWrap/>
            <w:vAlign w:val="bottom"/>
          </w:tcPr>
          <w:p w14:paraId="5DFF8BF1" w14:textId="77777777" w:rsidR="00583B86" w:rsidRPr="00D94B08" w:rsidRDefault="00583B86" w:rsidP="00534F9D">
            <w:pPr>
              <w:jc w:val="center"/>
              <w:rPr>
                <w:color w:val="000000"/>
                <w:lang w:val="en-US" w:eastAsia="en-US"/>
              </w:rPr>
            </w:pPr>
            <w:r w:rsidRPr="00D94B08">
              <w:rPr>
                <w:color w:val="000000"/>
                <w:sz w:val="22"/>
                <w:szCs w:val="22"/>
                <w:lang w:val="en-US" w:eastAsia="en-US"/>
              </w:rPr>
              <w:t>1.56 (1.07 - 2.27)</w:t>
            </w:r>
          </w:p>
        </w:tc>
      </w:tr>
      <w:tr w:rsidR="00583B86" w:rsidRPr="00D94B08" w14:paraId="2477C2A9"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6E177D62" w14:textId="77777777" w:rsidR="00583B86" w:rsidRPr="00D94B08" w:rsidRDefault="00583B86" w:rsidP="00534F9D">
            <w:pPr>
              <w:rPr>
                <w:color w:val="000000"/>
                <w:lang w:val="en-US" w:eastAsia="en-US"/>
              </w:rPr>
            </w:pPr>
            <w:r w:rsidRPr="00D94B08">
              <w:rPr>
                <w:color w:val="000000"/>
                <w:sz w:val="22"/>
                <w:szCs w:val="18"/>
                <w:lang w:eastAsia="en-US"/>
              </w:rPr>
              <w:t xml:space="preserve">   60 – 64 </w:t>
            </w:r>
          </w:p>
        </w:tc>
        <w:tc>
          <w:tcPr>
            <w:tcW w:w="1620" w:type="dxa"/>
            <w:tcBorders>
              <w:top w:val="nil"/>
              <w:left w:val="nil"/>
              <w:bottom w:val="single" w:sz="4" w:space="0" w:color="auto"/>
              <w:right w:val="single" w:sz="4" w:space="0" w:color="auto"/>
            </w:tcBorders>
            <w:noWrap/>
            <w:vAlign w:val="bottom"/>
          </w:tcPr>
          <w:p w14:paraId="1632130A" w14:textId="77777777" w:rsidR="00583B86" w:rsidRPr="00D94B08" w:rsidRDefault="00583B86" w:rsidP="00534F9D">
            <w:pPr>
              <w:jc w:val="center"/>
              <w:rPr>
                <w:color w:val="000000"/>
                <w:lang w:val="en-US" w:eastAsia="en-US"/>
              </w:rPr>
            </w:pPr>
            <w:r w:rsidRPr="00D94B08">
              <w:rPr>
                <w:color w:val="000000"/>
                <w:sz w:val="22"/>
                <w:szCs w:val="22"/>
                <w:lang w:val="en-US" w:eastAsia="en-US"/>
              </w:rPr>
              <w:t>130</w:t>
            </w:r>
          </w:p>
        </w:tc>
        <w:tc>
          <w:tcPr>
            <w:tcW w:w="2160" w:type="dxa"/>
            <w:tcBorders>
              <w:top w:val="nil"/>
              <w:left w:val="nil"/>
              <w:bottom w:val="single" w:sz="4" w:space="0" w:color="auto"/>
              <w:right w:val="single" w:sz="4" w:space="0" w:color="auto"/>
            </w:tcBorders>
            <w:noWrap/>
            <w:vAlign w:val="bottom"/>
          </w:tcPr>
          <w:p w14:paraId="1A11129E" w14:textId="77777777" w:rsidR="00583B86" w:rsidRPr="00D94B08" w:rsidRDefault="00583B86" w:rsidP="00534F9D">
            <w:pPr>
              <w:jc w:val="center"/>
              <w:rPr>
                <w:color w:val="000000"/>
                <w:lang w:val="en-US" w:eastAsia="en-US"/>
              </w:rPr>
            </w:pPr>
            <w:r w:rsidRPr="00D94B08">
              <w:rPr>
                <w:color w:val="000000"/>
                <w:sz w:val="22"/>
                <w:szCs w:val="22"/>
                <w:lang w:val="en-US" w:eastAsia="en-US"/>
              </w:rPr>
              <w:t>5.8</w:t>
            </w:r>
          </w:p>
        </w:tc>
        <w:tc>
          <w:tcPr>
            <w:tcW w:w="1080" w:type="dxa"/>
            <w:tcBorders>
              <w:top w:val="nil"/>
              <w:left w:val="nil"/>
              <w:bottom w:val="single" w:sz="4" w:space="0" w:color="auto"/>
              <w:right w:val="single" w:sz="4" w:space="0" w:color="auto"/>
            </w:tcBorders>
            <w:noWrap/>
            <w:vAlign w:val="bottom"/>
          </w:tcPr>
          <w:p w14:paraId="1C0402C7" w14:textId="77777777" w:rsidR="00583B86" w:rsidRPr="00D94B08" w:rsidRDefault="00583B86" w:rsidP="00534F9D">
            <w:pPr>
              <w:jc w:val="center"/>
              <w:rPr>
                <w:color w:val="000000"/>
                <w:lang w:val="en-US" w:eastAsia="en-US"/>
              </w:rPr>
            </w:pPr>
            <w:r w:rsidRPr="00D94B08">
              <w:rPr>
                <w:color w:val="000000"/>
                <w:sz w:val="22"/>
                <w:szCs w:val="22"/>
                <w:lang w:val="en-US" w:eastAsia="en-US"/>
              </w:rPr>
              <w:t>4.8</w:t>
            </w:r>
          </w:p>
        </w:tc>
        <w:tc>
          <w:tcPr>
            <w:tcW w:w="1260" w:type="dxa"/>
            <w:tcBorders>
              <w:top w:val="nil"/>
              <w:left w:val="nil"/>
              <w:bottom w:val="single" w:sz="4" w:space="0" w:color="auto"/>
              <w:right w:val="single" w:sz="4" w:space="0" w:color="auto"/>
            </w:tcBorders>
            <w:noWrap/>
            <w:vAlign w:val="bottom"/>
          </w:tcPr>
          <w:p w14:paraId="60EB5BCA" w14:textId="77777777" w:rsidR="00583B86" w:rsidRPr="00D94B08" w:rsidRDefault="00583B86" w:rsidP="00534F9D">
            <w:pPr>
              <w:jc w:val="center"/>
              <w:rPr>
                <w:color w:val="000000"/>
                <w:lang w:val="en-US" w:eastAsia="en-US"/>
              </w:rPr>
            </w:pPr>
            <w:r w:rsidRPr="00D94B08">
              <w:rPr>
                <w:color w:val="000000"/>
                <w:sz w:val="22"/>
                <w:szCs w:val="22"/>
                <w:lang w:val="en-US" w:eastAsia="en-US"/>
              </w:rPr>
              <w:t>6.9</w:t>
            </w:r>
          </w:p>
        </w:tc>
        <w:tc>
          <w:tcPr>
            <w:tcW w:w="3600" w:type="dxa"/>
            <w:tcBorders>
              <w:top w:val="nil"/>
              <w:left w:val="nil"/>
              <w:bottom w:val="single" w:sz="4" w:space="0" w:color="auto"/>
              <w:right w:val="single" w:sz="4" w:space="0" w:color="auto"/>
            </w:tcBorders>
            <w:noWrap/>
            <w:vAlign w:val="bottom"/>
          </w:tcPr>
          <w:p w14:paraId="402D49DF" w14:textId="77777777" w:rsidR="00583B86" w:rsidRPr="00D94B08" w:rsidRDefault="00583B86" w:rsidP="00534F9D">
            <w:pPr>
              <w:jc w:val="center"/>
              <w:rPr>
                <w:color w:val="000000"/>
                <w:lang w:val="en-US" w:eastAsia="en-US"/>
              </w:rPr>
            </w:pPr>
            <w:r w:rsidRPr="00D94B08">
              <w:rPr>
                <w:color w:val="000000"/>
                <w:sz w:val="22"/>
                <w:szCs w:val="22"/>
                <w:lang w:val="en-US" w:eastAsia="en-US"/>
              </w:rPr>
              <w:t>2.62 (1.84 - 3.72)</w:t>
            </w:r>
          </w:p>
        </w:tc>
      </w:tr>
      <w:tr w:rsidR="00583B86" w:rsidRPr="00D94B08" w14:paraId="6E7393B5"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1738E49" w14:textId="77777777" w:rsidR="00583B86" w:rsidRPr="00D94B08" w:rsidRDefault="00583B86" w:rsidP="00534F9D">
            <w:pPr>
              <w:rPr>
                <w:color w:val="000000"/>
                <w:lang w:val="en-US" w:eastAsia="en-US"/>
              </w:rPr>
            </w:pPr>
            <w:r w:rsidRPr="00D94B08">
              <w:rPr>
                <w:color w:val="000000"/>
                <w:sz w:val="22"/>
                <w:szCs w:val="18"/>
                <w:lang w:eastAsia="en-US"/>
              </w:rPr>
              <w:t xml:space="preserve">   65 – 69 </w:t>
            </w:r>
          </w:p>
        </w:tc>
        <w:tc>
          <w:tcPr>
            <w:tcW w:w="1620" w:type="dxa"/>
            <w:tcBorders>
              <w:top w:val="nil"/>
              <w:left w:val="nil"/>
              <w:bottom w:val="single" w:sz="4" w:space="0" w:color="auto"/>
              <w:right w:val="single" w:sz="4" w:space="0" w:color="auto"/>
            </w:tcBorders>
            <w:noWrap/>
            <w:vAlign w:val="bottom"/>
          </w:tcPr>
          <w:p w14:paraId="69264588" w14:textId="77777777" w:rsidR="00583B86" w:rsidRPr="00D94B08" w:rsidRDefault="00583B86" w:rsidP="00534F9D">
            <w:pPr>
              <w:jc w:val="center"/>
              <w:rPr>
                <w:color w:val="000000"/>
                <w:lang w:val="en-US" w:eastAsia="en-US"/>
              </w:rPr>
            </w:pPr>
            <w:r w:rsidRPr="00D94B08">
              <w:rPr>
                <w:color w:val="000000"/>
                <w:sz w:val="22"/>
                <w:szCs w:val="22"/>
                <w:lang w:val="en-US" w:eastAsia="en-US"/>
              </w:rPr>
              <w:t>194</w:t>
            </w:r>
          </w:p>
        </w:tc>
        <w:tc>
          <w:tcPr>
            <w:tcW w:w="2160" w:type="dxa"/>
            <w:tcBorders>
              <w:top w:val="nil"/>
              <w:left w:val="nil"/>
              <w:bottom w:val="single" w:sz="4" w:space="0" w:color="auto"/>
              <w:right w:val="single" w:sz="4" w:space="0" w:color="auto"/>
            </w:tcBorders>
            <w:noWrap/>
            <w:vAlign w:val="bottom"/>
          </w:tcPr>
          <w:p w14:paraId="7C466964" w14:textId="77777777" w:rsidR="00583B86" w:rsidRPr="00D94B08" w:rsidRDefault="00583B86" w:rsidP="00534F9D">
            <w:pPr>
              <w:jc w:val="center"/>
              <w:rPr>
                <w:color w:val="000000"/>
                <w:lang w:val="en-US" w:eastAsia="en-US"/>
              </w:rPr>
            </w:pPr>
            <w:r w:rsidRPr="00D94B08">
              <w:rPr>
                <w:color w:val="000000"/>
                <w:sz w:val="22"/>
                <w:szCs w:val="22"/>
                <w:lang w:val="en-US" w:eastAsia="en-US"/>
              </w:rPr>
              <w:t>9.9</w:t>
            </w:r>
          </w:p>
        </w:tc>
        <w:tc>
          <w:tcPr>
            <w:tcW w:w="1080" w:type="dxa"/>
            <w:tcBorders>
              <w:top w:val="nil"/>
              <w:left w:val="nil"/>
              <w:bottom w:val="single" w:sz="4" w:space="0" w:color="auto"/>
              <w:right w:val="single" w:sz="4" w:space="0" w:color="auto"/>
            </w:tcBorders>
            <w:noWrap/>
            <w:vAlign w:val="bottom"/>
          </w:tcPr>
          <w:p w14:paraId="34460C40" w14:textId="77777777" w:rsidR="00583B86" w:rsidRPr="00D94B08" w:rsidRDefault="00583B86" w:rsidP="00534F9D">
            <w:pPr>
              <w:jc w:val="center"/>
              <w:rPr>
                <w:color w:val="000000"/>
                <w:lang w:val="en-US" w:eastAsia="en-US"/>
              </w:rPr>
            </w:pPr>
            <w:r w:rsidRPr="00D94B08">
              <w:rPr>
                <w:color w:val="000000"/>
                <w:sz w:val="22"/>
                <w:szCs w:val="22"/>
                <w:lang w:val="en-US" w:eastAsia="en-US"/>
              </w:rPr>
              <w:t>8.5</w:t>
            </w:r>
          </w:p>
        </w:tc>
        <w:tc>
          <w:tcPr>
            <w:tcW w:w="1260" w:type="dxa"/>
            <w:tcBorders>
              <w:top w:val="nil"/>
              <w:left w:val="nil"/>
              <w:bottom w:val="single" w:sz="4" w:space="0" w:color="auto"/>
              <w:right w:val="single" w:sz="4" w:space="0" w:color="auto"/>
            </w:tcBorders>
            <w:noWrap/>
            <w:vAlign w:val="bottom"/>
          </w:tcPr>
          <w:p w14:paraId="7E50D4E1" w14:textId="77777777" w:rsidR="00583B86" w:rsidRPr="00D94B08" w:rsidRDefault="00583B86" w:rsidP="00534F9D">
            <w:pPr>
              <w:jc w:val="center"/>
              <w:rPr>
                <w:color w:val="000000"/>
                <w:lang w:val="en-US" w:eastAsia="en-US"/>
              </w:rPr>
            </w:pPr>
            <w:r w:rsidRPr="00D94B08">
              <w:rPr>
                <w:color w:val="000000"/>
                <w:sz w:val="22"/>
                <w:szCs w:val="22"/>
                <w:lang w:val="en-US" w:eastAsia="en-US"/>
              </w:rPr>
              <w:t>11.3</w:t>
            </w:r>
          </w:p>
        </w:tc>
        <w:tc>
          <w:tcPr>
            <w:tcW w:w="3600" w:type="dxa"/>
            <w:tcBorders>
              <w:top w:val="nil"/>
              <w:left w:val="nil"/>
              <w:bottom w:val="single" w:sz="4" w:space="0" w:color="auto"/>
              <w:right w:val="single" w:sz="4" w:space="0" w:color="auto"/>
            </w:tcBorders>
            <w:noWrap/>
            <w:vAlign w:val="bottom"/>
          </w:tcPr>
          <w:p w14:paraId="7E03AF93" w14:textId="77777777" w:rsidR="00583B86" w:rsidRPr="00D94B08" w:rsidRDefault="00583B86" w:rsidP="00534F9D">
            <w:pPr>
              <w:jc w:val="center"/>
              <w:rPr>
                <w:color w:val="000000"/>
                <w:lang w:val="en-US" w:eastAsia="en-US"/>
              </w:rPr>
            </w:pPr>
            <w:r w:rsidRPr="00D94B08">
              <w:rPr>
                <w:color w:val="000000"/>
                <w:sz w:val="22"/>
                <w:szCs w:val="22"/>
                <w:lang w:val="en-US" w:eastAsia="en-US"/>
              </w:rPr>
              <w:t>4.37 (3.12 - 6.11)</w:t>
            </w:r>
          </w:p>
        </w:tc>
      </w:tr>
      <w:tr w:rsidR="00583B86" w:rsidRPr="00D94B08" w14:paraId="007A8F56"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62F689F4" w14:textId="77777777" w:rsidR="00583B86" w:rsidRPr="00D94B08" w:rsidRDefault="00583B86" w:rsidP="00534F9D">
            <w:pPr>
              <w:rPr>
                <w:color w:val="000000"/>
                <w:lang w:val="en-US" w:eastAsia="en-US"/>
              </w:rPr>
            </w:pPr>
            <w:r w:rsidRPr="00D94B08">
              <w:rPr>
                <w:color w:val="000000"/>
                <w:sz w:val="22"/>
                <w:szCs w:val="18"/>
                <w:lang w:eastAsia="en-US"/>
              </w:rPr>
              <w:t xml:space="preserve">   70 – 74 </w:t>
            </w:r>
          </w:p>
        </w:tc>
        <w:tc>
          <w:tcPr>
            <w:tcW w:w="1620" w:type="dxa"/>
            <w:tcBorders>
              <w:top w:val="nil"/>
              <w:left w:val="nil"/>
              <w:bottom w:val="single" w:sz="4" w:space="0" w:color="auto"/>
              <w:right w:val="single" w:sz="4" w:space="0" w:color="auto"/>
            </w:tcBorders>
            <w:noWrap/>
            <w:vAlign w:val="bottom"/>
          </w:tcPr>
          <w:p w14:paraId="27173194" w14:textId="77777777" w:rsidR="00583B86" w:rsidRPr="00D94B08" w:rsidRDefault="00583B86" w:rsidP="00534F9D">
            <w:pPr>
              <w:jc w:val="center"/>
              <w:rPr>
                <w:color w:val="000000"/>
                <w:lang w:val="en-US" w:eastAsia="en-US"/>
              </w:rPr>
            </w:pPr>
            <w:r w:rsidRPr="00D94B08">
              <w:rPr>
                <w:color w:val="000000"/>
                <w:sz w:val="22"/>
                <w:szCs w:val="22"/>
                <w:lang w:val="en-US" w:eastAsia="en-US"/>
              </w:rPr>
              <w:t>305</w:t>
            </w:r>
          </w:p>
        </w:tc>
        <w:tc>
          <w:tcPr>
            <w:tcW w:w="2160" w:type="dxa"/>
            <w:tcBorders>
              <w:top w:val="nil"/>
              <w:left w:val="nil"/>
              <w:bottom w:val="single" w:sz="4" w:space="0" w:color="auto"/>
              <w:right w:val="single" w:sz="4" w:space="0" w:color="auto"/>
            </w:tcBorders>
            <w:noWrap/>
            <w:vAlign w:val="bottom"/>
          </w:tcPr>
          <w:p w14:paraId="3FD5CFBC" w14:textId="77777777" w:rsidR="00583B86" w:rsidRPr="00D94B08" w:rsidRDefault="00583B86" w:rsidP="00534F9D">
            <w:pPr>
              <w:jc w:val="center"/>
              <w:rPr>
                <w:color w:val="000000"/>
                <w:lang w:val="en-US" w:eastAsia="en-US"/>
              </w:rPr>
            </w:pPr>
            <w:r w:rsidRPr="00D94B08">
              <w:rPr>
                <w:color w:val="000000"/>
                <w:sz w:val="22"/>
                <w:szCs w:val="22"/>
                <w:lang w:val="en-US" w:eastAsia="en-US"/>
              </w:rPr>
              <w:t>15.0</w:t>
            </w:r>
          </w:p>
        </w:tc>
        <w:tc>
          <w:tcPr>
            <w:tcW w:w="1080" w:type="dxa"/>
            <w:tcBorders>
              <w:top w:val="nil"/>
              <w:left w:val="nil"/>
              <w:bottom w:val="single" w:sz="4" w:space="0" w:color="auto"/>
              <w:right w:val="single" w:sz="4" w:space="0" w:color="auto"/>
            </w:tcBorders>
            <w:noWrap/>
            <w:vAlign w:val="bottom"/>
          </w:tcPr>
          <w:p w14:paraId="088F3864" w14:textId="77777777" w:rsidR="00583B86" w:rsidRPr="00D94B08" w:rsidRDefault="00583B86" w:rsidP="00534F9D">
            <w:pPr>
              <w:jc w:val="center"/>
              <w:rPr>
                <w:color w:val="000000"/>
                <w:lang w:val="en-US" w:eastAsia="en-US"/>
              </w:rPr>
            </w:pPr>
            <w:r w:rsidRPr="00D94B08">
              <w:rPr>
                <w:color w:val="000000"/>
                <w:sz w:val="22"/>
                <w:szCs w:val="22"/>
                <w:lang w:val="en-US" w:eastAsia="en-US"/>
              </w:rPr>
              <w:t>13.3</w:t>
            </w:r>
          </w:p>
        </w:tc>
        <w:tc>
          <w:tcPr>
            <w:tcW w:w="1260" w:type="dxa"/>
            <w:tcBorders>
              <w:top w:val="nil"/>
              <w:left w:val="nil"/>
              <w:bottom w:val="single" w:sz="4" w:space="0" w:color="auto"/>
              <w:right w:val="single" w:sz="4" w:space="0" w:color="auto"/>
            </w:tcBorders>
            <w:noWrap/>
            <w:vAlign w:val="bottom"/>
          </w:tcPr>
          <w:p w14:paraId="797306AD" w14:textId="77777777" w:rsidR="00583B86" w:rsidRPr="00D94B08" w:rsidRDefault="00583B86" w:rsidP="00534F9D">
            <w:pPr>
              <w:jc w:val="center"/>
              <w:rPr>
                <w:color w:val="000000"/>
                <w:lang w:val="en-US" w:eastAsia="en-US"/>
              </w:rPr>
            </w:pPr>
            <w:r w:rsidRPr="00D94B08">
              <w:rPr>
                <w:color w:val="000000"/>
                <w:sz w:val="22"/>
                <w:szCs w:val="22"/>
                <w:lang w:val="en-US" w:eastAsia="en-US"/>
              </w:rPr>
              <w:t>16.7</w:t>
            </w:r>
          </w:p>
        </w:tc>
        <w:tc>
          <w:tcPr>
            <w:tcW w:w="3600" w:type="dxa"/>
            <w:tcBorders>
              <w:top w:val="nil"/>
              <w:left w:val="nil"/>
              <w:bottom w:val="single" w:sz="4" w:space="0" w:color="auto"/>
              <w:right w:val="single" w:sz="4" w:space="0" w:color="auto"/>
            </w:tcBorders>
            <w:noWrap/>
            <w:vAlign w:val="bottom"/>
          </w:tcPr>
          <w:p w14:paraId="4CD41D72" w14:textId="77777777" w:rsidR="00583B86" w:rsidRPr="00D94B08" w:rsidRDefault="00583B86" w:rsidP="00534F9D">
            <w:pPr>
              <w:jc w:val="center"/>
              <w:rPr>
                <w:color w:val="000000"/>
                <w:lang w:val="en-US" w:eastAsia="en-US"/>
              </w:rPr>
            </w:pPr>
            <w:r w:rsidRPr="00D94B08">
              <w:rPr>
                <w:color w:val="000000"/>
                <w:sz w:val="22"/>
                <w:szCs w:val="22"/>
                <w:lang w:val="en-US" w:eastAsia="en-US"/>
              </w:rPr>
              <w:t>6.58 (4.75 - 9.12)</w:t>
            </w:r>
          </w:p>
        </w:tc>
      </w:tr>
      <w:tr w:rsidR="00583B86" w:rsidRPr="00D94B08" w14:paraId="0AD68C40"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78D97F73" w14:textId="77777777" w:rsidR="00583B86" w:rsidRPr="00D94B08" w:rsidRDefault="00583B86" w:rsidP="00534F9D">
            <w:pPr>
              <w:rPr>
                <w:color w:val="000000"/>
                <w:lang w:val="en-US" w:eastAsia="en-US"/>
              </w:rPr>
            </w:pPr>
            <w:r w:rsidRPr="00D94B08">
              <w:rPr>
                <w:color w:val="000000"/>
                <w:sz w:val="22"/>
                <w:szCs w:val="18"/>
                <w:lang w:eastAsia="en-US"/>
              </w:rPr>
              <w:t xml:space="preserve">   75 – 79 </w:t>
            </w:r>
          </w:p>
        </w:tc>
        <w:tc>
          <w:tcPr>
            <w:tcW w:w="1620" w:type="dxa"/>
            <w:tcBorders>
              <w:top w:val="nil"/>
              <w:left w:val="nil"/>
              <w:bottom w:val="single" w:sz="4" w:space="0" w:color="auto"/>
              <w:right w:val="single" w:sz="4" w:space="0" w:color="auto"/>
            </w:tcBorders>
            <w:noWrap/>
            <w:vAlign w:val="bottom"/>
          </w:tcPr>
          <w:p w14:paraId="4AFB5B3C" w14:textId="77777777" w:rsidR="00583B86" w:rsidRPr="00D94B08" w:rsidRDefault="00583B86" w:rsidP="00534F9D">
            <w:pPr>
              <w:jc w:val="center"/>
              <w:rPr>
                <w:color w:val="000000"/>
                <w:lang w:val="en-US" w:eastAsia="en-US"/>
              </w:rPr>
            </w:pPr>
            <w:r w:rsidRPr="00D94B08">
              <w:rPr>
                <w:color w:val="000000"/>
                <w:sz w:val="22"/>
                <w:szCs w:val="22"/>
                <w:lang w:val="en-US" w:eastAsia="en-US"/>
              </w:rPr>
              <w:t>550</w:t>
            </w:r>
          </w:p>
        </w:tc>
        <w:tc>
          <w:tcPr>
            <w:tcW w:w="2160" w:type="dxa"/>
            <w:tcBorders>
              <w:top w:val="nil"/>
              <w:left w:val="nil"/>
              <w:bottom w:val="single" w:sz="4" w:space="0" w:color="auto"/>
              <w:right w:val="single" w:sz="4" w:space="0" w:color="auto"/>
            </w:tcBorders>
            <w:noWrap/>
            <w:vAlign w:val="bottom"/>
          </w:tcPr>
          <w:p w14:paraId="27E7E6F0" w14:textId="77777777" w:rsidR="00583B86" w:rsidRPr="00D94B08" w:rsidRDefault="00583B86" w:rsidP="00534F9D">
            <w:pPr>
              <w:jc w:val="center"/>
              <w:rPr>
                <w:color w:val="000000"/>
                <w:lang w:val="en-US" w:eastAsia="en-US"/>
              </w:rPr>
            </w:pPr>
            <w:r w:rsidRPr="00D94B08">
              <w:rPr>
                <w:color w:val="000000"/>
                <w:sz w:val="22"/>
                <w:szCs w:val="22"/>
                <w:lang w:val="en-US" w:eastAsia="en-US"/>
              </w:rPr>
              <w:t>24.3</w:t>
            </w:r>
          </w:p>
        </w:tc>
        <w:tc>
          <w:tcPr>
            <w:tcW w:w="1080" w:type="dxa"/>
            <w:tcBorders>
              <w:top w:val="nil"/>
              <w:left w:val="nil"/>
              <w:bottom w:val="single" w:sz="4" w:space="0" w:color="auto"/>
              <w:right w:val="single" w:sz="4" w:space="0" w:color="auto"/>
            </w:tcBorders>
            <w:noWrap/>
            <w:vAlign w:val="bottom"/>
          </w:tcPr>
          <w:p w14:paraId="06934C60" w14:textId="77777777" w:rsidR="00583B86" w:rsidRPr="00D94B08" w:rsidRDefault="00583B86" w:rsidP="00534F9D">
            <w:pPr>
              <w:jc w:val="center"/>
              <w:rPr>
                <w:color w:val="000000"/>
                <w:lang w:val="en-US" w:eastAsia="en-US"/>
              </w:rPr>
            </w:pPr>
            <w:r w:rsidRPr="00D94B08">
              <w:rPr>
                <w:color w:val="000000"/>
                <w:sz w:val="22"/>
                <w:szCs w:val="22"/>
                <w:lang w:val="en-US" w:eastAsia="en-US"/>
              </w:rPr>
              <w:t>22.3</w:t>
            </w:r>
          </w:p>
        </w:tc>
        <w:tc>
          <w:tcPr>
            <w:tcW w:w="1260" w:type="dxa"/>
            <w:tcBorders>
              <w:top w:val="nil"/>
              <w:left w:val="nil"/>
              <w:bottom w:val="single" w:sz="4" w:space="0" w:color="auto"/>
              <w:right w:val="single" w:sz="4" w:space="0" w:color="auto"/>
            </w:tcBorders>
            <w:noWrap/>
            <w:vAlign w:val="bottom"/>
          </w:tcPr>
          <w:p w14:paraId="5BE5A16A" w14:textId="77777777" w:rsidR="00583B86" w:rsidRPr="00D94B08" w:rsidRDefault="00583B86" w:rsidP="00534F9D">
            <w:pPr>
              <w:jc w:val="center"/>
              <w:rPr>
                <w:color w:val="000000"/>
                <w:lang w:val="en-US" w:eastAsia="en-US"/>
              </w:rPr>
            </w:pPr>
            <w:r w:rsidRPr="00D94B08">
              <w:rPr>
                <w:color w:val="000000"/>
                <w:sz w:val="22"/>
                <w:szCs w:val="22"/>
                <w:lang w:val="en-US" w:eastAsia="en-US"/>
              </w:rPr>
              <w:t>26.3</w:t>
            </w:r>
          </w:p>
        </w:tc>
        <w:tc>
          <w:tcPr>
            <w:tcW w:w="3600" w:type="dxa"/>
            <w:tcBorders>
              <w:top w:val="nil"/>
              <w:left w:val="nil"/>
              <w:bottom w:val="single" w:sz="4" w:space="0" w:color="auto"/>
              <w:right w:val="single" w:sz="4" w:space="0" w:color="auto"/>
            </w:tcBorders>
            <w:noWrap/>
            <w:vAlign w:val="bottom"/>
          </w:tcPr>
          <w:p w14:paraId="136E5599" w14:textId="77777777" w:rsidR="00583B86" w:rsidRPr="00D94B08" w:rsidRDefault="00583B86" w:rsidP="00534F9D">
            <w:pPr>
              <w:jc w:val="center"/>
              <w:rPr>
                <w:color w:val="000000"/>
                <w:lang w:val="en-US" w:eastAsia="en-US"/>
              </w:rPr>
            </w:pPr>
            <w:r w:rsidRPr="00D94B08">
              <w:rPr>
                <w:color w:val="000000"/>
                <w:sz w:val="22"/>
                <w:szCs w:val="22"/>
                <w:lang w:val="en-US" w:eastAsia="en-US"/>
              </w:rPr>
              <w:t>10.5 (7.62 - 14.4)</w:t>
            </w:r>
          </w:p>
        </w:tc>
      </w:tr>
      <w:tr w:rsidR="00583B86" w:rsidRPr="00D94B08" w14:paraId="3E8516EC"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63CF3988" w14:textId="77777777" w:rsidR="00583B86" w:rsidRPr="00D94B08" w:rsidRDefault="00583B86" w:rsidP="00534F9D">
            <w:pPr>
              <w:rPr>
                <w:color w:val="000000"/>
                <w:lang w:val="en-US" w:eastAsia="en-US"/>
              </w:rPr>
            </w:pPr>
            <w:r w:rsidRPr="00D94B08">
              <w:rPr>
                <w:color w:val="000000"/>
                <w:sz w:val="22"/>
                <w:szCs w:val="18"/>
                <w:lang w:eastAsia="en-US"/>
              </w:rPr>
              <w:t xml:space="preserve">   80 – 84 </w:t>
            </w:r>
          </w:p>
        </w:tc>
        <w:tc>
          <w:tcPr>
            <w:tcW w:w="1620" w:type="dxa"/>
            <w:tcBorders>
              <w:top w:val="nil"/>
              <w:left w:val="nil"/>
              <w:bottom w:val="single" w:sz="4" w:space="0" w:color="auto"/>
              <w:right w:val="single" w:sz="4" w:space="0" w:color="auto"/>
            </w:tcBorders>
            <w:noWrap/>
            <w:vAlign w:val="bottom"/>
          </w:tcPr>
          <w:p w14:paraId="1FDEFEC9" w14:textId="77777777" w:rsidR="00583B86" w:rsidRPr="00D94B08" w:rsidRDefault="00583B86" w:rsidP="00534F9D">
            <w:pPr>
              <w:jc w:val="center"/>
              <w:rPr>
                <w:color w:val="000000"/>
                <w:lang w:val="en-US" w:eastAsia="en-US"/>
              </w:rPr>
            </w:pPr>
            <w:r w:rsidRPr="00D94B08">
              <w:rPr>
                <w:color w:val="000000"/>
                <w:sz w:val="22"/>
                <w:szCs w:val="22"/>
                <w:lang w:val="en-US" w:eastAsia="en-US"/>
              </w:rPr>
              <w:t>921</w:t>
            </w:r>
          </w:p>
        </w:tc>
        <w:tc>
          <w:tcPr>
            <w:tcW w:w="2160" w:type="dxa"/>
            <w:tcBorders>
              <w:top w:val="nil"/>
              <w:left w:val="nil"/>
              <w:bottom w:val="single" w:sz="4" w:space="0" w:color="auto"/>
              <w:right w:val="single" w:sz="4" w:space="0" w:color="auto"/>
            </w:tcBorders>
            <w:noWrap/>
            <w:vAlign w:val="bottom"/>
          </w:tcPr>
          <w:p w14:paraId="48E11978" w14:textId="77777777" w:rsidR="00583B86" w:rsidRPr="00D94B08" w:rsidRDefault="00583B86" w:rsidP="00534F9D">
            <w:pPr>
              <w:jc w:val="center"/>
              <w:rPr>
                <w:color w:val="000000"/>
                <w:lang w:val="en-US" w:eastAsia="en-US"/>
              </w:rPr>
            </w:pPr>
            <w:r w:rsidRPr="00D94B08">
              <w:rPr>
                <w:color w:val="000000"/>
                <w:sz w:val="22"/>
                <w:szCs w:val="22"/>
                <w:lang w:val="en-US" w:eastAsia="en-US"/>
              </w:rPr>
              <w:t>38.9</w:t>
            </w:r>
          </w:p>
        </w:tc>
        <w:tc>
          <w:tcPr>
            <w:tcW w:w="1080" w:type="dxa"/>
            <w:tcBorders>
              <w:top w:val="nil"/>
              <w:left w:val="nil"/>
              <w:bottom w:val="single" w:sz="4" w:space="0" w:color="auto"/>
              <w:right w:val="single" w:sz="4" w:space="0" w:color="auto"/>
            </w:tcBorders>
            <w:noWrap/>
            <w:vAlign w:val="bottom"/>
          </w:tcPr>
          <w:p w14:paraId="7E9AF020" w14:textId="77777777" w:rsidR="00583B86" w:rsidRPr="00D94B08" w:rsidRDefault="00583B86" w:rsidP="00534F9D">
            <w:pPr>
              <w:jc w:val="center"/>
              <w:rPr>
                <w:color w:val="000000"/>
                <w:lang w:val="en-US" w:eastAsia="en-US"/>
              </w:rPr>
            </w:pPr>
            <w:r w:rsidRPr="00D94B08">
              <w:rPr>
                <w:color w:val="000000"/>
                <w:sz w:val="22"/>
                <w:szCs w:val="22"/>
                <w:lang w:val="en-US" w:eastAsia="en-US"/>
              </w:rPr>
              <w:t>36.4</w:t>
            </w:r>
          </w:p>
        </w:tc>
        <w:tc>
          <w:tcPr>
            <w:tcW w:w="1260" w:type="dxa"/>
            <w:tcBorders>
              <w:top w:val="nil"/>
              <w:left w:val="nil"/>
              <w:bottom w:val="single" w:sz="4" w:space="0" w:color="auto"/>
              <w:right w:val="single" w:sz="4" w:space="0" w:color="auto"/>
            </w:tcBorders>
            <w:noWrap/>
            <w:vAlign w:val="bottom"/>
          </w:tcPr>
          <w:p w14:paraId="18FAEC2C" w14:textId="77777777" w:rsidR="00583B86" w:rsidRPr="00D94B08" w:rsidRDefault="00583B86" w:rsidP="00534F9D">
            <w:pPr>
              <w:jc w:val="center"/>
              <w:rPr>
                <w:color w:val="000000"/>
                <w:lang w:val="en-US" w:eastAsia="en-US"/>
              </w:rPr>
            </w:pPr>
            <w:r w:rsidRPr="00D94B08">
              <w:rPr>
                <w:color w:val="000000"/>
                <w:sz w:val="22"/>
                <w:szCs w:val="22"/>
                <w:lang w:val="en-US" w:eastAsia="en-US"/>
              </w:rPr>
              <w:t>41.4</w:t>
            </w:r>
          </w:p>
        </w:tc>
        <w:tc>
          <w:tcPr>
            <w:tcW w:w="3600" w:type="dxa"/>
            <w:tcBorders>
              <w:top w:val="nil"/>
              <w:left w:val="nil"/>
              <w:bottom w:val="single" w:sz="4" w:space="0" w:color="auto"/>
              <w:right w:val="single" w:sz="4" w:space="0" w:color="auto"/>
            </w:tcBorders>
            <w:noWrap/>
            <w:vAlign w:val="bottom"/>
          </w:tcPr>
          <w:p w14:paraId="6D4300DD" w14:textId="77777777" w:rsidR="00583B86" w:rsidRPr="00D94B08" w:rsidRDefault="00583B86" w:rsidP="00534F9D">
            <w:pPr>
              <w:jc w:val="center"/>
              <w:rPr>
                <w:color w:val="000000"/>
                <w:lang w:val="en-US" w:eastAsia="en-US"/>
              </w:rPr>
            </w:pPr>
            <w:r w:rsidRPr="00D94B08">
              <w:rPr>
                <w:color w:val="000000"/>
                <w:sz w:val="22"/>
                <w:szCs w:val="22"/>
                <w:lang w:val="en-US" w:eastAsia="en-US"/>
              </w:rPr>
              <w:t>16.5 (12.1 - 22.6)</w:t>
            </w:r>
          </w:p>
        </w:tc>
      </w:tr>
      <w:tr w:rsidR="00583B86" w:rsidRPr="00D94B08" w14:paraId="2BBE87E3"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12CD204C" w14:textId="77777777" w:rsidR="00583B86" w:rsidRPr="00D94B08" w:rsidRDefault="00583B86" w:rsidP="00534F9D">
            <w:pPr>
              <w:rPr>
                <w:color w:val="000000"/>
                <w:lang w:val="en-US" w:eastAsia="en-US"/>
              </w:rPr>
            </w:pPr>
            <w:r w:rsidRPr="00D94B08">
              <w:rPr>
                <w:color w:val="000000"/>
                <w:sz w:val="22"/>
                <w:szCs w:val="18"/>
                <w:lang w:eastAsia="en-US"/>
              </w:rPr>
              <w:t xml:space="preserve">   85 – 89  </w:t>
            </w:r>
          </w:p>
        </w:tc>
        <w:tc>
          <w:tcPr>
            <w:tcW w:w="1620" w:type="dxa"/>
            <w:tcBorders>
              <w:top w:val="nil"/>
              <w:left w:val="nil"/>
              <w:bottom w:val="single" w:sz="4" w:space="0" w:color="auto"/>
              <w:right w:val="single" w:sz="4" w:space="0" w:color="auto"/>
            </w:tcBorders>
            <w:noWrap/>
            <w:vAlign w:val="bottom"/>
          </w:tcPr>
          <w:p w14:paraId="625CBECD" w14:textId="77777777" w:rsidR="00583B86" w:rsidRPr="00D94B08" w:rsidRDefault="00583B86" w:rsidP="00534F9D">
            <w:pPr>
              <w:jc w:val="center"/>
              <w:rPr>
                <w:color w:val="000000"/>
                <w:lang w:val="en-US" w:eastAsia="en-US"/>
              </w:rPr>
            </w:pPr>
            <w:r w:rsidRPr="00D94B08">
              <w:rPr>
                <w:color w:val="000000"/>
                <w:sz w:val="22"/>
                <w:szCs w:val="22"/>
                <w:lang w:val="en-US" w:eastAsia="en-US"/>
              </w:rPr>
              <w:t>980</w:t>
            </w:r>
          </w:p>
        </w:tc>
        <w:tc>
          <w:tcPr>
            <w:tcW w:w="2160" w:type="dxa"/>
            <w:tcBorders>
              <w:top w:val="nil"/>
              <w:left w:val="nil"/>
              <w:bottom w:val="single" w:sz="4" w:space="0" w:color="auto"/>
              <w:right w:val="single" w:sz="4" w:space="0" w:color="auto"/>
            </w:tcBorders>
            <w:noWrap/>
            <w:vAlign w:val="bottom"/>
          </w:tcPr>
          <w:p w14:paraId="1B10AB59" w14:textId="77777777" w:rsidR="00583B86" w:rsidRPr="00D94B08" w:rsidRDefault="00583B86" w:rsidP="00534F9D">
            <w:pPr>
              <w:jc w:val="center"/>
              <w:rPr>
                <w:color w:val="000000"/>
                <w:lang w:val="en-US" w:eastAsia="en-US"/>
              </w:rPr>
            </w:pPr>
            <w:r w:rsidRPr="00D94B08">
              <w:rPr>
                <w:color w:val="000000"/>
                <w:sz w:val="22"/>
                <w:szCs w:val="22"/>
                <w:lang w:val="en-US" w:eastAsia="en-US"/>
              </w:rPr>
              <w:t>54.8</w:t>
            </w:r>
          </w:p>
        </w:tc>
        <w:tc>
          <w:tcPr>
            <w:tcW w:w="1080" w:type="dxa"/>
            <w:tcBorders>
              <w:top w:val="nil"/>
              <w:left w:val="nil"/>
              <w:bottom w:val="single" w:sz="4" w:space="0" w:color="auto"/>
              <w:right w:val="single" w:sz="4" w:space="0" w:color="auto"/>
            </w:tcBorders>
            <w:noWrap/>
            <w:vAlign w:val="bottom"/>
          </w:tcPr>
          <w:p w14:paraId="698A25E2" w14:textId="77777777" w:rsidR="00583B86" w:rsidRPr="00D94B08" w:rsidRDefault="00583B86" w:rsidP="00534F9D">
            <w:pPr>
              <w:jc w:val="center"/>
              <w:rPr>
                <w:color w:val="000000"/>
                <w:lang w:val="en-US" w:eastAsia="en-US"/>
              </w:rPr>
            </w:pPr>
            <w:r w:rsidRPr="00D94B08">
              <w:rPr>
                <w:color w:val="000000"/>
                <w:sz w:val="22"/>
                <w:szCs w:val="22"/>
                <w:lang w:val="en-US" w:eastAsia="en-US"/>
              </w:rPr>
              <w:t>51.3</w:t>
            </w:r>
          </w:p>
        </w:tc>
        <w:tc>
          <w:tcPr>
            <w:tcW w:w="1260" w:type="dxa"/>
            <w:tcBorders>
              <w:top w:val="nil"/>
              <w:left w:val="nil"/>
              <w:bottom w:val="single" w:sz="4" w:space="0" w:color="auto"/>
              <w:right w:val="single" w:sz="4" w:space="0" w:color="auto"/>
            </w:tcBorders>
            <w:noWrap/>
            <w:vAlign w:val="bottom"/>
          </w:tcPr>
          <w:p w14:paraId="73DC43E9" w14:textId="77777777" w:rsidR="00583B86" w:rsidRPr="00D94B08" w:rsidRDefault="00583B86" w:rsidP="00534F9D">
            <w:pPr>
              <w:jc w:val="center"/>
              <w:rPr>
                <w:color w:val="000000"/>
                <w:lang w:val="en-US" w:eastAsia="en-US"/>
              </w:rPr>
            </w:pPr>
            <w:r w:rsidRPr="00D94B08">
              <w:rPr>
                <w:color w:val="000000"/>
                <w:sz w:val="22"/>
                <w:szCs w:val="22"/>
                <w:lang w:val="en-US" w:eastAsia="en-US"/>
              </w:rPr>
              <w:t>58.2</w:t>
            </w:r>
          </w:p>
        </w:tc>
        <w:tc>
          <w:tcPr>
            <w:tcW w:w="3600" w:type="dxa"/>
            <w:tcBorders>
              <w:top w:val="nil"/>
              <w:left w:val="nil"/>
              <w:bottom w:val="single" w:sz="4" w:space="0" w:color="auto"/>
              <w:right w:val="single" w:sz="4" w:space="0" w:color="auto"/>
            </w:tcBorders>
            <w:noWrap/>
            <w:vAlign w:val="bottom"/>
          </w:tcPr>
          <w:p w14:paraId="642648AA" w14:textId="77777777" w:rsidR="00583B86" w:rsidRPr="00D94B08" w:rsidRDefault="00583B86" w:rsidP="00534F9D">
            <w:pPr>
              <w:jc w:val="center"/>
              <w:rPr>
                <w:color w:val="000000"/>
                <w:lang w:val="en-US" w:eastAsia="en-US"/>
              </w:rPr>
            </w:pPr>
            <w:r w:rsidRPr="00D94B08">
              <w:rPr>
                <w:color w:val="000000"/>
                <w:sz w:val="22"/>
                <w:szCs w:val="22"/>
                <w:lang w:val="en-US" w:eastAsia="en-US"/>
              </w:rPr>
              <w:t>23.1 (16.9 - 31.6)</w:t>
            </w:r>
          </w:p>
        </w:tc>
      </w:tr>
      <w:tr w:rsidR="00583B86" w:rsidRPr="00D94B08" w14:paraId="1C3F4F6C"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476FD90B" w14:textId="77777777" w:rsidR="00583B86" w:rsidRPr="00D94B08" w:rsidRDefault="00583B86" w:rsidP="00534F9D">
            <w:pPr>
              <w:rPr>
                <w:color w:val="000000"/>
                <w:lang w:val="en-US" w:eastAsia="en-US"/>
              </w:rPr>
            </w:pPr>
            <w:r w:rsidRPr="00D94B08">
              <w:rPr>
                <w:color w:val="000000"/>
                <w:sz w:val="22"/>
                <w:szCs w:val="18"/>
                <w:lang w:eastAsia="en-US"/>
              </w:rPr>
              <w:t xml:space="preserve">   90 +</w:t>
            </w:r>
          </w:p>
        </w:tc>
        <w:tc>
          <w:tcPr>
            <w:tcW w:w="1620" w:type="dxa"/>
            <w:tcBorders>
              <w:top w:val="nil"/>
              <w:left w:val="nil"/>
              <w:bottom w:val="single" w:sz="4" w:space="0" w:color="auto"/>
              <w:right w:val="single" w:sz="4" w:space="0" w:color="auto"/>
            </w:tcBorders>
            <w:noWrap/>
            <w:vAlign w:val="bottom"/>
          </w:tcPr>
          <w:p w14:paraId="28E66313" w14:textId="77777777" w:rsidR="00583B86" w:rsidRPr="00D94B08" w:rsidRDefault="00583B86" w:rsidP="00534F9D">
            <w:pPr>
              <w:jc w:val="center"/>
              <w:rPr>
                <w:color w:val="000000"/>
                <w:lang w:val="en-US" w:eastAsia="en-US"/>
              </w:rPr>
            </w:pPr>
            <w:r w:rsidRPr="00D94B08">
              <w:rPr>
                <w:color w:val="000000"/>
                <w:sz w:val="22"/>
                <w:szCs w:val="22"/>
                <w:lang w:val="en-US" w:eastAsia="en-US"/>
              </w:rPr>
              <w:t>877</w:t>
            </w:r>
          </w:p>
        </w:tc>
        <w:tc>
          <w:tcPr>
            <w:tcW w:w="2160" w:type="dxa"/>
            <w:tcBorders>
              <w:top w:val="nil"/>
              <w:left w:val="nil"/>
              <w:bottom w:val="single" w:sz="4" w:space="0" w:color="auto"/>
              <w:right w:val="single" w:sz="4" w:space="0" w:color="auto"/>
            </w:tcBorders>
            <w:noWrap/>
            <w:vAlign w:val="bottom"/>
          </w:tcPr>
          <w:p w14:paraId="29738ED8" w14:textId="77777777" w:rsidR="00583B86" w:rsidRPr="00D94B08" w:rsidRDefault="00583B86" w:rsidP="00534F9D">
            <w:pPr>
              <w:jc w:val="center"/>
              <w:rPr>
                <w:color w:val="000000"/>
                <w:lang w:val="en-US" w:eastAsia="en-US"/>
              </w:rPr>
            </w:pPr>
            <w:r w:rsidRPr="00D94B08">
              <w:rPr>
                <w:color w:val="000000"/>
                <w:sz w:val="22"/>
                <w:szCs w:val="22"/>
                <w:lang w:val="en-US" w:eastAsia="en-US"/>
              </w:rPr>
              <w:t>86.4</w:t>
            </w:r>
          </w:p>
        </w:tc>
        <w:tc>
          <w:tcPr>
            <w:tcW w:w="1080" w:type="dxa"/>
            <w:tcBorders>
              <w:top w:val="nil"/>
              <w:left w:val="nil"/>
              <w:bottom w:val="single" w:sz="4" w:space="0" w:color="auto"/>
              <w:right w:val="single" w:sz="4" w:space="0" w:color="auto"/>
            </w:tcBorders>
            <w:noWrap/>
            <w:vAlign w:val="bottom"/>
          </w:tcPr>
          <w:p w14:paraId="513BBE1F" w14:textId="77777777" w:rsidR="00583B86" w:rsidRPr="00D94B08" w:rsidRDefault="00583B86" w:rsidP="00534F9D">
            <w:pPr>
              <w:jc w:val="center"/>
              <w:rPr>
                <w:color w:val="000000"/>
                <w:lang w:val="en-US" w:eastAsia="en-US"/>
              </w:rPr>
            </w:pPr>
            <w:r w:rsidRPr="00D94B08">
              <w:rPr>
                <w:color w:val="000000"/>
                <w:sz w:val="22"/>
                <w:szCs w:val="22"/>
                <w:lang w:val="en-US" w:eastAsia="en-US"/>
              </w:rPr>
              <w:t>80.7</w:t>
            </w:r>
          </w:p>
        </w:tc>
        <w:tc>
          <w:tcPr>
            <w:tcW w:w="1260" w:type="dxa"/>
            <w:tcBorders>
              <w:top w:val="nil"/>
              <w:left w:val="nil"/>
              <w:bottom w:val="single" w:sz="4" w:space="0" w:color="auto"/>
              <w:right w:val="single" w:sz="4" w:space="0" w:color="auto"/>
            </w:tcBorders>
            <w:noWrap/>
            <w:vAlign w:val="bottom"/>
          </w:tcPr>
          <w:p w14:paraId="7BF99A4D" w14:textId="77777777" w:rsidR="00583B86" w:rsidRPr="00D94B08" w:rsidRDefault="00583B86" w:rsidP="00534F9D">
            <w:pPr>
              <w:jc w:val="center"/>
              <w:rPr>
                <w:color w:val="000000"/>
                <w:lang w:val="en-US" w:eastAsia="en-US"/>
              </w:rPr>
            </w:pPr>
            <w:r w:rsidRPr="00D94B08">
              <w:rPr>
                <w:color w:val="000000"/>
                <w:sz w:val="22"/>
                <w:szCs w:val="22"/>
                <w:lang w:val="en-US" w:eastAsia="en-US"/>
              </w:rPr>
              <w:t>92.1</w:t>
            </w:r>
          </w:p>
        </w:tc>
        <w:tc>
          <w:tcPr>
            <w:tcW w:w="3600" w:type="dxa"/>
            <w:tcBorders>
              <w:top w:val="nil"/>
              <w:left w:val="nil"/>
              <w:bottom w:val="single" w:sz="4" w:space="0" w:color="auto"/>
              <w:right w:val="single" w:sz="4" w:space="0" w:color="auto"/>
            </w:tcBorders>
            <w:noWrap/>
            <w:vAlign w:val="bottom"/>
          </w:tcPr>
          <w:p w14:paraId="31A18385" w14:textId="77777777" w:rsidR="00583B86" w:rsidRPr="00D94B08" w:rsidRDefault="00583B86" w:rsidP="00534F9D">
            <w:pPr>
              <w:jc w:val="center"/>
              <w:rPr>
                <w:color w:val="000000"/>
                <w:lang w:val="en-US" w:eastAsia="en-US"/>
              </w:rPr>
            </w:pPr>
            <w:r w:rsidRPr="00D94B08">
              <w:rPr>
                <w:color w:val="000000"/>
                <w:sz w:val="22"/>
                <w:szCs w:val="22"/>
                <w:lang w:val="en-US" w:eastAsia="en-US"/>
              </w:rPr>
              <w:t>35.4 (25.8 - 48.4)</w:t>
            </w:r>
          </w:p>
        </w:tc>
      </w:tr>
      <w:tr w:rsidR="00583B86" w:rsidRPr="00D94B08" w14:paraId="10EDC3A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3D6AE5D" w14:textId="77777777" w:rsidR="00583B86" w:rsidRPr="00D94B08" w:rsidRDefault="00583B86" w:rsidP="00534F9D">
            <w:pPr>
              <w:rPr>
                <w:color w:val="000000"/>
                <w:lang w:val="en-US" w:eastAsia="en-US"/>
              </w:rPr>
            </w:pPr>
            <w:r w:rsidRPr="00D94B08">
              <w:rPr>
                <w:color w:val="000000"/>
                <w:sz w:val="22"/>
                <w:szCs w:val="22"/>
                <w:lang w:val="en-US" w:eastAsia="en-US"/>
              </w:rPr>
              <w:t>By ethnicity</w:t>
            </w:r>
          </w:p>
        </w:tc>
        <w:tc>
          <w:tcPr>
            <w:tcW w:w="1620" w:type="dxa"/>
            <w:tcBorders>
              <w:top w:val="nil"/>
              <w:left w:val="nil"/>
              <w:bottom w:val="single" w:sz="4" w:space="0" w:color="auto"/>
              <w:right w:val="single" w:sz="4" w:space="0" w:color="auto"/>
            </w:tcBorders>
            <w:noWrap/>
            <w:vAlign w:val="bottom"/>
          </w:tcPr>
          <w:p w14:paraId="1DEBEE3E"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7F1F8CCC"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78696ADD"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7F358AC1"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441912A9" w14:textId="77777777" w:rsidR="00583B86" w:rsidRPr="00D94B08" w:rsidRDefault="00583B86" w:rsidP="00534F9D">
            <w:pPr>
              <w:rPr>
                <w:color w:val="000000"/>
                <w:lang w:val="en-US" w:eastAsia="en-US"/>
              </w:rPr>
            </w:pPr>
            <w:r w:rsidRPr="00D94B08">
              <w:rPr>
                <w:color w:val="000000"/>
                <w:sz w:val="22"/>
                <w:szCs w:val="22"/>
                <w:lang w:val="en-US" w:eastAsia="en-US"/>
              </w:rPr>
              <w:t> </w:t>
            </w:r>
          </w:p>
        </w:tc>
      </w:tr>
      <w:tr w:rsidR="00583B86" w:rsidRPr="00D94B08" w14:paraId="7F25DA8F"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0C787501" w14:textId="77777777" w:rsidR="00583B86" w:rsidRPr="00D94B08" w:rsidRDefault="00583B86" w:rsidP="00534F9D">
            <w:pPr>
              <w:rPr>
                <w:color w:val="000000"/>
                <w:lang w:val="en-US" w:eastAsia="en-US"/>
              </w:rPr>
            </w:pPr>
            <w:r w:rsidRPr="00D94B08">
              <w:rPr>
                <w:color w:val="000000"/>
                <w:sz w:val="22"/>
                <w:szCs w:val="22"/>
                <w:lang w:val="en-US" w:eastAsia="en-US"/>
              </w:rPr>
              <w:t xml:space="preserve">   White</w:t>
            </w:r>
          </w:p>
        </w:tc>
        <w:tc>
          <w:tcPr>
            <w:tcW w:w="1620" w:type="dxa"/>
            <w:tcBorders>
              <w:top w:val="nil"/>
              <w:left w:val="nil"/>
              <w:bottom w:val="single" w:sz="4" w:space="0" w:color="auto"/>
              <w:right w:val="single" w:sz="4" w:space="0" w:color="auto"/>
            </w:tcBorders>
            <w:noWrap/>
            <w:vAlign w:val="bottom"/>
          </w:tcPr>
          <w:p w14:paraId="042D60D6" w14:textId="77777777" w:rsidR="00583B86" w:rsidRPr="00D94B08" w:rsidRDefault="00583B86" w:rsidP="00534F9D">
            <w:pPr>
              <w:jc w:val="center"/>
              <w:rPr>
                <w:color w:val="000000"/>
                <w:lang w:val="en-US" w:eastAsia="en-US"/>
              </w:rPr>
            </w:pPr>
            <w:r w:rsidRPr="00D94B08">
              <w:rPr>
                <w:color w:val="000000"/>
                <w:sz w:val="22"/>
                <w:szCs w:val="22"/>
                <w:lang w:val="en-US" w:eastAsia="en-US"/>
              </w:rPr>
              <w:t>3279</w:t>
            </w:r>
          </w:p>
        </w:tc>
        <w:tc>
          <w:tcPr>
            <w:tcW w:w="2160" w:type="dxa"/>
            <w:tcBorders>
              <w:top w:val="nil"/>
              <w:left w:val="nil"/>
              <w:bottom w:val="single" w:sz="4" w:space="0" w:color="auto"/>
              <w:right w:val="single" w:sz="4" w:space="0" w:color="auto"/>
            </w:tcBorders>
            <w:noWrap/>
            <w:vAlign w:val="bottom"/>
          </w:tcPr>
          <w:p w14:paraId="5BE8B16E" w14:textId="77777777" w:rsidR="00583B86" w:rsidRPr="00D94B08" w:rsidRDefault="00583B86" w:rsidP="00534F9D">
            <w:pPr>
              <w:jc w:val="center"/>
              <w:rPr>
                <w:color w:val="000000"/>
                <w:lang w:val="en-US" w:eastAsia="en-US"/>
              </w:rPr>
            </w:pPr>
            <w:r w:rsidRPr="00D94B08">
              <w:rPr>
                <w:color w:val="000000"/>
                <w:sz w:val="22"/>
                <w:szCs w:val="22"/>
                <w:lang w:val="en-US" w:eastAsia="en-US"/>
              </w:rPr>
              <w:t>21.9</w:t>
            </w:r>
          </w:p>
        </w:tc>
        <w:tc>
          <w:tcPr>
            <w:tcW w:w="1080" w:type="dxa"/>
            <w:tcBorders>
              <w:top w:val="nil"/>
              <w:left w:val="nil"/>
              <w:bottom w:val="single" w:sz="4" w:space="0" w:color="auto"/>
              <w:right w:val="single" w:sz="4" w:space="0" w:color="auto"/>
            </w:tcBorders>
            <w:noWrap/>
            <w:vAlign w:val="bottom"/>
          </w:tcPr>
          <w:p w14:paraId="08EBB1F0" w14:textId="77777777" w:rsidR="00583B86" w:rsidRPr="00D94B08" w:rsidRDefault="00583B86" w:rsidP="00534F9D">
            <w:pPr>
              <w:jc w:val="center"/>
              <w:rPr>
                <w:color w:val="000000"/>
                <w:lang w:val="en-US" w:eastAsia="en-US"/>
              </w:rPr>
            </w:pPr>
            <w:r w:rsidRPr="00D94B08">
              <w:rPr>
                <w:color w:val="000000"/>
                <w:sz w:val="22"/>
                <w:szCs w:val="22"/>
                <w:lang w:val="en-US" w:eastAsia="en-US"/>
              </w:rPr>
              <w:t>21.1</w:t>
            </w:r>
          </w:p>
        </w:tc>
        <w:tc>
          <w:tcPr>
            <w:tcW w:w="1260" w:type="dxa"/>
            <w:tcBorders>
              <w:top w:val="nil"/>
              <w:left w:val="nil"/>
              <w:bottom w:val="single" w:sz="4" w:space="0" w:color="auto"/>
              <w:right w:val="single" w:sz="4" w:space="0" w:color="auto"/>
            </w:tcBorders>
            <w:noWrap/>
            <w:vAlign w:val="bottom"/>
          </w:tcPr>
          <w:p w14:paraId="55160A05" w14:textId="77777777" w:rsidR="00583B86" w:rsidRPr="00D94B08" w:rsidRDefault="00583B86" w:rsidP="00534F9D">
            <w:pPr>
              <w:jc w:val="center"/>
              <w:rPr>
                <w:color w:val="000000"/>
                <w:lang w:val="en-US" w:eastAsia="en-US"/>
              </w:rPr>
            </w:pPr>
            <w:r w:rsidRPr="00D94B08">
              <w:rPr>
                <w:color w:val="000000"/>
                <w:sz w:val="22"/>
                <w:szCs w:val="22"/>
                <w:lang w:val="en-US" w:eastAsia="en-US"/>
              </w:rPr>
              <w:t>22.6</w:t>
            </w:r>
          </w:p>
        </w:tc>
        <w:tc>
          <w:tcPr>
            <w:tcW w:w="3600" w:type="dxa"/>
            <w:tcBorders>
              <w:top w:val="nil"/>
              <w:left w:val="nil"/>
              <w:bottom w:val="single" w:sz="4" w:space="0" w:color="auto"/>
              <w:right w:val="single" w:sz="4" w:space="0" w:color="auto"/>
            </w:tcBorders>
            <w:noWrap/>
            <w:vAlign w:val="bottom"/>
          </w:tcPr>
          <w:p w14:paraId="498B46BF" w14:textId="77777777" w:rsidR="00583B86" w:rsidRPr="00D94B08" w:rsidRDefault="00583B86" w:rsidP="00534F9D">
            <w:pPr>
              <w:jc w:val="center"/>
              <w:rPr>
                <w:color w:val="000000"/>
                <w:lang w:val="en-US" w:eastAsia="en-US"/>
              </w:rPr>
            </w:pPr>
            <w:r w:rsidRPr="00D94B08">
              <w:rPr>
                <w:color w:val="000000"/>
                <w:sz w:val="22"/>
                <w:szCs w:val="22"/>
                <w:lang w:val="en-US" w:eastAsia="en-US"/>
              </w:rPr>
              <w:t>Reference</w:t>
            </w:r>
          </w:p>
        </w:tc>
      </w:tr>
      <w:tr w:rsidR="00583B86" w:rsidRPr="00D94B08" w14:paraId="1E1450AC"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A3EA399" w14:textId="77777777" w:rsidR="00583B86" w:rsidRPr="00D94B08" w:rsidRDefault="00583B86" w:rsidP="00534F9D">
            <w:pPr>
              <w:rPr>
                <w:color w:val="000000"/>
                <w:lang w:val="en-US" w:eastAsia="en-US"/>
              </w:rPr>
            </w:pPr>
            <w:r w:rsidRPr="00D94B08">
              <w:rPr>
                <w:color w:val="000000"/>
                <w:sz w:val="22"/>
                <w:szCs w:val="22"/>
                <w:lang w:val="en-US" w:eastAsia="en-US"/>
              </w:rPr>
              <w:t xml:space="preserve">   Black</w:t>
            </w:r>
          </w:p>
        </w:tc>
        <w:tc>
          <w:tcPr>
            <w:tcW w:w="1620" w:type="dxa"/>
            <w:tcBorders>
              <w:top w:val="nil"/>
              <w:left w:val="nil"/>
              <w:bottom w:val="single" w:sz="4" w:space="0" w:color="auto"/>
              <w:right w:val="single" w:sz="4" w:space="0" w:color="auto"/>
            </w:tcBorders>
            <w:noWrap/>
            <w:vAlign w:val="bottom"/>
          </w:tcPr>
          <w:p w14:paraId="001703F8" w14:textId="77777777" w:rsidR="00583B86" w:rsidRPr="00D94B08" w:rsidRDefault="00583B86" w:rsidP="00534F9D">
            <w:pPr>
              <w:jc w:val="center"/>
              <w:rPr>
                <w:color w:val="000000"/>
                <w:lang w:val="en-US" w:eastAsia="en-US"/>
              </w:rPr>
            </w:pPr>
            <w:r w:rsidRPr="00D94B08">
              <w:rPr>
                <w:color w:val="000000"/>
                <w:sz w:val="22"/>
                <w:szCs w:val="22"/>
                <w:lang w:val="en-US" w:eastAsia="en-US"/>
              </w:rPr>
              <w:t>10</w:t>
            </w:r>
          </w:p>
        </w:tc>
        <w:tc>
          <w:tcPr>
            <w:tcW w:w="2160" w:type="dxa"/>
            <w:tcBorders>
              <w:top w:val="nil"/>
              <w:left w:val="nil"/>
              <w:bottom w:val="single" w:sz="4" w:space="0" w:color="auto"/>
              <w:right w:val="single" w:sz="4" w:space="0" w:color="auto"/>
            </w:tcBorders>
            <w:noWrap/>
            <w:vAlign w:val="bottom"/>
          </w:tcPr>
          <w:p w14:paraId="0DFFFD57" w14:textId="77777777" w:rsidR="00583B86" w:rsidRPr="00D94B08" w:rsidRDefault="00583B86" w:rsidP="00534F9D">
            <w:pPr>
              <w:jc w:val="center"/>
              <w:rPr>
                <w:color w:val="000000"/>
                <w:lang w:val="en-US" w:eastAsia="en-US"/>
              </w:rPr>
            </w:pPr>
            <w:r w:rsidRPr="00D94B08">
              <w:rPr>
                <w:color w:val="000000"/>
                <w:sz w:val="22"/>
                <w:szCs w:val="22"/>
                <w:lang w:val="en-US" w:eastAsia="en-US"/>
              </w:rPr>
              <w:t>21.1</w:t>
            </w:r>
          </w:p>
        </w:tc>
        <w:tc>
          <w:tcPr>
            <w:tcW w:w="1080" w:type="dxa"/>
            <w:tcBorders>
              <w:top w:val="nil"/>
              <w:left w:val="nil"/>
              <w:bottom w:val="single" w:sz="4" w:space="0" w:color="auto"/>
              <w:right w:val="single" w:sz="4" w:space="0" w:color="auto"/>
            </w:tcBorders>
            <w:noWrap/>
            <w:vAlign w:val="bottom"/>
          </w:tcPr>
          <w:p w14:paraId="30A6A795" w14:textId="77777777" w:rsidR="00583B86" w:rsidRPr="00D94B08" w:rsidRDefault="00583B86" w:rsidP="00534F9D">
            <w:pPr>
              <w:jc w:val="center"/>
              <w:rPr>
                <w:color w:val="000000"/>
                <w:lang w:val="en-US" w:eastAsia="en-US"/>
              </w:rPr>
            </w:pPr>
            <w:r w:rsidRPr="00D94B08">
              <w:rPr>
                <w:color w:val="000000"/>
                <w:sz w:val="22"/>
                <w:szCs w:val="22"/>
                <w:lang w:val="en-US" w:eastAsia="en-US"/>
              </w:rPr>
              <w:t>8.1</w:t>
            </w:r>
          </w:p>
        </w:tc>
        <w:tc>
          <w:tcPr>
            <w:tcW w:w="1260" w:type="dxa"/>
            <w:tcBorders>
              <w:top w:val="nil"/>
              <w:left w:val="nil"/>
              <w:bottom w:val="single" w:sz="4" w:space="0" w:color="auto"/>
              <w:right w:val="single" w:sz="4" w:space="0" w:color="auto"/>
            </w:tcBorders>
            <w:noWrap/>
            <w:vAlign w:val="bottom"/>
          </w:tcPr>
          <w:p w14:paraId="0477D060" w14:textId="77777777" w:rsidR="00583B86" w:rsidRPr="00D94B08" w:rsidRDefault="00583B86" w:rsidP="00534F9D">
            <w:pPr>
              <w:jc w:val="center"/>
              <w:rPr>
                <w:color w:val="000000"/>
                <w:lang w:val="en-US" w:eastAsia="en-US"/>
              </w:rPr>
            </w:pPr>
            <w:r w:rsidRPr="00D94B08">
              <w:rPr>
                <w:color w:val="000000"/>
                <w:sz w:val="22"/>
                <w:szCs w:val="22"/>
                <w:lang w:val="en-US" w:eastAsia="en-US"/>
              </w:rPr>
              <w:t>34.5</w:t>
            </w:r>
          </w:p>
        </w:tc>
        <w:tc>
          <w:tcPr>
            <w:tcW w:w="3600" w:type="dxa"/>
            <w:tcBorders>
              <w:top w:val="nil"/>
              <w:left w:val="nil"/>
              <w:bottom w:val="single" w:sz="4" w:space="0" w:color="auto"/>
              <w:right w:val="single" w:sz="4" w:space="0" w:color="auto"/>
            </w:tcBorders>
            <w:noWrap/>
            <w:vAlign w:val="bottom"/>
          </w:tcPr>
          <w:p w14:paraId="03819A97" w14:textId="77777777" w:rsidR="00583B86" w:rsidRPr="00D94B08" w:rsidRDefault="00583B86" w:rsidP="00534F9D">
            <w:pPr>
              <w:jc w:val="center"/>
              <w:rPr>
                <w:color w:val="000000"/>
                <w:lang w:val="en-US" w:eastAsia="en-US"/>
              </w:rPr>
            </w:pPr>
            <w:r w:rsidRPr="00D94B08">
              <w:rPr>
                <w:color w:val="000000"/>
                <w:sz w:val="22"/>
                <w:szCs w:val="22"/>
                <w:lang w:val="en-US" w:eastAsia="en-US"/>
              </w:rPr>
              <w:t>1.30 (0.70  - 2.41)</w:t>
            </w:r>
          </w:p>
        </w:tc>
      </w:tr>
      <w:tr w:rsidR="00583B86" w:rsidRPr="00D94B08" w14:paraId="259716C3"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0C67AAB5" w14:textId="77777777" w:rsidR="00583B86" w:rsidRPr="00D94B08" w:rsidRDefault="00583B86" w:rsidP="00534F9D">
            <w:pPr>
              <w:rPr>
                <w:color w:val="000000"/>
                <w:lang w:val="en-US" w:eastAsia="en-US"/>
              </w:rPr>
            </w:pPr>
            <w:r w:rsidRPr="00D94B08">
              <w:rPr>
                <w:color w:val="000000"/>
                <w:sz w:val="22"/>
                <w:szCs w:val="22"/>
                <w:lang w:val="en-US" w:eastAsia="en-US"/>
              </w:rPr>
              <w:t xml:space="preserve">   Mixed</w:t>
            </w:r>
          </w:p>
        </w:tc>
        <w:tc>
          <w:tcPr>
            <w:tcW w:w="1620" w:type="dxa"/>
            <w:tcBorders>
              <w:top w:val="nil"/>
              <w:left w:val="nil"/>
              <w:bottom w:val="single" w:sz="4" w:space="0" w:color="auto"/>
              <w:right w:val="single" w:sz="4" w:space="0" w:color="auto"/>
            </w:tcBorders>
            <w:noWrap/>
            <w:vAlign w:val="bottom"/>
          </w:tcPr>
          <w:p w14:paraId="000C9B87" w14:textId="77777777" w:rsidR="00583B86" w:rsidRPr="00D94B08" w:rsidRDefault="00583B86" w:rsidP="00534F9D">
            <w:pPr>
              <w:jc w:val="center"/>
              <w:rPr>
                <w:color w:val="000000"/>
                <w:lang w:val="en-US" w:eastAsia="en-US"/>
              </w:rPr>
            </w:pPr>
            <w:r w:rsidRPr="00D94B08">
              <w:rPr>
                <w:color w:val="000000"/>
                <w:sz w:val="22"/>
                <w:szCs w:val="22"/>
                <w:lang w:val="en-US" w:eastAsia="en-US"/>
              </w:rPr>
              <w:t>3</w:t>
            </w:r>
          </w:p>
        </w:tc>
        <w:tc>
          <w:tcPr>
            <w:tcW w:w="2160" w:type="dxa"/>
            <w:tcBorders>
              <w:top w:val="nil"/>
              <w:left w:val="nil"/>
              <w:bottom w:val="single" w:sz="4" w:space="0" w:color="auto"/>
              <w:right w:val="single" w:sz="4" w:space="0" w:color="auto"/>
            </w:tcBorders>
            <w:noWrap/>
            <w:vAlign w:val="bottom"/>
          </w:tcPr>
          <w:p w14:paraId="7EB73F3D" w14:textId="77777777" w:rsidR="00583B86" w:rsidRPr="00D94B08" w:rsidRDefault="00583B86" w:rsidP="00534F9D">
            <w:pPr>
              <w:jc w:val="center"/>
              <w:rPr>
                <w:color w:val="000000"/>
                <w:lang w:val="en-US" w:eastAsia="en-US"/>
              </w:rPr>
            </w:pPr>
            <w:r w:rsidRPr="00D94B08">
              <w:rPr>
                <w:color w:val="000000"/>
                <w:sz w:val="22"/>
                <w:szCs w:val="22"/>
                <w:lang w:val="en-US" w:eastAsia="en-US"/>
              </w:rPr>
              <w:t>22.0</w:t>
            </w:r>
          </w:p>
        </w:tc>
        <w:tc>
          <w:tcPr>
            <w:tcW w:w="1080" w:type="dxa"/>
            <w:tcBorders>
              <w:top w:val="nil"/>
              <w:left w:val="nil"/>
              <w:bottom w:val="single" w:sz="4" w:space="0" w:color="auto"/>
              <w:right w:val="single" w:sz="4" w:space="0" w:color="auto"/>
            </w:tcBorders>
            <w:noWrap/>
            <w:vAlign w:val="bottom"/>
          </w:tcPr>
          <w:p w14:paraId="57020604" w14:textId="77777777" w:rsidR="00583B86" w:rsidRPr="00D94B08" w:rsidRDefault="00583B86" w:rsidP="00534F9D">
            <w:pPr>
              <w:jc w:val="center"/>
              <w:rPr>
                <w:color w:val="000000"/>
                <w:lang w:val="en-US" w:eastAsia="en-US"/>
              </w:rPr>
            </w:pPr>
            <w:r w:rsidRPr="00D94B08">
              <w:rPr>
                <w:color w:val="000000"/>
                <w:sz w:val="22"/>
                <w:szCs w:val="22"/>
                <w:lang w:val="en-US" w:eastAsia="en-US"/>
              </w:rPr>
              <w:t>2.8</w:t>
            </w:r>
          </w:p>
        </w:tc>
        <w:tc>
          <w:tcPr>
            <w:tcW w:w="1260" w:type="dxa"/>
            <w:tcBorders>
              <w:top w:val="nil"/>
              <w:left w:val="nil"/>
              <w:bottom w:val="single" w:sz="4" w:space="0" w:color="auto"/>
              <w:right w:val="single" w:sz="4" w:space="0" w:color="auto"/>
            </w:tcBorders>
            <w:noWrap/>
            <w:vAlign w:val="bottom"/>
          </w:tcPr>
          <w:p w14:paraId="03AD9C80" w14:textId="77777777" w:rsidR="00583B86" w:rsidRPr="00D94B08" w:rsidRDefault="00583B86" w:rsidP="00534F9D">
            <w:pPr>
              <w:jc w:val="center"/>
              <w:rPr>
                <w:color w:val="000000"/>
                <w:lang w:val="en-US" w:eastAsia="en-US"/>
              </w:rPr>
            </w:pPr>
            <w:r w:rsidRPr="00D94B08">
              <w:rPr>
                <w:color w:val="000000"/>
                <w:sz w:val="22"/>
                <w:szCs w:val="22"/>
                <w:lang w:val="en-US" w:eastAsia="en-US"/>
              </w:rPr>
              <w:t>45.7</w:t>
            </w:r>
          </w:p>
        </w:tc>
        <w:tc>
          <w:tcPr>
            <w:tcW w:w="3600" w:type="dxa"/>
            <w:tcBorders>
              <w:top w:val="nil"/>
              <w:left w:val="nil"/>
              <w:bottom w:val="single" w:sz="4" w:space="0" w:color="auto"/>
              <w:right w:val="single" w:sz="4" w:space="0" w:color="auto"/>
            </w:tcBorders>
            <w:noWrap/>
            <w:vAlign w:val="bottom"/>
          </w:tcPr>
          <w:p w14:paraId="36599432" w14:textId="77777777" w:rsidR="00583B86" w:rsidRPr="00D94B08" w:rsidRDefault="00583B86" w:rsidP="00534F9D">
            <w:pPr>
              <w:jc w:val="center"/>
              <w:rPr>
                <w:color w:val="000000"/>
                <w:lang w:val="en-US" w:eastAsia="en-US"/>
              </w:rPr>
            </w:pPr>
            <w:r w:rsidRPr="00D94B08">
              <w:rPr>
                <w:color w:val="000000"/>
                <w:sz w:val="22"/>
                <w:szCs w:val="22"/>
                <w:lang w:val="en-US" w:eastAsia="en-US"/>
              </w:rPr>
              <w:t>1.38 (0.44 - 4.27)</w:t>
            </w:r>
          </w:p>
        </w:tc>
      </w:tr>
      <w:tr w:rsidR="00583B86" w:rsidRPr="00D94B08" w14:paraId="34307FDF"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050ED17" w14:textId="77777777" w:rsidR="00583B86" w:rsidRPr="00D94B08" w:rsidRDefault="00583B86" w:rsidP="00534F9D">
            <w:pPr>
              <w:rPr>
                <w:color w:val="000000"/>
                <w:lang w:val="en-US" w:eastAsia="en-US"/>
              </w:rPr>
            </w:pPr>
            <w:r w:rsidRPr="00D94B08">
              <w:rPr>
                <w:color w:val="000000"/>
                <w:sz w:val="22"/>
                <w:szCs w:val="22"/>
                <w:lang w:val="en-US" w:eastAsia="en-US"/>
              </w:rPr>
              <w:t xml:space="preserve">   Other</w:t>
            </w:r>
          </w:p>
        </w:tc>
        <w:tc>
          <w:tcPr>
            <w:tcW w:w="1620" w:type="dxa"/>
            <w:tcBorders>
              <w:top w:val="nil"/>
              <w:left w:val="nil"/>
              <w:bottom w:val="single" w:sz="4" w:space="0" w:color="auto"/>
              <w:right w:val="single" w:sz="4" w:space="0" w:color="auto"/>
            </w:tcBorders>
            <w:noWrap/>
            <w:vAlign w:val="bottom"/>
          </w:tcPr>
          <w:p w14:paraId="2BA45250" w14:textId="77777777" w:rsidR="00583B86" w:rsidRPr="00D94B08" w:rsidRDefault="00583B86" w:rsidP="00534F9D">
            <w:pPr>
              <w:jc w:val="center"/>
              <w:rPr>
                <w:color w:val="000000"/>
                <w:lang w:val="en-US" w:eastAsia="en-US"/>
              </w:rPr>
            </w:pPr>
            <w:r w:rsidRPr="00D94B08">
              <w:rPr>
                <w:color w:val="000000"/>
                <w:sz w:val="22"/>
                <w:szCs w:val="22"/>
                <w:lang w:val="en-US" w:eastAsia="en-US"/>
              </w:rPr>
              <w:t>17</w:t>
            </w:r>
          </w:p>
        </w:tc>
        <w:tc>
          <w:tcPr>
            <w:tcW w:w="2160" w:type="dxa"/>
            <w:tcBorders>
              <w:top w:val="nil"/>
              <w:left w:val="nil"/>
              <w:bottom w:val="single" w:sz="4" w:space="0" w:color="auto"/>
              <w:right w:val="single" w:sz="4" w:space="0" w:color="auto"/>
            </w:tcBorders>
            <w:noWrap/>
            <w:vAlign w:val="bottom"/>
          </w:tcPr>
          <w:p w14:paraId="59F6A16D" w14:textId="77777777" w:rsidR="00583B86" w:rsidRPr="00D94B08" w:rsidRDefault="00583B86" w:rsidP="00534F9D">
            <w:pPr>
              <w:jc w:val="center"/>
              <w:rPr>
                <w:color w:val="000000"/>
                <w:lang w:val="en-US" w:eastAsia="en-US"/>
              </w:rPr>
            </w:pPr>
            <w:r w:rsidRPr="00D94B08">
              <w:rPr>
                <w:color w:val="000000"/>
                <w:sz w:val="22"/>
                <w:szCs w:val="22"/>
                <w:lang w:val="en-US" w:eastAsia="en-US"/>
              </w:rPr>
              <w:t>16.2</w:t>
            </w:r>
          </w:p>
        </w:tc>
        <w:tc>
          <w:tcPr>
            <w:tcW w:w="1080" w:type="dxa"/>
            <w:tcBorders>
              <w:top w:val="nil"/>
              <w:left w:val="nil"/>
              <w:bottom w:val="single" w:sz="4" w:space="0" w:color="auto"/>
              <w:right w:val="single" w:sz="4" w:space="0" w:color="auto"/>
            </w:tcBorders>
            <w:noWrap/>
            <w:vAlign w:val="bottom"/>
          </w:tcPr>
          <w:p w14:paraId="659BAEAF" w14:textId="77777777" w:rsidR="00583B86" w:rsidRPr="00D94B08" w:rsidRDefault="00583B86" w:rsidP="00534F9D">
            <w:pPr>
              <w:jc w:val="center"/>
              <w:rPr>
                <w:color w:val="000000"/>
                <w:lang w:val="en-US" w:eastAsia="en-US"/>
              </w:rPr>
            </w:pPr>
            <w:r w:rsidRPr="00D94B08">
              <w:rPr>
                <w:color w:val="000000"/>
                <w:sz w:val="22"/>
                <w:szCs w:val="22"/>
                <w:lang w:val="en-US" w:eastAsia="en-US"/>
              </w:rPr>
              <w:t>8.5</w:t>
            </w:r>
          </w:p>
        </w:tc>
        <w:tc>
          <w:tcPr>
            <w:tcW w:w="1260" w:type="dxa"/>
            <w:tcBorders>
              <w:top w:val="nil"/>
              <w:left w:val="nil"/>
              <w:bottom w:val="single" w:sz="4" w:space="0" w:color="auto"/>
              <w:right w:val="single" w:sz="4" w:space="0" w:color="auto"/>
            </w:tcBorders>
            <w:noWrap/>
            <w:vAlign w:val="bottom"/>
          </w:tcPr>
          <w:p w14:paraId="2089527B" w14:textId="77777777" w:rsidR="00583B86" w:rsidRPr="00D94B08" w:rsidRDefault="00583B86" w:rsidP="00534F9D">
            <w:pPr>
              <w:jc w:val="center"/>
              <w:rPr>
                <w:color w:val="000000"/>
                <w:lang w:val="en-US" w:eastAsia="en-US"/>
              </w:rPr>
            </w:pPr>
            <w:r w:rsidRPr="00D94B08">
              <w:rPr>
                <w:color w:val="000000"/>
                <w:sz w:val="22"/>
                <w:szCs w:val="22"/>
                <w:lang w:val="en-US" w:eastAsia="en-US"/>
              </w:rPr>
              <w:t>23.9</w:t>
            </w:r>
          </w:p>
        </w:tc>
        <w:tc>
          <w:tcPr>
            <w:tcW w:w="3600" w:type="dxa"/>
            <w:tcBorders>
              <w:top w:val="nil"/>
              <w:left w:val="nil"/>
              <w:bottom w:val="single" w:sz="4" w:space="0" w:color="auto"/>
              <w:right w:val="single" w:sz="4" w:space="0" w:color="auto"/>
            </w:tcBorders>
            <w:noWrap/>
            <w:vAlign w:val="bottom"/>
          </w:tcPr>
          <w:p w14:paraId="4F2E0988" w14:textId="77777777" w:rsidR="00583B86" w:rsidRPr="00D94B08" w:rsidRDefault="00583B86" w:rsidP="00534F9D">
            <w:pPr>
              <w:jc w:val="center"/>
              <w:rPr>
                <w:color w:val="000000"/>
                <w:lang w:val="en-US" w:eastAsia="en-US"/>
              </w:rPr>
            </w:pPr>
            <w:r w:rsidRPr="00D94B08">
              <w:rPr>
                <w:color w:val="000000"/>
                <w:sz w:val="22"/>
                <w:szCs w:val="22"/>
                <w:lang w:val="en-US" w:eastAsia="en-US"/>
              </w:rPr>
              <w:t>0.98 (0.61 - 1.58)</w:t>
            </w:r>
          </w:p>
        </w:tc>
      </w:tr>
      <w:tr w:rsidR="00583B86" w:rsidRPr="00D94B08" w14:paraId="58AFC2F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3A66335" w14:textId="77777777" w:rsidR="00583B86" w:rsidRPr="00D94B08" w:rsidRDefault="00583B86" w:rsidP="00534F9D">
            <w:pPr>
              <w:rPr>
                <w:color w:val="000000"/>
                <w:lang w:val="en-US" w:eastAsia="en-US"/>
              </w:rPr>
            </w:pPr>
            <w:r w:rsidRPr="00D94B08">
              <w:rPr>
                <w:color w:val="000000"/>
                <w:sz w:val="22"/>
                <w:szCs w:val="22"/>
                <w:lang w:val="en-US" w:eastAsia="en-US"/>
              </w:rPr>
              <w:t xml:space="preserve">   South Asian</w:t>
            </w:r>
          </w:p>
        </w:tc>
        <w:tc>
          <w:tcPr>
            <w:tcW w:w="1620" w:type="dxa"/>
            <w:tcBorders>
              <w:top w:val="nil"/>
              <w:left w:val="nil"/>
              <w:bottom w:val="single" w:sz="4" w:space="0" w:color="auto"/>
              <w:right w:val="single" w:sz="4" w:space="0" w:color="auto"/>
            </w:tcBorders>
            <w:noWrap/>
            <w:vAlign w:val="bottom"/>
          </w:tcPr>
          <w:p w14:paraId="6138AFE2" w14:textId="77777777" w:rsidR="00583B86" w:rsidRPr="00D94B08" w:rsidRDefault="00583B86" w:rsidP="00534F9D">
            <w:pPr>
              <w:jc w:val="center"/>
              <w:rPr>
                <w:color w:val="000000"/>
                <w:lang w:val="en-US" w:eastAsia="en-US"/>
              </w:rPr>
            </w:pPr>
            <w:r w:rsidRPr="00D94B08">
              <w:rPr>
                <w:color w:val="000000"/>
                <w:sz w:val="22"/>
                <w:szCs w:val="22"/>
                <w:lang w:val="en-US" w:eastAsia="en-US"/>
              </w:rPr>
              <w:t>25</w:t>
            </w:r>
          </w:p>
        </w:tc>
        <w:tc>
          <w:tcPr>
            <w:tcW w:w="2160" w:type="dxa"/>
            <w:tcBorders>
              <w:top w:val="nil"/>
              <w:left w:val="nil"/>
              <w:bottom w:val="single" w:sz="4" w:space="0" w:color="auto"/>
              <w:right w:val="single" w:sz="4" w:space="0" w:color="auto"/>
            </w:tcBorders>
            <w:noWrap/>
            <w:vAlign w:val="bottom"/>
          </w:tcPr>
          <w:p w14:paraId="56C063D1" w14:textId="77777777" w:rsidR="00583B86" w:rsidRPr="00D94B08" w:rsidRDefault="00583B86" w:rsidP="00534F9D">
            <w:pPr>
              <w:jc w:val="center"/>
              <w:rPr>
                <w:color w:val="000000"/>
                <w:lang w:val="en-US" w:eastAsia="en-US"/>
              </w:rPr>
            </w:pPr>
            <w:r w:rsidRPr="00D94B08">
              <w:rPr>
                <w:color w:val="000000"/>
                <w:sz w:val="22"/>
                <w:szCs w:val="22"/>
                <w:lang w:val="en-US" w:eastAsia="en-US"/>
              </w:rPr>
              <w:t>14.5</w:t>
            </w:r>
          </w:p>
        </w:tc>
        <w:tc>
          <w:tcPr>
            <w:tcW w:w="1080" w:type="dxa"/>
            <w:tcBorders>
              <w:top w:val="nil"/>
              <w:left w:val="nil"/>
              <w:bottom w:val="single" w:sz="4" w:space="0" w:color="auto"/>
              <w:right w:val="single" w:sz="4" w:space="0" w:color="auto"/>
            </w:tcBorders>
            <w:noWrap/>
            <w:vAlign w:val="bottom"/>
          </w:tcPr>
          <w:p w14:paraId="2DC2264A" w14:textId="77777777" w:rsidR="00583B86" w:rsidRPr="00D94B08" w:rsidRDefault="00583B86" w:rsidP="00534F9D">
            <w:pPr>
              <w:jc w:val="center"/>
              <w:rPr>
                <w:color w:val="000000"/>
                <w:lang w:val="en-US" w:eastAsia="en-US"/>
              </w:rPr>
            </w:pPr>
            <w:r w:rsidRPr="00D94B08">
              <w:rPr>
                <w:color w:val="000000"/>
                <w:sz w:val="22"/>
                <w:szCs w:val="22"/>
                <w:lang w:val="en-US" w:eastAsia="en-US"/>
              </w:rPr>
              <w:t>8.8</w:t>
            </w:r>
          </w:p>
        </w:tc>
        <w:tc>
          <w:tcPr>
            <w:tcW w:w="1260" w:type="dxa"/>
            <w:tcBorders>
              <w:top w:val="nil"/>
              <w:left w:val="nil"/>
              <w:bottom w:val="single" w:sz="4" w:space="0" w:color="auto"/>
              <w:right w:val="single" w:sz="4" w:space="0" w:color="auto"/>
            </w:tcBorders>
            <w:noWrap/>
            <w:vAlign w:val="bottom"/>
          </w:tcPr>
          <w:p w14:paraId="0C43A4CD" w14:textId="77777777" w:rsidR="00583B86" w:rsidRPr="00D94B08" w:rsidRDefault="00583B86" w:rsidP="00534F9D">
            <w:pPr>
              <w:jc w:val="center"/>
              <w:rPr>
                <w:color w:val="000000"/>
                <w:lang w:val="en-US" w:eastAsia="en-US"/>
              </w:rPr>
            </w:pPr>
            <w:r w:rsidRPr="00D94B08">
              <w:rPr>
                <w:color w:val="000000"/>
                <w:sz w:val="22"/>
                <w:szCs w:val="22"/>
                <w:lang w:val="en-US" w:eastAsia="en-US"/>
              </w:rPr>
              <w:t>20.2</w:t>
            </w:r>
          </w:p>
        </w:tc>
        <w:tc>
          <w:tcPr>
            <w:tcW w:w="3600" w:type="dxa"/>
            <w:tcBorders>
              <w:top w:val="nil"/>
              <w:left w:val="nil"/>
              <w:bottom w:val="single" w:sz="4" w:space="0" w:color="auto"/>
              <w:right w:val="single" w:sz="4" w:space="0" w:color="auto"/>
            </w:tcBorders>
            <w:noWrap/>
            <w:vAlign w:val="bottom"/>
          </w:tcPr>
          <w:p w14:paraId="1A15FDA1" w14:textId="77777777" w:rsidR="00583B86" w:rsidRPr="00D94B08" w:rsidRDefault="00583B86" w:rsidP="00534F9D">
            <w:pPr>
              <w:jc w:val="center"/>
              <w:rPr>
                <w:color w:val="000000"/>
                <w:lang w:val="en-US" w:eastAsia="en-US"/>
              </w:rPr>
            </w:pPr>
            <w:r w:rsidRPr="00D94B08">
              <w:rPr>
                <w:color w:val="000000"/>
                <w:sz w:val="22"/>
                <w:szCs w:val="22"/>
                <w:lang w:val="en-US" w:eastAsia="en-US"/>
              </w:rPr>
              <w:t>1.06 (0.71 - 1.57)</w:t>
            </w:r>
          </w:p>
        </w:tc>
      </w:tr>
      <w:tr w:rsidR="00583B86" w:rsidRPr="00D94B08" w14:paraId="5B10F084"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9D7170E" w14:textId="77777777" w:rsidR="00583B86" w:rsidRPr="00D94B08" w:rsidRDefault="00583B86" w:rsidP="00534F9D">
            <w:pPr>
              <w:rPr>
                <w:color w:val="000000"/>
                <w:lang w:val="en-US" w:eastAsia="en-US"/>
              </w:rPr>
            </w:pPr>
            <w:r w:rsidRPr="00D94B08">
              <w:rPr>
                <w:color w:val="000000"/>
                <w:sz w:val="22"/>
                <w:szCs w:val="22"/>
                <w:lang w:val="en-US" w:eastAsia="en-US"/>
              </w:rPr>
              <w:t xml:space="preserve">   Unknown</w:t>
            </w:r>
          </w:p>
        </w:tc>
        <w:tc>
          <w:tcPr>
            <w:tcW w:w="1620" w:type="dxa"/>
            <w:tcBorders>
              <w:top w:val="nil"/>
              <w:left w:val="nil"/>
              <w:bottom w:val="single" w:sz="4" w:space="0" w:color="auto"/>
              <w:right w:val="single" w:sz="4" w:space="0" w:color="auto"/>
            </w:tcBorders>
            <w:noWrap/>
            <w:vAlign w:val="bottom"/>
          </w:tcPr>
          <w:p w14:paraId="7B9C5D0F" w14:textId="77777777" w:rsidR="00583B86" w:rsidRPr="00D94B08" w:rsidRDefault="00583B86" w:rsidP="00534F9D">
            <w:pPr>
              <w:jc w:val="center"/>
              <w:rPr>
                <w:color w:val="000000"/>
                <w:lang w:val="en-US" w:eastAsia="en-US"/>
              </w:rPr>
            </w:pPr>
            <w:r w:rsidRPr="00D94B08">
              <w:rPr>
                <w:color w:val="000000"/>
                <w:sz w:val="22"/>
                <w:szCs w:val="22"/>
                <w:lang w:val="en-US" w:eastAsia="en-US"/>
              </w:rPr>
              <w:t>744</w:t>
            </w:r>
          </w:p>
        </w:tc>
        <w:tc>
          <w:tcPr>
            <w:tcW w:w="2160" w:type="dxa"/>
            <w:tcBorders>
              <w:top w:val="nil"/>
              <w:left w:val="nil"/>
              <w:bottom w:val="single" w:sz="4" w:space="0" w:color="auto"/>
              <w:right w:val="single" w:sz="4" w:space="0" w:color="auto"/>
            </w:tcBorders>
            <w:noWrap/>
            <w:vAlign w:val="bottom"/>
          </w:tcPr>
          <w:p w14:paraId="38AAF4A5" w14:textId="77777777" w:rsidR="00583B86" w:rsidRPr="00D94B08" w:rsidRDefault="00583B86" w:rsidP="00534F9D">
            <w:pPr>
              <w:jc w:val="center"/>
              <w:rPr>
                <w:color w:val="000000"/>
                <w:lang w:val="en-US" w:eastAsia="en-US"/>
              </w:rPr>
            </w:pPr>
            <w:r w:rsidRPr="00D94B08">
              <w:rPr>
                <w:color w:val="000000"/>
                <w:sz w:val="22"/>
                <w:szCs w:val="22"/>
                <w:lang w:val="en-US" w:eastAsia="en-US"/>
              </w:rPr>
              <w:t>32.0</w:t>
            </w:r>
          </w:p>
        </w:tc>
        <w:tc>
          <w:tcPr>
            <w:tcW w:w="1080" w:type="dxa"/>
            <w:tcBorders>
              <w:top w:val="nil"/>
              <w:left w:val="nil"/>
              <w:bottom w:val="single" w:sz="4" w:space="0" w:color="auto"/>
              <w:right w:val="single" w:sz="4" w:space="0" w:color="auto"/>
            </w:tcBorders>
            <w:noWrap/>
            <w:vAlign w:val="bottom"/>
          </w:tcPr>
          <w:p w14:paraId="117842DF" w14:textId="77777777" w:rsidR="00583B86" w:rsidRPr="00D94B08" w:rsidRDefault="00583B86" w:rsidP="00534F9D">
            <w:pPr>
              <w:jc w:val="center"/>
              <w:rPr>
                <w:color w:val="000000"/>
                <w:lang w:val="en-US" w:eastAsia="en-US"/>
              </w:rPr>
            </w:pPr>
            <w:r w:rsidRPr="00D94B08">
              <w:rPr>
                <w:color w:val="000000"/>
                <w:sz w:val="22"/>
                <w:szCs w:val="22"/>
                <w:lang w:val="en-US" w:eastAsia="en-US"/>
              </w:rPr>
              <w:t>29.7</w:t>
            </w:r>
          </w:p>
        </w:tc>
        <w:tc>
          <w:tcPr>
            <w:tcW w:w="1260" w:type="dxa"/>
            <w:tcBorders>
              <w:top w:val="nil"/>
              <w:left w:val="nil"/>
              <w:bottom w:val="single" w:sz="4" w:space="0" w:color="auto"/>
              <w:right w:val="single" w:sz="4" w:space="0" w:color="auto"/>
            </w:tcBorders>
            <w:noWrap/>
            <w:vAlign w:val="bottom"/>
          </w:tcPr>
          <w:p w14:paraId="4DAA3230" w14:textId="77777777" w:rsidR="00583B86" w:rsidRPr="00D94B08" w:rsidRDefault="00583B86" w:rsidP="00534F9D">
            <w:pPr>
              <w:jc w:val="center"/>
              <w:rPr>
                <w:color w:val="000000"/>
                <w:lang w:val="en-US" w:eastAsia="en-US"/>
              </w:rPr>
            </w:pPr>
            <w:r w:rsidRPr="00D94B08">
              <w:rPr>
                <w:color w:val="000000"/>
                <w:sz w:val="22"/>
                <w:szCs w:val="22"/>
                <w:lang w:val="en-US" w:eastAsia="en-US"/>
              </w:rPr>
              <w:t>34.3</w:t>
            </w:r>
          </w:p>
        </w:tc>
        <w:tc>
          <w:tcPr>
            <w:tcW w:w="3600" w:type="dxa"/>
            <w:tcBorders>
              <w:top w:val="nil"/>
              <w:left w:val="nil"/>
              <w:bottom w:val="single" w:sz="4" w:space="0" w:color="auto"/>
              <w:right w:val="single" w:sz="4" w:space="0" w:color="auto"/>
            </w:tcBorders>
            <w:noWrap/>
            <w:vAlign w:val="bottom"/>
          </w:tcPr>
          <w:p w14:paraId="155438BA" w14:textId="77777777" w:rsidR="00583B86" w:rsidRPr="00D94B08" w:rsidRDefault="00583B86" w:rsidP="00534F9D">
            <w:pPr>
              <w:jc w:val="center"/>
              <w:rPr>
                <w:color w:val="000000"/>
                <w:lang w:val="en-US" w:eastAsia="en-US"/>
              </w:rPr>
            </w:pPr>
            <w:r w:rsidRPr="00D94B08">
              <w:rPr>
                <w:color w:val="000000"/>
                <w:sz w:val="22"/>
                <w:szCs w:val="22"/>
                <w:lang w:val="en-US" w:eastAsia="en-US"/>
              </w:rPr>
              <w:t>1.63 (1.50  - 1.76)</w:t>
            </w:r>
          </w:p>
        </w:tc>
      </w:tr>
      <w:tr w:rsidR="00583B86" w:rsidRPr="00D94B08" w14:paraId="645478C6"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3E7D397" w14:textId="77777777" w:rsidR="00583B86" w:rsidRPr="00D94B08" w:rsidRDefault="00583B86" w:rsidP="00534F9D">
            <w:pPr>
              <w:rPr>
                <w:color w:val="000000"/>
                <w:lang w:val="en-US" w:eastAsia="en-US"/>
              </w:rPr>
            </w:pPr>
            <w:r w:rsidRPr="00D94B08">
              <w:rPr>
                <w:color w:val="000000"/>
                <w:sz w:val="22"/>
                <w:szCs w:val="22"/>
                <w:lang w:val="en-US" w:eastAsia="en-US"/>
              </w:rPr>
              <w:t>By region</w:t>
            </w:r>
          </w:p>
        </w:tc>
        <w:tc>
          <w:tcPr>
            <w:tcW w:w="1620" w:type="dxa"/>
            <w:tcBorders>
              <w:top w:val="nil"/>
              <w:left w:val="nil"/>
              <w:bottom w:val="single" w:sz="4" w:space="0" w:color="auto"/>
              <w:right w:val="single" w:sz="4" w:space="0" w:color="auto"/>
            </w:tcBorders>
            <w:noWrap/>
            <w:vAlign w:val="bottom"/>
          </w:tcPr>
          <w:p w14:paraId="5FAD2750"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10CA11A4"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3313716F"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0BF3734A" w14:textId="77777777" w:rsidR="00583B86" w:rsidRPr="00D94B08" w:rsidRDefault="00583B86" w:rsidP="00534F9D">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159A87B2" w14:textId="77777777" w:rsidR="00583B86" w:rsidRPr="00D94B08" w:rsidRDefault="00583B86" w:rsidP="00534F9D">
            <w:pPr>
              <w:rPr>
                <w:color w:val="000000"/>
                <w:lang w:val="en-US" w:eastAsia="en-US"/>
              </w:rPr>
            </w:pPr>
            <w:r w:rsidRPr="00D94B08">
              <w:rPr>
                <w:color w:val="000000"/>
                <w:sz w:val="22"/>
                <w:szCs w:val="22"/>
                <w:lang w:val="en-US" w:eastAsia="en-US"/>
              </w:rPr>
              <w:t> </w:t>
            </w:r>
          </w:p>
        </w:tc>
      </w:tr>
      <w:tr w:rsidR="00583B86" w:rsidRPr="00D94B08" w14:paraId="5BAAA3C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17AA3E37" w14:textId="77777777" w:rsidR="00583B86" w:rsidRPr="00D94B08" w:rsidRDefault="00583B86" w:rsidP="00534F9D">
            <w:pPr>
              <w:rPr>
                <w:color w:val="000000"/>
                <w:lang w:val="en-US" w:eastAsia="en-US"/>
              </w:rPr>
            </w:pPr>
            <w:r w:rsidRPr="00D94B08">
              <w:rPr>
                <w:color w:val="000000"/>
                <w:sz w:val="22"/>
                <w:szCs w:val="22"/>
                <w:lang w:val="en-US" w:eastAsia="en-US"/>
              </w:rPr>
              <w:t xml:space="preserve">   London</w:t>
            </w:r>
          </w:p>
        </w:tc>
        <w:tc>
          <w:tcPr>
            <w:tcW w:w="1620" w:type="dxa"/>
            <w:tcBorders>
              <w:top w:val="nil"/>
              <w:left w:val="nil"/>
              <w:bottom w:val="single" w:sz="4" w:space="0" w:color="auto"/>
              <w:right w:val="single" w:sz="4" w:space="0" w:color="auto"/>
            </w:tcBorders>
            <w:noWrap/>
            <w:vAlign w:val="bottom"/>
          </w:tcPr>
          <w:p w14:paraId="7921883D" w14:textId="77777777" w:rsidR="00583B86" w:rsidRPr="00D94B08" w:rsidRDefault="00583B86" w:rsidP="00534F9D">
            <w:pPr>
              <w:jc w:val="center"/>
              <w:rPr>
                <w:color w:val="000000"/>
                <w:lang w:val="en-US" w:eastAsia="en-US"/>
              </w:rPr>
            </w:pPr>
            <w:r w:rsidRPr="00D94B08">
              <w:rPr>
                <w:color w:val="000000"/>
                <w:sz w:val="22"/>
                <w:szCs w:val="22"/>
                <w:lang w:val="en-US" w:eastAsia="en-US"/>
              </w:rPr>
              <w:t>390</w:t>
            </w:r>
          </w:p>
        </w:tc>
        <w:tc>
          <w:tcPr>
            <w:tcW w:w="2160" w:type="dxa"/>
            <w:tcBorders>
              <w:top w:val="nil"/>
              <w:left w:val="nil"/>
              <w:bottom w:val="single" w:sz="4" w:space="0" w:color="auto"/>
              <w:right w:val="single" w:sz="4" w:space="0" w:color="auto"/>
            </w:tcBorders>
            <w:noWrap/>
            <w:vAlign w:val="bottom"/>
          </w:tcPr>
          <w:p w14:paraId="16747836" w14:textId="77777777" w:rsidR="00583B86" w:rsidRPr="00D94B08" w:rsidRDefault="00583B86" w:rsidP="00534F9D">
            <w:pPr>
              <w:jc w:val="center"/>
              <w:rPr>
                <w:color w:val="000000"/>
                <w:lang w:val="en-US" w:eastAsia="en-US"/>
              </w:rPr>
            </w:pPr>
            <w:r w:rsidRPr="00D94B08">
              <w:rPr>
                <w:color w:val="000000"/>
                <w:sz w:val="22"/>
                <w:szCs w:val="22"/>
                <w:lang w:val="en-US" w:eastAsia="en-US"/>
              </w:rPr>
              <w:t>22.3</w:t>
            </w:r>
          </w:p>
        </w:tc>
        <w:tc>
          <w:tcPr>
            <w:tcW w:w="1080" w:type="dxa"/>
            <w:tcBorders>
              <w:top w:val="nil"/>
              <w:left w:val="nil"/>
              <w:bottom w:val="single" w:sz="4" w:space="0" w:color="auto"/>
              <w:right w:val="single" w:sz="4" w:space="0" w:color="auto"/>
            </w:tcBorders>
            <w:noWrap/>
            <w:vAlign w:val="bottom"/>
          </w:tcPr>
          <w:p w14:paraId="0D346066" w14:textId="77777777" w:rsidR="00583B86" w:rsidRPr="00D94B08" w:rsidRDefault="00583B86" w:rsidP="00534F9D">
            <w:pPr>
              <w:jc w:val="center"/>
              <w:rPr>
                <w:color w:val="000000"/>
                <w:lang w:val="en-US" w:eastAsia="en-US"/>
              </w:rPr>
            </w:pPr>
            <w:r w:rsidRPr="00D94B08">
              <w:rPr>
                <w:color w:val="000000"/>
                <w:sz w:val="22"/>
                <w:szCs w:val="22"/>
                <w:lang w:val="en-US" w:eastAsia="en-US"/>
              </w:rPr>
              <w:t>20.1</w:t>
            </w:r>
          </w:p>
        </w:tc>
        <w:tc>
          <w:tcPr>
            <w:tcW w:w="1260" w:type="dxa"/>
            <w:tcBorders>
              <w:top w:val="nil"/>
              <w:left w:val="nil"/>
              <w:bottom w:val="single" w:sz="4" w:space="0" w:color="auto"/>
              <w:right w:val="single" w:sz="4" w:space="0" w:color="auto"/>
            </w:tcBorders>
            <w:noWrap/>
            <w:vAlign w:val="bottom"/>
          </w:tcPr>
          <w:p w14:paraId="2D62E60C" w14:textId="77777777" w:rsidR="00583B86" w:rsidRPr="00D94B08" w:rsidRDefault="00583B86" w:rsidP="00534F9D">
            <w:pPr>
              <w:jc w:val="center"/>
              <w:rPr>
                <w:color w:val="000000"/>
                <w:lang w:val="en-US" w:eastAsia="en-US"/>
              </w:rPr>
            </w:pPr>
            <w:r w:rsidRPr="00D94B08">
              <w:rPr>
                <w:color w:val="000000"/>
                <w:sz w:val="22"/>
                <w:szCs w:val="22"/>
                <w:lang w:val="en-US" w:eastAsia="en-US"/>
              </w:rPr>
              <w:t>24.5</w:t>
            </w:r>
          </w:p>
        </w:tc>
        <w:tc>
          <w:tcPr>
            <w:tcW w:w="3600" w:type="dxa"/>
            <w:tcBorders>
              <w:top w:val="nil"/>
              <w:left w:val="nil"/>
              <w:bottom w:val="single" w:sz="4" w:space="0" w:color="auto"/>
              <w:right w:val="single" w:sz="4" w:space="0" w:color="auto"/>
            </w:tcBorders>
            <w:noWrap/>
            <w:vAlign w:val="bottom"/>
          </w:tcPr>
          <w:p w14:paraId="46202EA7" w14:textId="77777777" w:rsidR="00583B86" w:rsidRPr="00D94B08" w:rsidRDefault="00583B86" w:rsidP="00534F9D">
            <w:pPr>
              <w:jc w:val="center"/>
              <w:rPr>
                <w:color w:val="000000"/>
                <w:lang w:val="en-US" w:eastAsia="en-US"/>
              </w:rPr>
            </w:pPr>
            <w:r w:rsidRPr="00D94B08">
              <w:rPr>
                <w:color w:val="000000"/>
                <w:sz w:val="22"/>
                <w:szCs w:val="22"/>
                <w:lang w:val="en-US" w:eastAsia="en-US"/>
              </w:rPr>
              <w:t>Reference</w:t>
            </w:r>
          </w:p>
        </w:tc>
      </w:tr>
      <w:tr w:rsidR="00583B86" w:rsidRPr="00D94B08" w14:paraId="7C3A1354"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C599402" w14:textId="77777777" w:rsidR="00583B86" w:rsidRPr="00D94B08" w:rsidRDefault="00583B86" w:rsidP="00534F9D">
            <w:pPr>
              <w:rPr>
                <w:color w:val="000000"/>
                <w:lang w:val="en-US" w:eastAsia="en-US"/>
              </w:rPr>
            </w:pPr>
            <w:r w:rsidRPr="00D94B08">
              <w:rPr>
                <w:color w:val="000000"/>
                <w:sz w:val="22"/>
                <w:szCs w:val="22"/>
                <w:lang w:val="en-US" w:eastAsia="en-US"/>
              </w:rPr>
              <w:t xml:space="preserve">   East Midlands</w:t>
            </w:r>
          </w:p>
        </w:tc>
        <w:tc>
          <w:tcPr>
            <w:tcW w:w="1620" w:type="dxa"/>
            <w:tcBorders>
              <w:top w:val="nil"/>
              <w:left w:val="nil"/>
              <w:bottom w:val="single" w:sz="4" w:space="0" w:color="auto"/>
              <w:right w:val="single" w:sz="4" w:space="0" w:color="auto"/>
            </w:tcBorders>
            <w:noWrap/>
            <w:vAlign w:val="bottom"/>
          </w:tcPr>
          <w:p w14:paraId="538FE997" w14:textId="77777777" w:rsidR="00583B86" w:rsidRPr="00D94B08" w:rsidRDefault="00583B86" w:rsidP="00534F9D">
            <w:pPr>
              <w:jc w:val="center"/>
              <w:rPr>
                <w:color w:val="000000"/>
                <w:lang w:val="en-US" w:eastAsia="en-US"/>
              </w:rPr>
            </w:pPr>
            <w:r w:rsidRPr="00D94B08">
              <w:rPr>
                <w:color w:val="000000"/>
                <w:sz w:val="22"/>
                <w:szCs w:val="22"/>
                <w:lang w:val="en-US" w:eastAsia="en-US"/>
              </w:rPr>
              <w:t>137</w:t>
            </w:r>
          </w:p>
        </w:tc>
        <w:tc>
          <w:tcPr>
            <w:tcW w:w="2160" w:type="dxa"/>
            <w:tcBorders>
              <w:top w:val="nil"/>
              <w:left w:val="nil"/>
              <w:bottom w:val="single" w:sz="4" w:space="0" w:color="auto"/>
              <w:right w:val="single" w:sz="4" w:space="0" w:color="auto"/>
            </w:tcBorders>
            <w:noWrap/>
            <w:vAlign w:val="bottom"/>
          </w:tcPr>
          <w:p w14:paraId="53013007" w14:textId="77777777" w:rsidR="00583B86" w:rsidRPr="00D94B08" w:rsidRDefault="00583B86" w:rsidP="00534F9D">
            <w:pPr>
              <w:jc w:val="center"/>
              <w:rPr>
                <w:color w:val="000000"/>
                <w:lang w:val="en-US" w:eastAsia="en-US"/>
              </w:rPr>
            </w:pPr>
            <w:r w:rsidRPr="00D94B08">
              <w:rPr>
                <w:color w:val="000000"/>
                <w:sz w:val="22"/>
                <w:szCs w:val="22"/>
                <w:lang w:val="en-US" w:eastAsia="en-US"/>
              </w:rPr>
              <w:t>23.9</w:t>
            </w:r>
          </w:p>
        </w:tc>
        <w:tc>
          <w:tcPr>
            <w:tcW w:w="1080" w:type="dxa"/>
            <w:tcBorders>
              <w:top w:val="nil"/>
              <w:left w:val="nil"/>
              <w:bottom w:val="single" w:sz="4" w:space="0" w:color="auto"/>
              <w:right w:val="single" w:sz="4" w:space="0" w:color="auto"/>
            </w:tcBorders>
            <w:noWrap/>
            <w:vAlign w:val="bottom"/>
          </w:tcPr>
          <w:p w14:paraId="6F9C6524" w14:textId="77777777" w:rsidR="00583B86" w:rsidRPr="00D94B08" w:rsidRDefault="00583B86" w:rsidP="00534F9D">
            <w:pPr>
              <w:jc w:val="center"/>
              <w:rPr>
                <w:color w:val="000000"/>
                <w:lang w:val="en-US" w:eastAsia="en-US"/>
              </w:rPr>
            </w:pPr>
            <w:r w:rsidRPr="00D94B08">
              <w:rPr>
                <w:color w:val="000000"/>
                <w:sz w:val="22"/>
                <w:szCs w:val="22"/>
                <w:lang w:val="en-US" w:eastAsia="en-US"/>
              </w:rPr>
              <w:t>19.9</w:t>
            </w:r>
          </w:p>
        </w:tc>
        <w:tc>
          <w:tcPr>
            <w:tcW w:w="1260" w:type="dxa"/>
            <w:tcBorders>
              <w:top w:val="nil"/>
              <w:left w:val="nil"/>
              <w:bottom w:val="single" w:sz="4" w:space="0" w:color="auto"/>
              <w:right w:val="single" w:sz="4" w:space="0" w:color="auto"/>
            </w:tcBorders>
            <w:noWrap/>
            <w:vAlign w:val="bottom"/>
          </w:tcPr>
          <w:p w14:paraId="5DE105CB" w14:textId="77777777" w:rsidR="00583B86" w:rsidRPr="00D94B08" w:rsidRDefault="00583B86" w:rsidP="00534F9D">
            <w:pPr>
              <w:jc w:val="center"/>
              <w:rPr>
                <w:color w:val="000000"/>
                <w:lang w:val="en-US" w:eastAsia="en-US"/>
              </w:rPr>
            </w:pPr>
            <w:r w:rsidRPr="00D94B08">
              <w:rPr>
                <w:color w:val="000000"/>
                <w:sz w:val="22"/>
                <w:szCs w:val="22"/>
                <w:lang w:val="en-US" w:eastAsia="en-US"/>
              </w:rPr>
              <w:t>27.9</w:t>
            </w:r>
          </w:p>
        </w:tc>
        <w:tc>
          <w:tcPr>
            <w:tcW w:w="3600" w:type="dxa"/>
            <w:tcBorders>
              <w:top w:val="nil"/>
              <w:left w:val="nil"/>
              <w:bottom w:val="single" w:sz="4" w:space="0" w:color="auto"/>
              <w:right w:val="single" w:sz="4" w:space="0" w:color="auto"/>
            </w:tcBorders>
            <w:noWrap/>
            <w:vAlign w:val="bottom"/>
          </w:tcPr>
          <w:p w14:paraId="1CA8365B" w14:textId="77777777" w:rsidR="00583B86" w:rsidRPr="00D94B08" w:rsidRDefault="00583B86" w:rsidP="00534F9D">
            <w:pPr>
              <w:jc w:val="center"/>
              <w:rPr>
                <w:color w:val="000000"/>
                <w:lang w:val="en-US" w:eastAsia="en-US"/>
              </w:rPr>
            </w:pPr>
            <w:r w:rsidRPr="00D94B08">
              <w:rPr>
                <w:color w:val="000000"/>
                <w:sz w:val="22"/>
                <w:szCs w:val="22"/>
                <w:lang w:val="en-US" w:eastAsia="en-US"/>
              </w:rPr>
              <w:t>1.04 (0.85 - 1.26)</w:t>
            </w:r>
          </w:p>
        </w:tc>
      </w:tr>
      <w:tr w:rsidR="00583B86" w:rsidRPr="00D94B08" w14:paraId="6D3865F2"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B04684A" w14:textId="77777777" w:rsidR="00583B86" w:rsidRPr="00D94B08" w:rsidRDefault="00583B86" w:rsidP="00534F9D">
            <w:pPr>
              <w:rPr>
                <w:color w:val="000000"/>
                <w:lang w:val="en-US" w:eastAsia="en-US"/>
              </w:rPr>
            </w:pPr>
            <w:r w:rsidRPr="00D94B08">
              <w:rPr>
                <w:color w:val="000000"/>
                <w:sz w:val="22"/>
                <w:szCs w:val="22"/>
                <w:lang w:val="en-US" w:eastAsia="en-US"/>
              </w:rPr>
              <w:t xml:space="preserve">   East of England</w:t>
            </w:r>
          </w:p>
        </w:tc>
        <w:tc>
          <w:tcPr>
            <w:tcW w:w="1620" w:type="dxa"/>
            <w:tcBorders>
              <w:top w:val="nil"/>
              <w:left w:val="nil"/>
              <w:bottom w:val="single" w:sz="4" w:space="0" w:color="auto"/>
              <w:right w:val="single" w:sz="4" w:space="0" w:color="auto"/>
            </w:tcBorders>
            <w:noWrap/>
            <w:vAlign w:val="bottom"/>
          </w:tcPr>
          <w:p w14:paraId="5321B294" w14:textId="77777777" w:rsidR="00583B86" w:rsidRPr="00D94B08" w:rsidRDefault="00583B86" w:rsidP="00534F9D">
            <w:pPr>
              <w:jc w:val="center"/>
              <w:rPr>
                <w:color w:val="000000"/>
                <w:lang w:val="en-US" w:eastAsia="en-US"/>
              </w:rPr>
            </w:pPr>
            <w:r w:rsidRPr="00D94B08">
              <w:rPr>
                <w:color w:val="000000"/>
                <w:sz w:val="22"/>
                <w:szCs w:val="22"/>
                <w:lang w:val="en-US" w:eastAsia="en-US"/>
              </w:rPr>
              <w:t>501</w:t>
            </w:r>
          </w:p>
        </w:tc>
        <w:tc>
          <w:tcPr>
            <w:tcW w:w="2160" w:type="dxa"/>
            <w:tcBorders>
              <w:top w:val="nil"/>
              <w:left w:val="nil"/>
              <w:bottom w:val="single" w:sz="4" w:space="0" w:color="auto"/>
              <w:right w:val="single" w:sz="4" w:space="0" w:color="auto"/>
            </w:tcBorders>
            <w:noWrap/>
            <w:vAlign w:val="bottom"/>
          </w:tcPr>
          <w:p w14:paraId="4ECCAD7C" w14:textId="77777777" w:rsidR="00583B86" w:rsidRPr="00D94B08" w:rsidRDefault="00583B86" w:rsidP="00534F9D">
            <w:pPr>
              <w:jc w:val="center"/>
              <w:rPr>
                <w:color w:val="000000"/>
                <w:lang w:val="en-US" w:eastAsia="en-US"/>
              </w:rPr>
            </w:pPr>
            <w:r w:rsidRPr="00D94B08">
              <w:rPr>
                <w:color w:val="000000"/>
                <w:sz w:val="22"/>
                <w:szCs w:val="22"/>
                <w:lang w:val="en-US" w:eastAsia="en-US"/>
              </w:rPr>
              <w:t>24.5</w:t>
            </w:r>
          </w:p>
        </w:tc>
        <w:tc>
          <w:tcPr>
            <w:tcW w:w="1080" w:type="dxa"/>
            <w:tcBorders>
              <w:top w:val="nil"/>
              <w:left w:val="nil"/>
              <w:bottom w:val="single" w:sz="4" w:space="0" w:color="auto"/>
              <w:right w:val="single" w:sz="4" w:space="0" w:color="auto"/>
            </w:tcBorders>
            <w:noWrap/>
            <w:vAlign w:val="bottom"/>
          </w:tcPr>
          <w:p w14:paraId="1D284019" w14:textId="77777777" w:rsidR="00583B86" w:rsidRPr="00D94B08" w:rsidRDefault="00583B86" w:rsidP="00534F9D">
            <w:pPr>
              <w:jc w:val="center"/>
              <w:rPr>
                <w:color w:val="000000"/>
                <w:lang w:val="en-US" w:eastAsia="en-US"/>
              </w:rPr>
            </w:pPr>
            <w:r w:rsidRPr="00D94B08">
              <w:rPr>
                <w:color w:val="000000"/>
                <w:sz w:val="22"/>
                <w:szCs w:val="22"/>
                <w:lang w:val="en-US" w:eastAsia="en-US"/>
              </w:rPr>
              <w:t>22.3</w:t>
            </w:r>
          </w:p>
        </w:tc>
        <w:tc>
          <w:tcPr>
            <w:tcW w:w="1260" w:type="dxa"/>
            <w:tcBorders>
              <w:top w:val="nil"/>
              <w:left w:val="nil"/>
              <w:bottom w:val="single" w:sz="4" w:space="0" w:color="auto"/>
              <w:right w:val="single" w:sz="4" w:space="0" w:color="auto"/>
            </w:tcBorders>
            <w:noWrap/>
            <w:vAlign w:val="bottom"/>
          </w:tcPr>
          <w:p w14:paraId="2C2FAE97" w14:textId="77777777" w:rsidR="00583B86" w:rsidRPr="00D94B08" w:rsidRDefault="00583B86" w:rsidP="00534F9D">
            <w:pPr>
              <w:jc w:val="center"/>
              <w:rPr>
                <w:color w:val="000000"/>
                <w:lang w:val="en-US" w:eastAsia="en-US"/>
              </w:rPr>
            </w:pPr>
            <w:r w:rsidRPr="00D94B08">
              <w:rPr>
                <w:color w:val="000000"/>
                <w:sz w:val="22"/>
                <w:szCs w:val="22"/>
                <w:lang w:val="en-US" w:eastAsia="en-US"/>
              </w:rPr>
              <w:t>26.6</w:t>
            </w:r>
          </w:p>
        </w:tc>
        <w:tc>
          <w:tcPr>
            <w:tcW w:w="3600" w:type="dxa"/>
            <w:tcBorders>
              <w:top w:val="nil"/>
              <w:left w:val="nil"/>
              <w:bottom w:val="single" w:sz="4" w:space="0" w:color="auto"/>
              <w:right w:val="single" w:sz="4" w:space="0" w:color="auto"/>
            </w:tcBorders>
            <w:noWrap/>
            <w:vAlign w:val="bottom"/>
          </w:tcPr>
          <w:p w14:paraId="3C49907A" w14:textId="77777777" w:rsidR="00583B86" w:rsidRPr="00D94B08" w:rsidRDefault="00583B86" w:rsidP="00534F9D">
            <w:pPr>
              <w:jc w:val="center"/>
              <w:rPr>
                <w:color w:val="000000"/>
                <w:lang w:val="en-US" w:eastAsia="en-US"/>
              </w:rPr>
            </w:pPr>
            <w:r w:rsidRPr="00D94B08">
              <w:rPr>
                <w:color w:val="000000"/>
                <w:sz w:val="22"/>
                <w:szCs w:val="22"/>
                <w:lang w:val="en-US" w:eastAsia="en-US"/>
              </w:rPr>
              <w:t>1.02 (0.90 - 1.17)</w:t>
            </w:r>
          </w:p>
        </w:tc>
      </w:tr>
      <w:tr w:rsidR="00583B86" w:rsidRPr="00D94B08" w14:paraId="4BFDC41A"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7ABD5A6" w14:textId="77777777" w:rsidR="00583B86" w:rsidRPr="00D94B08" w:rsidRDefault="00583B86" w:rsidP="00534F9D">
            <w:pPr>
              <w:rPr>
                <w:color w:val="000000"/>
                <w:lang w:val="en-US" w:eastAsia="en-US"/>
              </w:rPr>
            </w:pPr>
            <w:r w:rsidRPr="00D94B08">
              <w:rPr>
                <w:color w:val="000000"/>
                <w:sz w:val="22"/>
                <w:szCs w:val="22"/>
                <w:lang w:val="en-US" w:eastAsia="en-US"/>
              </w:rPr>
              <w:t xml:space="preserve">   North East</w:t>
            </w:r>
          </w:p>
        </w:tc>
        <w:tc>
          <w:tcPr>
            <w:tcW w:w="1620" w:type="dxa"/>
            <w:tcBorders>
              <w:top w:val="nil"/>
              <w:left w:val="nil"/>
              <w:bottom w:val="single" w:sz="4" w:space="0" w:color="auto"/>
              <w:right w:val="single" w:sz="4" w:space="0" w:color="auto"/>
            </w:tcBorders>
            <w:noWrap/>
            <w:vAlign w:val="bottom"/>
          </w:tcPr>
          <w:p w14:paraId="063007F7" w14:textId="77777777" w:rsidR="00583B86" w:rsidRPr="00D94B08" w:rsidRDefault="00583B86" w:rsidP="00534F9D">
            <w:pPr>
              <w:jc w:val="center"/>
              <w:rPr>
                <w:color w:val="000000"/>
                <w:lang w:val="en-US" w:eastAsia="en-US"/>
              </w:rPr>
            </w:pPr>
            <w:r w:rsidRPr="00D94B08">
              <w:rPr>
                <w:color w:val="000000"/>
                <w:sz w:val="22"/>
                <w:szCs w:val="22"/>
                <w:lang w:val="en-US" w:eastAsia="en-US"/>
              </w:rPr>
              <w:t>96</w:t>
            </w:r>
          </w:p>
        </w:tc>
        <w:tc>
          <w:tcPr>
            <w:tcW w:w="2160" w:type="dxa"/>
            <w:tcBorders>
              <w:top w:val="nil"/>
              <w:left w:val="nil"/>
              <w:bottom w:val="single" w:sz="4" w:space="0" w:color="auto"/>
              <w:right w:val="single" w:sz="4" w:space="0" w:color="auto"/>
            </w:tcBorders>
            <w:noWrap/>
            <w:vAlign w:val="bottom"/>
          </w:tcPr>
          <w:p w14:paraId="7BAE4D38" w14:textId="77777777" w:rsidR="00583B86" w:rsidRPr="00D94B08" w:rsidRDefault="00583B86" w:rsidP="00534F9D">
            <w:pPr>
              <w:jc w:val="center"/>
              <w:rPr>
                <w:color w:val="000000"/>
                <w:lang w:val="en-US" w:eastAsia="en-US"/>
              </w:rPr>
            </w:pPr>
            <w:r w:rsidRPr="00D94B08">
              <w:rPr>
                <w:color w:val="000000"/>
                <w:sz w:val="22"/>
                <w:szCs w:val="22"/>
                <w:lang w:val="en-US" w:eastAsia="en-US"/>
              </w:rPr>
              <w:t>19.9</w:t>
            </w:r>
          </w:p>
        </w:tc>
        <w:tc>
          <w:tcPr>
            <w:tcW w:w="1080" w:type="dxa"/>
            <w:tcBorders>
              <w:top w:val="nil"/>
              <w:left w:val="nil"/>
              <w:bottom w:val="single" w:sz="4" w:space="0" w:color="auto"/>
              <w:right w:val="single" w:sz="4" w:space="0" w:color="auto"/>
            </w:tcBorders>
            <w:noWrap/>
            <w:vAlign w:val="bottom"/>
          </w:tcPr>
          <w:p w14:paraId="68D549EA" w14:textId="77777777" w:rsidR="00583B86" w:rsidRPr="00D94B08" w:rsidRDefault="00583B86" w:rsidP="00534F9D">
            <w:pPr>
              <w:jc w:val="center"/>
              <w:rPr>
                <w:color w:val="000000"/>
                <w:lang w:val="en-US" w:eastAsia="en-US"/>
              </w:rPr>
            </w:pPr>
            <w:r w:rsidRPr="00D94B08">
              <w:rPr>
                <w:color w:val="000000"/>
                <w:sz w:val="22"/>
                <w:szCs w:val="22"/>
                <w:lang w:val="en-US" w:eastAsia="en-US"/>
              </w:rPr>
              <w:t>15.9</w:t>
            </w:r>
          </w:p>
        </w:tc>
        <w:tc>
          <w:tcPr>
            <w:tcW w:w="1260" w:type="dxa"/>
            <w:tcBorders>
              <w:top w:val="nil"/>
              <w:left w:val="nil"/>
              <w:bottom w:val="single" w:sz="4" w:space="0" w:color="auto"/>
              <w:right w:val="single" w:sz="4" w:space="0" w:color="auto"/>
            </w:tcBorders>
            <w:noWrap/>
            <w:vAlign w:val="bottom"/>
          </w:tcPr>
          <w:p w14:paraId="5981777D" w14:textId="77777777" w:rsidR="00583B86" w:rsidRPr="00D94B08" w:rsidRDefault="00583B86" w:rsidP="00534F9D">
            <w:pPr>
              <w:jc w:val="center"/>
              <w:rPr>
                <w:color w:val="000000"/>
                <w:lang w:val="en-US" w:eastAsia="en-US"/>
              </w:rPr>
            </w:pPr>
            <w:r w:rsidRPr="00D94B08">
              <w:rPr>
                <w:color w:val="000000"/>
                <w:sz w:val="22"/>
                <w:szCs w:val="22"/>
                <w:lang w:val="en-US" w:eastAsia="en-US"/>
              </w:rPr>
              <w:t>23.9</w:t>
            </w:r>
          </w:p>
        </w:tc>
        <w:tc>
          <w:tcPr>
            <w:tcW w:w="3600" w:type="dxa"/>
            <w:tcBorders>
              <w:top w:val="nil"/>
              <w:left w:val="nil"/>
              <w:bottom w:val="single" w:sz="4" w:space="0" w:color="auto"/>
              <w:right w:val="single" w:sz="4" w:space="0" w:color="auto"/>
            </w:tcBorders>
            <w:noWrap/>
            <w:vAlign w:val="bottom"/>
          </w:tcPr>
          <w:p w14:paraId="56D1DC50" w14:textId="77777777" w:rsidR="00583B86" w:rsidRPr="00D94B08" w:rsidRDefault="00583B86" w:rsidP="00534F9D">
            <w:pPr>
              <w:jc w:val="center"/>
              <w:rPr>
                <w:color w:val="000000"/>
                <w:lang w:val="en-US" w:eastAsia="en-US"/>
              </w:rPr>
            </w:pPr>
            <w:r w:rsidRPr="00D94B08">
              <w:rPr>
                <w:color w:val="000000"/>
                <w:sz w:val="22"/>
                <w:szCs w:val="22"/>
                <w:lang w:val="en-US" w:eastAsia="en-US"/>
              </w:rPr>
              <w:t>0.92 (0.74 - 1.15)</w:t>
            </w:r>
          </w:p>
        </w:tc>
      </w:tr>
      <w:tr w:rsidR="00583B86" w:rsidRPr="00D94B08" w14:paraId="08614221"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158E785" w14:textId="77777777" w:rsidR="00583B86" w:rsidRPr="00D94B08" w:rsidRDefault="00583B86" w:rsidP="00534F9D">
            <w:pPr>
              <w:rPr>
                <w:color w:val="000000"/>
                <w:lang w:val="en-US" w:eastAsia="en-US"/>
              </w:rPr>
            </w:pPr>
            <w:r w:rsidRPr="00D94B08">
              <w:rPr>
                <w:color w:val="000000"/>
                <w:sz w:val="22"/>
                <w:szCs w:val="22"/>
                <w:lang w:val="en-US" w:eastAsia="en-US"/>
              </w:rPr>
              <w:t xml:space="preserve">   North West</w:t>
            </w:r>
          </w:p>
        </w:tc>
        <w:tc>
          <w:tcPr>
            <w:tcW w:w="1620" w:type="dxa"/>
            <w:tcBorders>
              <w:top w:val="nil"/>
              <w:left w:val="nil"/>
              <w:bottom w:val="single" w:sz="4" w:space="0" w:color="auto"/>
              <w:right w:val="single" w:sz="4" w:space="0" w:color="auto"/>
            </w:tcBorders>
            <w:noWrap/>
            <w:vAlign w:val="bottom"/>
          </w:tcPr>
          <w:p w14:paraId="2AB6BD7F" w14:textId="77777777" w:rsidR="00583B86" w:rsidRPr="00D94B08" w:rsidRDefault="00583B86" w:rsidP="00534F9D">
            <w:pPr>
              <w:jc w:val="center"/>
              <w:rPr>
                <w:color w:val="000000"/>
                <w:lang w:val="en-US" w:eastAsia="en-US"/>
              </w:rPr>
            </w:pPr>
            <w:r w:rsidRPr="00D94B08">
              <w:rPr>
                <w:color w:val="000000"/>
                <w:sz w:val="22"/>
                <w:szCs w:val="22"/>
                <w:lang w:val="en-US" w:eastAsia="en-US"/>
              </w:rPr>
              <w:t>722</w:t>
            </w:r>
          </w:p>
        </w:tc>
        <w:tc>
          <w:tcPr>
            <w:tcW w:w="2160" w:type="dxa"/>
            <w:tcBorders>
              <w:top w:val="nil"/>
              <w:left w:val="nil"/>
              <w:bottom w:val="single" w:sz="4" w:space="0" w:color="auto"/>
              <w:right w:val="single" w:sz="4" w:space="0" w:color="auto"/>
            </w:tcBorders>
            <w:noWrap/>
            <w:vAlign w:val="bottom"/>
          </w:tcPr>
          <w:p w14:paraId="3F90855B" w14:textId="77777777" w:rsidR="00583B86" w:rsidRPr="00D94B08" w:rsidRDefault="00583B86" w:rsidP="00534F9D">
            <w:pPr>
              <w:jc w:val="center"/>
              <w:rPr>
                <w:color w:val="000000"/>
                <w:lang w:val="en-US" w:eastAsia="en-US"/>
              </w:rPr>
            </w:pPr>
            <w:r w:rsidRPr="00D94B08">
              <w:rPr>
                <w:color w:val="000000"/>
                <w:sz w:val="22"/>
                <w:szCs w:val="22"/>
                <w:lang w:val="en-US" w:eastAsia="en-US"/>
              </w:rPr>
              <w:t>22.7</w:t>
            </w:r>
          </w:p>
        </w:tc>
        <w:tc>
          <w:tcPr>
            <w:tcW w:w="1080" w:type="dxa"/>
            <w:tcBorders>
              <w:top w:val="nil"/>
              <w:left w:val="nil"/>
              <w:bottom w:val="single" w:sz="4" w:space="0" w:color="auto"/>
              <w:right w:val="single" w:sz="4" w:space="0" w:color="auto"/>
            </w:tcBorders>
            <w:noWrap/>
            <w:vAlign w:val="bottom"/>
          </w:tcPr>
          <w:p w14:paraId="2658D432" w14:textId="77777777" w:rsidR="00583B86" w:rsidRPr="00D94B08" w:rsidRDefault="00583B86" w:rsidP="00534F9D">
            <w:pPr>
              <w:jc w:val="center"/>
              <w:rPr>
                <w:color w:val="000000"/>
                <w:lang w:val="en-US" w:eastAsia="en-US"/>
              </w:rPr>
            </w:pPr>
            <w:r w:rsidRPr="00D94B08">
              <w:rPr>
                <w:color w:val="000000"/>
                <w:sz w:val="22"/>
                <w:szCs w:val="22"/>
                <w:lang w:val="en-US" w:eastAsia="en-US"/>
              </w:rPr>
              <w:t>21.0</w:t>
            </w:r>
          </w:p>
        </w:tc>
        <w:tc>
          <w:tcPr>
            <w:tcW w:w="1260" w:type="dxa"/>
            <w:tcBorders>
              <w:top w:val="nil"/>
              <w:left w:val="nil"/>
              <w:bottom w:val="single" w:sz="4" w:space="0" w:color="auto"/>
              <w:right w:val="single" w:sz="4" w:space="0" w:color="auto"/>
            </w:tcBorders>
            <w:noWrap/>
            <w:vAlign w:val="bottom"/>
          </w:tcPr>
          <w:p w14:paraId="38D1375D" w14:textId="77777777" w:rsidR="00583B86" w:rsidRPr="00D94B08" w:rsidRDefault="00583B86" w:rsidP="00534F9D">
            <w:pPr>
              <w:jc w:val="center"/>
              <w:rPr>
                <w:color w:val="000000"/>
                <w:lang w:val="en-US" w:eastAsia="en-US"/>
              </w:rPr>
            </w:pPr>
            <w:r w:rsidRPr="00D94B08">
              <w:rPr>
                <w:color w:val="000000"/>
                <w:sz w:val="22"/>
                <w:szCs w:val="22"/>
                <w:lang w:val="en-US" w:eastAsia="en-US"/>
              </w:rPr>
              <w:t>24.3</w:t>
            </w:r>
          </w:p>
        </w:tc>
        <w:tc>
          <w:tcPr>
            <w:tcW w:w="3600" w:type="dxa"/>
            <w:tcBorders>
              <w:top w:val="nil"/>
              <w:left w:val="nil"/>
              <w:bottom w:val="single" w:sz="4" w:space="0" w:color="auto"/>
              <w:right w:val="single" w:sz="4" w:space="0" w:color="auto"/>
            </w:tcBorders>
            <w:noWrap/>
            <w:vAlign w:val="bottom"/>
          </w:tcPr>
          <w:p w14:paraId="4D45C346" w14:textId="77777777" w:rsidR="00583B86" w:rsidRPr="00D94B08" w:rsidRDefault="00583B86" w:rsidP="00534F9D">
            <w:pPr>
              <w:jc w:val="center"/>
              <w:rPr>
                <w:color w:val="000000"/>
                <w:lang w:val="en-US" w:eastAsia="en-US"/>
              </w:rPr>
            </w:pPr>
            <w:r w:rsidRPr="00D94B08">
              <w:rPr>
                <w:color w:val="000000"/>
                <w:sz w:val="22"/>
                <w:szCs w:val="22"/>
                <w:lang w:val="en-US" w:eastAsia="en-US"/>
              </w:rPr>
              <w:t>1.10 (0.97 - 1.24)</w:t>
            </w:r>
          </w:p>
        </w:tc>
      </w:tr>
      <w:tr w:rsidR="00583B86" w:rsidRPr="00D94B08" w14:paraId="69EA44B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16329C78" w14:textId="77777777" w:rsidR="00583B86" w:rsidRPr="00D94B08" w:rsidRDefault="00583B86" w:rsidP="00534F9D">
            <w:pPr>
              <w:rPr>
                <w:color w:val="000000"/>
                <w:lang w:val="en-US" w:eastAsia="en-US"/>
              </w:rPr>
            </w:pPr>
            <w:r w:rsidRPr="00D94B08">
              <w:rPr>
                <w:color w:val="000000"/>
                <w:sz w:val="22"/>
                <w:szCs w:val="22"/>
                <w:lang w:val="en-US" w:eastAsia="en-US"/>
              </w:rPr>
              <w:t xml:space="preserve">   South Central</w:t>
            </w:r>
          </w:p>
        </w:tc>
        <w:tc>
          <w:tcPr>
            <w:tcW w:w="1620" w:type="dxa"/>
            <w:tcBorders>
              <w:top w:val="nil"/>
              <w:left w:val="nil"/>
              <w:bottom w:val="single" w:sz="4" w:space="0" w:color="auto"/>
              <w:right w:val="single" w:sz="4" w:space="0" w:color="auto"/>
            </w:tcBorders>
            <w:noWrap/>
            <w:vAlign w:val="bottom"/>
          </w:tcPr>
          <w:p w14:paraId="2EA96F14" w14:textId="77777777" w:rsidR="00583B86" w:rsidRPr="00D94B08" w:rsidRDefault="00583B86" w:rsidP="00534F9D">
            <w:pPr>
              <w:jc w:val="center"/>
              <w:rPr>
                <w:color w:val="000000"/>
                <w:lang w:val="en-US" w:eastAsia="en-US"/>
              </w:rPr>
            </w:pPr>
            <w:r w:rsidRPr="00D94B08">
              <w:rPr>
                <w:color w:val="000000"/>
                <w:sz w:val="22"/>
                <w:szCs w:val="22"/>
                <w:lang w:val="en-US" w:eastAsia="en-US"/>
              </w:rPr>
              <w:t>511</w:t>
            </w:r>
          </w:p>
        </w:tc>
        <w:tc>
          <w:tcPr>
            <w:tcW w:w="2160" w:type="dxa"/>
            <w:tcBorders>
              <w:top w:val="nil"/>
              <w:left w:val="nil"/>
              <w:bottom w:val="single" w:sz="4" w:space="0" w:color="auto"/>
              <w:right w:val="single" w:sz="4" w:space="0" w:color="auto"/>
            </w:tcBorders>
            <w:noWrap/>
            <w:vAlign w:val="bottom"/>
          </w:tcPr>
          <w:p w14:paraId="351710AF" w14:textId="77777777" w:rsidR="00583B86" w:rsidRPr="00D94B08" w:rsidRDefault="00583B86" w:rsidP="00534F9D">
            <w:pPr>
              <w:jc w:val="center"/>
              <w:rPr>
                <w:color w:val="000000"/>
                <w:lang w:val="en-US" w:eastAsia="en-US"/>
              </w:rPr>
            </w:pPr>
            <w:r w:rsidRPr="00D94B08">
              <w:rPr>
                <w:color w:val="000000"/>
                <w:sz w:val="22"/>
                <w:szCs w:val="22"/>
                <w:lang w:val="en-US" w:eastAsia="en-US"/>
              </w:rPr>
              <w:t>22.9</w:t>
            </w:r>
          </w:p>
        </w:tc>
        <w:tc>
          <w:tcPr>
            <w:tcW w:w="1080" w:type="dxa"/>
            <w:tcBorders>
              <w:top w:val="nil"/>
              <w:left w:val="nil"/>
              <w:bottom w:val="single" w:sz="4" w:space="0" w:color="auto"/>
              <w:right w:val="single" w:sz="4" w:space="0" w:color="auto"/>
            </w:tcBorders>
            <w:noWrap/>
            <w:vAlign w:val="bottom"/>
          </w:tcPr>
          <w:p w14:paraId="50E7C8D0" w14:textId="77777777" w:rsidR="00583B86" w:rsidRPr="00D94B08" w:rsidRDefault="00583B86" w:rsidP="00534F9D">
            <w:pPr>
              <w:jc w:val="center"/>
              <w:rPr>
                <w:color w:val="000000"/>
                <w:lang w:val="en-US" w:eastAsia="en-US"/>
              </w:rPr>
            </w:pPr>
            <w:r w:rsidRPr="00D94B08">
              <w:rPr>
                <w:color w:val="000000"/>
                <w:sz w:val="22"/>
                <w:szCs w:val="22"/>
                <w:lang w:val="en-US" w:eastAsia="en-US"/>
              </w:rPr>
              <w:t>20.9</w:t>
            </w:r>
          </w:p>
        </w:tc>
        <w:tc>
          <w:tcPr>
            <w:tcW w:w="1260" w:type="dxa"/>
            <w:tcBorders>
              <w:top w:val="nil"/>
              <w:left w:val="nil"/>
              <w:bottom w:val="single" w:sz="4" w:space="0" w:color="auto"/>
              <w:right w:val="single" w:sz="4" w:space="0" w:color="auto"/>
            </w:tcBorders>
            <w:noWrap/>
            <w:vAlign w:val="bottom"/>
          </w:tcPr>
          <w:p w14:paraId="670FB917" w14:textId="77777777" w:rsidR="00583B86" w:rsidRPr="00D94B08" w:rsidRDefault="00583B86" w:rsidP="00534F9D">
            <w:pPr>
              <w:jc w:val="center"/>
              <w:rPr>
                <w:color w:val="000000"/>
                <w:lang w:val="en-US" w:eastAsia="en-US"/>
              </w:rPr>
            </w:pPr>
            <w:r w:rsidRPr="00D94B08">
              <w:rPr>
                <w:color w:val="000000"/>
                <w:sz w:val="22"/>
                <w:szCs w:val="22"/>
                <w:lang w:val="en-US" w:eastAsia="en-US"/>
              </w:rPr>
              <w:t>24.9</w:t>
            </w:r>
          </w:p>
        </w:tc>
        <w:tc>
          <w:tcPr>
            <w:tcW w:w="3600" w:type="dxa"/>
            <w:tcBorders>
              <w:top w:val="nil"/>
              <w:left w:val="nil"/>
              <w:bottom w:val="single" w:sz="4" w:space="0" w:color="auto"/>
              <w:right w:val="single" w:sz="4" w:space="0" w:color="auto"/>
            </w:tcBorders>
            <w:noWrap/>
            <w:vAlign w:val="bottom"/>
          </w:tcPr>
          <w:p w14:paraId="613C85EA" w14:textId="77777777" w:rsidR="00583B86" w:rsidRPr="00D94B08" w:rsidRDefault="00583B86" w:rsidP="00534F9D">
            <w:pPr>
              <w:jc w:val="center"/>
              <w:rPr>
                <w:color w:val="000000"/>
                <w:lang w:val="en-US" w:eastAsia="en-US"/>
              </w:rPr>
            </w:pPr>
            <w:r w:rsidRPr="00D94B08">
              <w:rPr>
                <w:color w:val="000000"/>
                <w:sz w:val="22"/>
                <w:szCs w:val="22"/>
                <w:lang w:val="en-US" w:eastAsia="en-US"/>
              </w:rPr>
              <w:t>0.96 (0.84 - 1.10)</w:t>
            </w:r>
          </w:p>
        </w:tc>
      </w:tr>
      <w:tr w:rsidR="00583B86" w:rsidRPr="00D94B08" w14:paraId="079F2C07"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B59F63E" w14:textId="77777777" w:rsidR="00583B86" w:rsidRPr="00D94B08" w:rsidRDefault="00583B86" w:rsidP="00534F9D">
            <w:pPr>
              <w:rPr>
                <w:color w:val="000000"/>
                <w:lang w:val="en-US" w:eastAsia="en-US"/>
              </w:rPr>
            </w:pPr>
            <w:r w:rsidRPr="00D94B08">
              <w:rPr>
                <w:color w:val="000000"/>
                <w:sz w:val="22"/>
                <w:szCs w:val="22"/>
                <w:lang w:val="en-US" w:eastAsia="en-US"/>
              </w:rPr>
              <w:t xml:space="preserve">   South East Coast</w:t>
            </w:r>
          </w:p>
        </w:tc>
        <w:tc>
          <w:tcPr>
            <w:tcW w:w="1620" w:type="dxa"/>
            <w:tcBorders>
              <w:top w:val="nil"/>
              <w:left w:val="nil"/>
              <w:bottom w:val="single" w:sz="4" w:space="0" w:color="auto"/>
              <w:right w:val="single" w:sz="4" w:space="0" w:color="auto"/>
            </w:tcBorders>
            <w:noWrap/>
            <w:vAlign w:val="bottom"/>
          </w:tcPr>
          <w:p w14:paraId="25488E5A" w14:textId="77777777" w:rsidR="00583B86" w:rsidRPr="00D94B08" w:rsidRDefault="00583B86" w:rsidP="00534F9D">
            <w:pPr>
              <w:jc w:val="center"/>
              <w:rPr>
                <w:color w:val="000000"/>
                <w:lang w:val="en-US" w:eastAsia="en-US"/>
              </w:rPr>
            </w:pPr>
            <w:r w:rsidRPr="00D94B08">
              <w:rPr>
                <w:color w:val="000000"/>
                <w:sz w:val="22"/>
                <w:szCs w:val="22"/>
                <w:lang w:val="en-US" w:eastAsia="en-US"/>
              </w:rPr>
              <w:t>495</w:t>
            </w:r>
          </w:p>
        </w:tc>
        <w:tc>
          <w:tcPr>
            <w:tcW w:w="2160" w:type="dxa"/>
            <w:tcBorders>
              <w:top w:val="nil"/>
              <w:left w:val="nil"/>
              <w:bottom w:val="single" w:sz="4" w:space="0" w:color="auto"/>
              <w:right w:val="single" w:sz="4" w:space="0" w:color="auto"/>
            </w:tcBorders>
            <w:noWrap/>
            <w:vAlign w:val="bottom"/>
          </w:tcPr>
          <w:p w14:paraId="6B89E6C3" w14:textId="77777777" w:rsidR="00583B86" w:rsidRPr="00D94B08" w:rsidRDefault="00583B86" w:rsidP="00534F9D">
            <w:pPr>
              <w:jc w:val="center"/>
              <w:rPr>
                <w:color w:val="000000"/>
                <w:lang w:val="en-US" w:eastAsia="en-US"/>
              </w:rPr>
            </w:pPr>
            <w:r w:rsidRPr="00D94B08">
              <w:rPr>
                <w:color w:val="000000"/>
                <w:sz w:val="22"/>
                <w:szCs w:val="22"/>
                <w:lang w:val="en-US" w:eastAsia="en-US"/>
              </w:rPr>
              <w:t>22.9</w:t>
            </w:r>
          </w:p>
        </w:tc>
        <w:tc>
          <w:tcPr>
            <w:tcW w:w="1080" w:type="dxa"/>
            <w:tcBorders>
              <w:top w:val="nil"/>
              <w:left w:val="nil"/>
              <w:bottom w:val="single" w:sz="4" w:space="0" w:color="auto"/>
              <w:right w:val="single" w:sz="4" w:space="0" w:color="auto"/>
            </w:tcBorders>
            <w:noWrap/>
            <w:vAlign w:val="bottom"/>
          </w:tcPr>
          <w:p w14:paraId="2466BF67" w14:textId="77777777" w:rsidR="00583B86" w:rsidRPr="00D94B08" w:rsidRDefault="00583B86" w:rsidP="00534F9D">
            <w:pPr>
              <w:jc w:val="center"/>
              <w:rPr>
                <w:color w:val="000000"/>
                <w:lang w:val="en-US" w:eastAsia="en-US"/>
              </w:rPr>
            </w:pPr>
            <w:r w:rsidRPr="00D94B08">
              <w:rPr>
                <w:color w:val="000000"/>
                <w:sz w:val="22"/>
                <w:szCs w:val="22"/>
                <w:lang w:val="en-US" w:eastAsia="en-US"/>
              </w:rPr>
              <w:t>20.9</w:t>
            </w:r>
          </w:p>
        </w:tc>
        <w:tc>
          <w:tcPr>
            <w:tcW w:w="1260" w:type="dxa"/>
            <w:tcBorders>
              <w:top w:val="nil"/>
              <w:left w:val="nil"/>
              <w:bottom w:val="single" w:sz="4" w:space="0" w:color="auto"/>
              <w:right w:val="single" w:sz="4" w:space="0" w:color="auto"/>
            </w:tcBorders>
            <w:noWrap/>
            <w:vAlign w:val="bottom"/>
          </w:tcPr>
          <w:p w14:paraId="14C98FF0" w14:textId="77777777" w:rsidR="00583B86" w:rsidRPr="00D94B08" w:rsidRDefault="00583B86" w:rsidP="00534F9D">
            <w:pPr>
              <w:jc w:val="center"/>
              <w:rPr>
                <w:color w:val="000000"/>
                <w:lang w:val="en-US" w:eastAsia="en-US"/>
              </w:rPr>
            </w:pPr>
            <w:r w:rsidRPr="00D94B08">
              <w:rPr>
                <w:color w:val="000000"/>
                <w:sz w:val="22"/>
                <w:szCs w:val="22"/>
                <w:lang w:val="en-US" w:eastAsia="en-US"/>
              </w:rPr>
              <w:t>24.9</w:t>
            </w:r>
          </w:p>
        </w:tc>
        <w:tc>
          <w:tcPr>
            <w:tcW w:w="3600" w:type="dxa"/>
            <w:tcBorders>
              <w:top w:val="nil"/>
              <w:left w:val="nil"/>
              <w:bottom w:val="single" w:sz="4" w:space="0" w:color="auto"/>
              <w:right w:val="single" w:sz="4" w:space="0" w:color="auto"/>
            </w:tcBorders>
            <w:noWrap/>
            <w:vAlign w:val="bottom"/>
          </w:tcPr>
          <w:p w14:paraId="13A3A289" w14:textId="77777777" w:rsidR="00583B86" w:rsidRPr="00D94B08" w:rsidRDefault="00583B86" w:rsidP="00534F9D">
            <w:pPr>
              <w:jc w:val="center"/>
              <w:rPr>
                <w:color w:val="000000"/>
                <w:lang w:val="en-US" w:eastAsia="en-US"/>
              </w:rPr>
            </w:pPr>
            <w:r w:rsidRPr="00D94B08">
              <w:rPr>
                <w:color w:val="000000"/>
                <w:sz w:val="22"/>
                <w:szCs w:val="22"/>
                <w:lang w:val="en-US" w:eastAsia="en-US"/>
              </w:rPr>
              <w:t>0.97 (0.85 - 1.11)</w:t>
            </w:r>
          </w:p>
        </w:tc>
      </w:tr>
      <w:tr w:rsidR="00583B86" w:rsidRPr="00D94B08" w14:paraId="63E4DC2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0068BC3F" w14:textId="77777777" w:rsidR="00583B86" w:rsidRPr="00D94B08" w:rsidRDefault="00583B86" w:rsidP="00534F9D">
            <w:pPr>
              <w:rPr>
                <w:color w:val="000000"/>
                <w:lang w:val="en-US" w:eastAsia="en-US"/>
              </w:rPr>
            </w:pPr>
            <w:r w:rsidRPr="00D94B08">
              <w:rPr>
                <w:color w:val="000000"/>
                <w:sz w:val="22"/>
                <w:szCs w:val="22"/>
                <w:lang w:val="en-US" w:eastAsia="en-US"/>
              </w:rPr>
              <w:t xml:space="preserve">   South West</w:t>
            </w:r>
          </w:p>
        </w:tc>
        <w:tc>
          <w:tcPr>
            <w:tcW w:w="1620" w:type="dxa"/>
            <w:tcBorders>
              <w:top w:val="nil"/>
              <w:left w:val="nil"/>
              <w:bottom w:val="single" w:sz="4" w:space="0" w:color="auto"/>
              <w:right w:val="single" w:sz="4" w:space="0" w:color="auto"/>
            </w:tcBorders>
            <w:noWrap/>
            <w:vAlign w:val="bottom"/>
          </w:tcPr>
          <w:p w14:paraId="4D0A7D1A" w14:textId="77777777" w:rsidR="00583B86" w:rsidRPr="00D94B08" w:rsidRDefault="00583B86" w:rsidP="00534F9D">
            <w:pPr>
              <w:jc w:val="center"/>
              <w:rPr>
                <w:color w:val="000000"/>
                <w:lang w:val="en-US" w:eastAsia="en-US"/>
              </w:rPr>
            </w:pPr>
            <w:r w:rsidRPr="00D94B08">
              <w:rPr>
                <w:color w:val="000000"/>
                <w:sz w:val="22"/>
                <w:szCs w:val="22"/>
                <w:lang w:val="en-US" w:eastAsia="en-US"/>
              </w:rPr>
              <w:t>561</w:t>
            </w:r>
          </w:p>
        </w:tc>
        <w:tc>
          <w:tcPr>
            <w:tcW w:w="2160" w:type="dxa"/>
            <w:tcBorders>
              <w:top w:val="nil"/>
              <w:left w:val="nil"/>
              <w:bottom w:val="single" w:sz="4" w:space="0" w:color="auto"/>
              <w:right w:val="single" w:sz="4" w:space="0" w:color="auto"/>
            </w:tcBorders>
            <w:noWrap/>
            <w:vAlign w:val="bottom"/>
          </w:tcPr>
          <w:p w14:paraId="266E1B7A" w14:textId="77777777" w:rsidR="00583B86" w:rsidRPr="00D94B08" w:rsidRDefault="00583B86" w:rsidP="00534F9D">
            <w:pPr>
              <w:jc w:val="center"/>
              <w:rPr>
                <w:color w:val="000000"/>
                <w:lang w:val="en-US" w:eastAsia="en-US"/>
              </w:rPr>
            </w:pPr>
            <w:r w:rsidRPr="00D94B08">
              <w:rPr>
                <w:color w:val="000000"/>
                <w:sz w:val="22"/>
                <w:szCs w:val="22"/>
                <w:lang w:val="en-US" w:eastAsia="en-US"/>
              </w:rPr>
              <w:t>23.1</w:t>
            </w:r>
          </w:p>
        </w:tc>
        <w:tc>
          <w:tcPr>
            <w:tcW w:w="1080" w:type="dxa"/>
            <w:tcBorders>
              <w:top w:val="nil"/>
              <w:left w:val="nil"/>
              <w:bottom w:val="single" w:sz="4" w:space="0" w:color="auto"/>
              <w:right w:val="single" w:sz="4" w:space="0" w:color="auto"/>
            </w:tcBorders>
            <w:noWrap/>
            <w:vAlign w:val="bottom"/>
          </w:tcPr>
          <w:p w14:paraId="6920CEB1" w14:textId="77777777" w:rsidR="00583B86" w:rsidRPr="00D94B08" w:rsidRDefault="00583B86" w:rsidP="00534F9D">
            <w:pPr>
              <w:jc w:val="center"/>
              <w:rPr>
                <w:color w:val="000000"/>
                <w:lang w:val="en-US" w:eastAsia="en-US"/>
              </w:rPr>
            </w:pPr>
            <w:r w:rsidRPr="00D94B08">
              <w:rPr>
                <w:color w:val="000000"/>
                <w:sz w:val="22"/>
                <w:szCs w:val="22"/>
                <w:lang w:val="en-US" w:eastAsia="en-US"/>
              </w:rPr>
              <w:t>21.2</w:t>
            </w:r>
          </w:p>
        </w:tc>
        <w:tc>
          <w:tcPr>
            <w:tcW w:w="1260" w:type="dxa"/>
            <w:tcBorders>
              <w:top w:val="nil"/>
              <w:left w:val="nil"/>
              <w:bottom w:val="single" w:sz="4" w:space="0" w:color="auto"/>
              <w:right w:val="single" w:sz="4" w:space="0" w:color="auto"/>
            </w:tcBorders>
            <w:noWrap/>
            <w:vAlign w:val="bottom"/>
          </w:tcPr>
          <w:p w14:paraId="2AA63F0F" w14:textId="77777777" w:rsidR="00583B86" w:rsidRPr="00D94B08" w:rsidRDefault="00583B86" w:rsidP="00534F9D">
            <w:pPr>
              <w:jc w:val="center"/>
              <w:rPr>
                <w:color w:val="000000"/>
                <w:lang w:val="en-US" w:eastAsia="en-US"/>
              </w:rPr>
            </w:pPr>
            <w:r w:rsidRPr="00D94B08">
              <w:rPr>
                <w:color w:val="000000"/>
                <w:sz w:val="22"/>
                <w:szCs w:val="22"/>
                <w:lang w:val="en-US" w:eastAsia="en-US"/>
              </w:rPr>
              <w:t>25.0</w:t>
            </w:r>
          </w:p>
        </w:tc>
        <w:tc>
          <w:tcPr>
            <w:tcW w:w="3600" w:type="dxa"/>
            <w:tcBorders>
              <w:top w:val="nil"/>
              <w:left w:val="nil"/>
              <w:bottom w:val="single" w:sz="4" w:space="0" w:color="auto"/>
              <w:right w:val="single" w:sz="4" w:space="0" w:color="auto"/>
            </w:tcBorders>
            <w:noWrap/>
            <w:vAlign w:val="bottom"/>
          </w:tcPr>
          <w:p w14:paraId="46CDE55C" w14:textId="77777777" w:rsidR="00583B86" w:rsidRPr="00D94B08" w:rsidRDefault="00583B86" w:rsidP="00534F9D">
            <w:pPr>
              <w:jc w:val="center"/>
              <w:rPr>
                <w:color w:val="000000"/>
                <w:lang w:val="en-US" w:eastAsia="en-US"/>
              </w:rPr>
            </w:pPr>
            <w:r w:rsidRPr="00D94B08">
              <w:rPr>
                <w:color w:val="000000"/>
                <w:sz w:val="22"/>
                <w:szCs w:val="22"/>
                <w:lang w:val="en-US" w:eastAsia="en-US"/>
              </w:rPr>
              <w:t>0.92 (0.81 - 1.04)</w:t>
            </w:r>
          </w:p>
        </w:tc>
      </w:tr>
      <w:tr w:rsidR="00583B86" w:rsidRPr="00D94B08" w14:paraId="50DBFD0A"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DDDB26E" w14:textId="77777777" w:rsidR="00583B86" w:rsidRPr="00D94B08" w:rsidRDefault="00583B86" w:rsidP="00534F9D">
            <w:pPr>
              <w:rPr>
                <w:color w:val="000000"/>
                <w:lang w:val="en-US" w:eastAsia="en-US"/>
              </w:rPr>
            </w:pPr>
            <w:r w:rsidRPr="00D94B08">
              <w:rPr>
                <w:color w:val="000000"/>
                <w:sz w:val="22"/>
                <w:szCs w:val="22"/>
                <w:lang w:val="en-US" w:eastAsia="en-US"/>
              </w:rPr>
              <w:t xml:space="preserve">   West Midlands</w:t>
            </w:r>
          </w:p>
        </w:tc>
        <w:tc>
          <w:tcPr>
            <w:tcW w:w="1620" w:type="dxa"/>
            <w:tcBorders>
              <w:top w:val="nil"/>
              <w:left w:val="nil"/>
              <w:bottom w:val="single" w:sz="4" w:space="0" w:color="auto"/>
              <w:right w:val="single" w:sz="4" w:space="0" w:color="auto"/>
            </w:tcBorders>
            <w:noWrap/>
            <w:vAlign w:val="bottom"/>
          </w:tcPr>
          <w:p w14:paraId="1D131B00" w14:textId="77777777" w:rsidR="00583B86" w:rsidRPr="00D94B08" w:rsidRDefault="00583B86" w:rsidP="00534F9D">
            <w:pPr>
              <w:jc w:val="center"/>
              <w:rPr>
                <w:color w:val="000000"/>
                <w:lang w:val="en-US" w:eastAsia="en-US"/>
              </w:rPr>
            </w:pPr>
            <w:r w:rsidRPr="00D94B08">
              <w:rPr>
                <w:color w:val="000000"/>
                <w:sz w:val="22"/>
                <w:szCs w:val="22"/>
                <w:lang w:val="en-US" w:eastAsia="en-US"/>
              </w:rPr>
              <w:t>459</w:t>
            </w:r>
          </w:p>
        </w:tc>
        <w:tc>
          <w:tcPr>
            <w:tcW w:w="2160" w:type="dxa"/>
            <w:tcBorders>
              <w:top w:val="nil"/>
              <w:left w:val="nil"/>
              <w:bottom w:val="single" w:sz="4" w:space="0" w:color="auto"/>
              <w:right w:val="single" w:sz="4" w:space="0" w:color="auto"/>
            </w:tcBorders>
            <w:noWrap/>
            <w:vAlign w:val="bottom"/>
          </w:tcPr>
          <w:p w14:paraId="00FF9E34" w14:textId="77777777" w:rsidR="00583B86" w:rsidRPr="00D94B08" w:rsidRDefault="00583B86" w:rsidP="00534F9D">
            <w:pPr>
              <w:jc w:val="center"/>
              <w:rPr>
                <w:color w:val="000000"/>
                <w:lang w:val="en-US" w:eastAsia="en-US"/>
              </w:rPr>
            </w:pPr>
            <w:r w:rsidRPr="00D94B08">
              <w:rPr>
                <w:color w:val="000000"/>
                <w:sz w:val="22"/>
                <w:szCs w:val="22"/>
                <w:lang w:val="en-US" w:eastAsia="en-US"/>
              </w:rPr>
              <w:t>22.8</w:t>
            </w:r>
          </w:p>
        </w:tc>
        <w:tc>
          <w:tcPr>
            <w:tcW w:w="1080" w:type="dxa"/>
            <w:tcBorders>
              <w:top w:val="nil"/>
              <w:left w:val="nil"/>
              <w:bottom w:val="single" w:sz="4" w:space="0" w:color="auto"/>
              <w:right w:val="single" w:sz="4" w:space="0" w:color="auto"/>
            </w:tcBorders>
            <w:noWrap/>
            <w:vAlign w:val="bottom"/>
          </w:tcPr>
          <w:p w14:paraId="6964E424" w14:textId="77777777" w:rsidR="00583B86" w:rsidRPr="00D94B08" w:rsidRDefault="00583B86" w:rsidP="00534F9D">
            <w:pPr>
              <w:jc w:val="center"/>
              <w:rPr>
                <w:color w:val="000000"/>
                <w:lang w:val="en-US" w:eastAsia="en-US"/>
              </w:rPr>
            </w:pPr>
            <w:r w:rsidRPr="00D94B08">
              <w:rPr>
                <w:color w:val="000000"/>
                <w:sz w:val="22"/>
                <w:szCs w:val="22"/>
                <w:lang w:val="en-US" w:eastAsia="en-US"/>
              </w:rPr>
              <w:t>20.7</w:t>
            </w:r>
          </w:p>
        </w:tc>
        <w:tc>
          <w:tcPr>
            <w:tcW w:w="1260" w:type="dxa"/>
            <w:tcBorders>
              <w:top w:val="nil"/>
              <w:left w:val="nil"/>
              <w:bottom w:val="single" w:sz="4" w:space="0" w:color="auto"/>
              <w:right w:val="single" w:sz="4" w:space="0" w:color="auto"/>
            </w:tcBorders>
            <w:noWrap/>
            <w:vAlign w:val="bottom"/>
          </w:tcPr>
          <w:p w14:paraId="5E911C35" w14:textId="77777777" w:rsidR="00583B86" w:rsidRPr="00D94B08" w:rsidRDefault="00583B86" w:rsidP="00534F9D">
            <w:pPr>
              <w:jc w:val="center"/>
              <w:rPr>
                <w:color w:val="000000"/>
                <w:lang w:val="en-US" w:eastAsia="en-US"/>
              </w:rPr>
            </w:pPr>
            <w:r w:rsidRPr="00D94B08">
              <w:rPr>
                <w:color w:val="000000"/>
                <w:sz w:val="22"/>
                <w:szCs w:val="22"/>
                <w:lang w:val="en-US" w:eastAsia="en-US"/>
              </w:rPr>
              <w:t>24.9</w:t>
            </w:r>
          </w:p>
        </w:tc>
        <w:tc>
          <w:tcPr>
            <w:tcW w:w="3600" w:type="dxa"/>
            <w:tcBorders>
              <w:top w:val="nil"/>
              <w:left w:val="nil"/>
              <w:bottom w:val="single" w:sz="4" w:space="0" w:color="auto"/>
              <w:right w:val="single" w:sz="4" w:space="0" w:color="auto"/>
            </w:tcBorders>
            <w:noWrap/>
            <w:vAlign w:val="bottom"/>
          </w:tcPr>
          <w:p w14:paraId="7FF40E78" w14:textId="77777777" w:rsidR="00583B86" w:rsidRPr="00D94B08" w:rsidRDefault="00583B86" w:rsidP="00534F9D">
            <w:pPr>
              <w:jc w:val="center"/>
              <w:rPr>
                <w:color w:val="000000"/>
                <w:lang w:val="en-US" w:eastAsia="en-US"/>
              </w:rPr>
            </w:pPr>
            <w:r w:rsidRPr="00D94B08">
              <w:rPr>
                <w:color w:val="000000"/>
                <w:sz w:val="22"/>
                <w:szCs w:val="22"/>
                <w:lang w:val="en-US" w:eastAsia="en-US"/>
              </w:rPr>
              <w:t>1.05 (0.91 - 1.20)</w:t>
            </w:r>
          </w:p>
        </w:tc>
      </w:tr>
      <w:tr w:rsidR="00583B86" w:rsidRPr="00D94B08" w14:paraId="35AEFBE6"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28754C2" w14:textId="77777777" w:rsidR="00583B86" w:rsidRPr="00D94B08" w:rsidRDefault="00583B86" w:rsidP="00534F9D">
            <w:pPr>
              <w:rPr>
                <w:color w:val="000000"/>
                <w:lang w:val="en-US" w:eastAsia="en-US"/>
              </w:rPr>
            </w:pPr>
            <w:r w:rsidRPr="00D94B08">
              <w:rPr>
                <w:color w:val="000000"/>
                <w:sz w:val="22"/>
                <w:szCs w:val="22"/>
                <w:lang w:val="en-US" w:eastAsia="en-US"/>
              </w:rPr>
              <w:lastRenderedPageBreak/>
              <w:t xml:space="preserve">   Yorkshire &amp; The Humber </w:t>
            </w:r>
          </w:p>
        </w:tc>
        <w:tc>
          <w:tcPr>
            <w:tcW w:w="1620" w:type="dxa"/>
            <w:tcBorders>
              <w:top w:val="nil"/>
              <w:left w:val="nil"/>
              <w:bottom w:val="single" w:sz="4" w:space="0" w:color="auto"/>
              <w:right w:val="single" w:sz="4" w:space="0" w:color="auto"/>
            </w:tcBorders>
            <w:noWrap/>
            <w:vAlign w:val="bottom"/>
          </w:tcPr>
          <w:p w14:paraId="3CCB4E13" w14:textId="77777777" w:rsidR="00583B86" w:rsidRPr="00D94B08" w:rsidRDefault="00583B86" w:rsidP="00534F9D">
            <w:pPr>
              <w:jc w:val="center"/>
              <w:rPr>
                <w:color w:val="000000"/>
                <w:lang w:val="en-US" w:eastAsia="en-US"/>
              </w:rPr>
            </w:pPr>
            <w:r w:rsidRPr="00D94B08">
              <w:rPr>
                <w:color w:val="000000"/>
                <w:sz w:val="22"/>
                <w:szCs w:val="22"/>
                <w:lang w:val="en-US" w:eastAsia="en-US"/>
              </w:rPr>
              <w:t>206</w:t>
            </w:r>
          </w:p>
        </w:tc>
        <w:tc>
          <w:tcPr>
            <w:tcW w:w="2160" w:type="dxa"/>
            <w:tcBorders>
              <w:top w:val="nil"/>
              <w:left w:val="nil"/>
              <w:bottom w:val="single" w:sz="4" w:space="0" w:color="auto"/>
              <w:right w:val="single" w:sz="4" w:space="0" w:color="auto"/>
            </w:tcBorders>
            <w:noWrap/>
            <w:vAlign w:val="bottom"/>
          </w:tcPr>
          <w:p w14:paraId="5E7F0033" w14:textId="77777777" w:rsidR="00583B86" w:rsidRPr="00D94B08" w:rsidRDefault="00583B86" w:rsidP="00534F9D">
            <w:pPr>
              <w:jc w:val="center"/>
              <w:rPr>
                <w:color w:val="000000"/>
                <w:lang w:val="en-US" w:eastAsia="en-US"/>
              </w:rPr>
            </w:pPr>
            <w:r w:rsidRPr="00D94B08">
              <w:rPr>
                <w:color w:val="000000"/>
                <w:sz w:val="22"/>
                <w:szCs w:val="22"/>
                <w:lang w:val="en-US" w:eastAsia="en-US"/>
              </w:rPr>
              <w:t>26.2</w:t>
            </w:r>
          </w:p>
        </w:tc>
        <w:tc>
          <w:tcPr>
            <w:tcW w:w="1080" w:type="dxa"/>
            <w:tcBorders>
              <w:top w:val="nil"/>
              <w:left w:val="nil"/>
              <w:bottom w:val="single" w:sz="4" w:space="0" w:color="auto"/>
              <w:right w:val="single" w:sz="4" w:space="0" w:color="auto"/>
            </w:tcBorders>
            <w:noWrap/>
            <w:vAlign w:val="bottom"/>
          </w:tcPr>
          <w:p w14:paraId="49378170" w14:textId="77777777" w:rsidR="00583B86" w:rsidRPr="00D94B08" w:rsidRDefault="00583B86" w:rsidP="00534F9D">
            <w:pPr>
              <w:jc w:val="center"/>
              <w:rPr>
                <w:color w:val="000000"/>
                <w:lang w:val="en-US" w:eastAsia="en-US"/>
              </w:rPr>
            </w:pPr>
            <w:r w:rsidRPr="00D94B08">
              <w:rPr>
                <w:color w:val="000000"/>
                <w:sz w:val="22"/>
                <w:szCs w:val="22"/>
                <w:lang w:val="en-US" w:eastAsia="en-US"/>
              </w:rPr>
              <w:t>22.6</w:t>
            </w:r>
          </w:p>
        </w:tc>
        <w:tc>
          <w:tcPr>
            <w:tcW w:w="1260" w:type="dxa"/>
            <w:tcBorders>
              <w:top w:val="nil"/>
              <w:left w:val="nil"/>
              <w:bottom w:val="single" w:sz="4" w:space="0" w:color="auto"/>
              <w:right w:val="single" w:sz="4" w:space="0" w:color="auto"/>
            </w:tcBorders>
            <w:noWrap/>
            <w:vAlign w:val="bottom"/>
          </w:tcPr>
          <w:p w14:paraId="716D8884" w14:textId="77777777" w:rsidR="00583B86" w:rsidRPr="00D94B08" w:rsidRDefault="00583B86" w:rsidP="00534F9D">
            <w:pPr>
              <w:jc w:val="center"/>
              <w:rPr>
                <w:color w:val="000000"/>
                <w:lang w:val="en-US" w:eastAsia="en-US"/>
              </w:rPr>
            </w:pPr>
            <w:r w:rsidRPr="00D94B08">
              <w:rPr>
                <w:color w:val="000000"/>
                <w:sz w:val="22"/>
                <w:szCs w:val="22"/>
                <w:lang w:val="en-US" w:eastAsia="en-US"/>
              </w:rPr>
              <w:t>29.8</w:t>
            </w:r>
          </w:p>
        </w:tc>
        <w:tc>
          <w:tcPr>
            <w:tcW w:w="3600" w:type="dxa"/>
            <w:tcBorders>
              <w:top w:val="nil"/>
              <w:left w:val="nil"/>
              <w:bottom w:val="single" w:sz="4" w:space="0" w:color="auto"/>
              <w:right w:val="single" w:sz="4" w:space="0" w:color="auto"/>
            </w:tcBorders>
            <w:noWrap/>
            <w:vAlign w:val="bottom"/>
          </w:tcPr>
          <w:p w14:paraId="121B2033" w14:textId="77777777" w:rsidR="00583B86" w:rsidRPr="00D94B08" w:rsidRDefault="00583B86" w:rsidP="00534F9D">
            <w:pPr>
              <w:jc w:val="center"/>
              <w:rPr>
                <w:color w:val="000000"/>
                <w:lang w:val="en-US" w:eastAsia="en-US"/>
              </w:rPr>
            </w:pPr>
            <w:r w:rsidRPr="00D94B08">
              <w:rPr>
                <w:color w:val="000000"/>
                <w:sz w:val="22"/>
                <w:szCs w:val="22"/>
                <w:lang w:val="en-US" w:eastAsia="en-US"/>
              </w:rPr>
              <w:t>1.20 (1.02 - 1.42)</w:t>
            </w:r>
          </w:p>
        </w:tc>
      </w:tr>
    </w:tbl>
    <w:p w14:paraId="15028950" w14:textId="77777777" w:rsidR="00583B86" w:rsidRPr="00D94B08" w:rsidRDefault="00583B86" w:rsidP="00FD62D0">
      <w:pPr>
        <w:spacing w:after="200" w:line="276" w:lineRule="auto"/>
        <w:rPr>
          <w:color w:val="000000"/>
          <w:sz w:val="22"/>
          <w:szCs w:val="22"/>
        </w:rPr>
      </w:pPr>
      <w:r w:rsidRPr="00D94B08">
        <w:rPr>
          <w:color w:val="000000"/>
          <w:sz w:val="22"/>
          <w:szCs w:val="22"/>
        </w:rPr>
        <w:t>IR: incidence rate; RR: rate ratio; py: person-years</w:t>
      </w:r>
    </w:p>
    <w:p w14:paraId="1D5A84FA" w14:textId="77777777" w:rsidR="00583B86" w:rsidRPr="00D94B08" w:rsidRDefault="00583B86">
      <w:pPr>
        <w:spacing w:after="200" w:line="276" w:lineRule="auto"/>
        <w:rPr>
          <w:b/>
          <w:color w:val="000000"/>
          <w:sz w:val="20"/>
          <w:szCs w:val="18"/>
        </w:rPr>
      </w:pPr>
      <w:r w:rsidRPr="00D94B08">
        <w:rPr>
          <w:b/>
          <w:color w:val="000000"/>
          <w:sz w:val="20"/>
          <w:szCs w:val="18"/>
        </w:rPr>
        <w:br w:type="page"/>
      </w:r>
    </w:p>
    <w:tbl>
      <w:tblPr>
        <w:tblW w:w="12206" w:type="dxa"/>
        <w:tblInd w:w="93" w:type="dxa"/>
        <w:tblLook w:val="00A0" w:firstRow="1" w:lastRow="0" w:firstColumn="1" w:lastColumn="0" w:noHBand="0" w:noVBand="0"/>
      </w:tblPr>
      <w:tblGrid>
        <w:gridCol w:w="2355"/>
        <w:gridCol w:w="1620"/>
        <w:gridCol w:w="2160"/>
        <w:gridCol w:w="1080"/>
        <w:gridCol w:w="1260"/>
        <w:gridCol w:w="3731"/>
      </w:tblGrid>
      <w:tr w:rsidR="00583B86" w:rsidRPr="00D94B08" w14:paraId="4B40EDB4" w14:textId="77777777" w:rsidTr="00E14BFB">
        <w:trPr>
          <w:trHeight w:val="300"/>
        </w:trPr>
        <w:tc>
          <w:tcPr>
            <w:tcW w:w="12206" w:type="dxa"/>
            <w:gridSpan w:val="6"/>
            <w:tcBorders>
              <w:top w:val="single" w:sz="4" w:space="0" w:color="auto"/>
              <w:left w:val="single" w:sz="4" w:space="0" w:color="auto"/>
              <w:bottom w:val="single" w:sz="4" w:space="0" w:color="auto"/>
              <w:right w:val="single" w:sz="4" w:space="0" w:color="000000"/>
            </w:tcBorders>
            <w:noWrap/>
            <w:vAlign w:val="bottom"/>
          </w:tcPr>
          <w:p w14:paraId="34AC262A" w14:textId="4DE01557" w:rsidR="00583B86" w:rsidRPr="00D94B08" w:rsidRDefault="00583B86" w:rsidP="00E14BFB">
            <w:pPr>
              <w:rPr>
                <w:color w:val="000000"/>
                <w:lang w:val="en-US" w:eastAsia="en-US"/>
              </w:rPr>
            </w:pPr>
            <w:r w:rsidRPr="00D94B08">
              <w:rPr>
                <w:b/>
                <w:color w:val="000000"/>
                <w:sz w:val="22"/>
                <w:szCs w:val="22"/>
                <w:lang w:val="en-US" w:eastAsia="en-US"/>
              </w:rPr>
              <w:lastRenderedPageBreak/>
              <w:t>Table 2.</w:t>
            </w:r>
            <w:r w:rsidRPr="00D94B08">
              <w:rPr>
                <w:color w:val="000000"/>
                <w:sz w:val="22"/>
                <w:szCs w:val="22"/>
                <w:lang w:val="en-US" w:eastAsia="en-US"/>
              </w:rPr>
              <w:t xml:space="preserve"> One-year all-cause mortality after fracture among women stratified by age, ethnicity, socioeconomic status, and region</w:t>
            </w:r>
            <w:r w:rsidR="00C95CB4">
              <w:rPr>
                <w:color w:val="000000"/>
                <w:sz w:val="22"/>
                <w:szCs w:val="22"/>
                <w:lang w:val="en-US" w:eastAsia="en-US"/>
              </w:rPr>
              <w:t xml:space="preserve"> (crude rates).</w:t>
            </w:r>
          </w:p>
        </w:tc>
      </w:tr>
      <w:tr w:rsidR="00583B86" w:rsidRPr="00D94B08" w14:paraId="64D60A90"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14EBE111"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tcPr>
          <w:p w14:paraId="38261860" w14:textId="77777777" w:rsidR="00583B86" w:rsidRPr="00D94B08" w:rsidRDefault="00583B86" w:rsidP="00FB265E">
            <w:pPr>
              <w:jc w:val="center"/>
              <w:rPr>
                <w:color w:val="000000"/>
                <w:lang w:val="en-US" w:eastAsia="en-US"/>
              </w:rPr>
            </w:pPr>
            <w:r w:rsidRPr="00D94B08">
              <w:rPr>
                <w:color w:val="000000"/>
                <w:sz w:val="22"/>
                <w:szCs w:val="22"/>
                <w:lang w:val="en-US" w:eastAsia="en-US"/>
              </w:rPr>
              <w:t>N deaths</w:t>
            </w:r>
          </w:p>
        </w:tc>
        <w:tc>
          <w:tcPr>
            <w:tcW w:w="2160" w:type="dxa"/>
            <w:tcBorders>
              <w:top w:val="nil"/>
              <w:left w:val="nil"/>
              <w:bottom w:val="single" w:sz="4" w:space="0" w:color="auto"/>
              <w:right w:val="single" w:sz="4" w:space="0" w:color="auto"/>
            </w:tcBorders>
            <w:noWrap/>
            <w:vAlign w:val="bottom"/>
          </w:tcPr>
          <w:p w14:paraId="2881F47E" w14:textId="77777777" w:rsidR="00583B86" w:rsidRPr="00D94B08" w:rsidRDefault="00583B86" w:rsidP="00FB265E">
            <w:pPr>
              <w:jc w:val="center"/>
              <w:rPr>
                <w:color w:val="000000"/>
                <w:lang w:val="en-US" w:eastAsia="en-US"/>
              </w:rPr>
            </w:pPr>
            <w:r w:rsidRPr="00D94B08">
              <w:rPr>
                <w:color w:val="000000"/>
                <w:sz w:val="22"/>
                <w:szCs w:val="22"/>
                <w:lang w:val="en-US" w:eastAsia="en-US"/>
              </w:rPr>
              <w:t>IR (per 100 py)</w:t>
            </w:r>
          </w:p>
        </w:tc>
        <w:tc>
          <w:tcPr>
            <w:tcW w:w="2340" w:type="dxa"/>
            <w:gridSpan w:val="2"/>
            <w:tcBorders>
              <w:top w:val="single" w:sz="4" w:space="0" w:color="auto"/>
              <w:left w:val="nil"/>
              <w:bottom w:val="single" w:sz="4" w:space="0" w:color="auto"/>
              <w:right w:val="single" w:sz="4" w:space="0" w:color="000000"/>
            </w:tcBorders>
            <w:noWrap/>
            <w:vAlign w:val="bottom"/>
          </w:tcPr>
          <w:p w14:paraId="1C8D428B" w14:textId="77777777" w:rsidR="00583B86" w:rsidRPr="00D94B08" w:rsidRDefault="00583B86" w:rsidP="00FB265E">
            <w:pPr>
              <w:jc w:val="center"/>
              <w:rPr>
                <w:color w:val="000000"/>
                <w:lang w:val="en-US" w:eastAsia="en-US"/>
              </w:rPr>
            </w:pPr>
            <w:r w:rsidRPr="00D94B08">
              <w:rPr>
                <w:color w:val="000000"/>
                <w:sz w:val="22"/>
                <w:szCs w:val="22"/>
                <w:lang w:val="en-US" w:eastAsia="en-US"/>
              </w:rPr>
              <w:t>IR 95% CI</w:t>
            </w:r>
          </w:p>
        </w:tc>
        <w:tc>
          <w:tcPr>
            <w:tcW w:w="3731" w:type="dxa"/>
            <w:tcBorders>
              <w:top w:val="nil"/>
              <w:left w:val="nil"/>
              <w:bottom w:val="single" w:sz="4" w:space="0" w:color="auto"/>
              <w:right w:val="single" w:sz="4" w:space="0" w:color="auto"/>
            </w:tcBorders>
            <w:noWrap/>
            <w:vAlign w:val="bottom"/>
          </w:tcPr>
          <w:p w14:paraId="723E8DE2" w14:textId="77777777" w:rsidR="00583B86" w:rsidRPr="00D94B08" w:rsidRDefault="00583B86" w:rsidP="00FB265E">
            <w:pPr>
              <w:jc w:val="center"/>
              <w:rPr>
                <w:color w:val="000000"/>
                <w:lang w:val="en-US" w:eastAsia="en-US"/>
              </w:rPr>
            </w:pPr>
            <w:r w:rsidRPr="00D94B08">
              <w:rPr>
                <w:color w:val="000000"/>
                <w:sz w:val="22"/>
                <w:szCs w:val="22"/>
                <w:lang w:val="en-US" w:eastAsia="en-US"/>
              </w:rPr>
              <w:t>RR (95% CI)</w:t>
            </w:r>
          </w:p>
        </w:tc>
      </w:tr>
      <w:tr w:rsidR="00583B86" w:rsidRPr="00D94B08" w14:paraId="6CE14247"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02603312" w14:textId="77777777" w:rsidR="00583B86" w:rsidRPr="00D94B08" w:rsidRDefault="00583B86" w:rsidP="00FB265E">
            <w:pPr>
              <w:rPr>
                <w:color w:val="000000"/>
                <w:lang w:val="en-US" w:eastAsia="en-US"/>
              </w:rPr>
            </w:pPr>
            <w:r w:rsidRPr="00D94B08">
              <w:rPr>
                <w:color w:val="000000"/>
                <w:sz w:val="22"/>
                <w:szCs w:val="22"/>
                <w:lang w:eastAsia="en-US"/>
              </w:rPr>
              <w:t>By age categories</w:t>
            </w:r>
          </w:p>
        </w:tc>
        <w:tc>
          <w:tcPr>
            <w:tcW w:w="1620" w:type="dxa"/>
            <w:tcBorders>
              <w:top w:val="nil"/>
              <w:left w:val="nil"/>
              <w:bottom w:val="single" w:sz="4" w:space="0" w:color="auto"/>
              <w:right w:val="single" w:sz="4" w:space="0" w:color="auto"/>
            </w:tcBorders>
            <w:noWrap/>
            <w:vAlign w:val="bottom"/>
          </w:tcPr>
          <w:p w14:paraId="3F93FD93"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2B73C78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13BB19DB"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0BDBB1CA"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731" w:type="dxa"/>
            <w:tcBorders>
              <w:top w:val="nil"/>
              <w:left w:val="nil"/>
              <w:bottom w:val="single" w:sz="4" w:space="0" w:color="auto"/>
              <w:right w:val="single" w:sz="4" w:space="0" w:color="auto"/>
            </w:tcBorders>
            <w:noWrap/>
            <w:vAlign w:val="bottom"/>
          </w:tcPr>
          <w:p w14:paraId="064053F3"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318358AF"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18B8960E" w14:textId="77777777" w:rsidR="00583B86" w:rsidRPr="00D94B08" w:rsidRDefault="00583B86" w:rsidP="00FB265E">
            <w:pPr>
              <w:rPr>
                <w:color w:val="000000"/>
                <w:lang w:val="en-US" w:eastAsia="en-US"/>
              </w:rPr>
            </w:pPr>
            <w:r w:rsidRPr="00D94B08">
              <w:rPr>
                <w:color w:val="000000"/>
                <w:sz w:val="22"/>
                <w:szCs w:val="18"/>
                <w:lang w:eastAsia="en-US"/>
              </w:rPr>
              <w:t xml:space="preserve">   50 – 54 </w:t>
            </w:r>
          </w:p>
        </w:tc>
        <w:tc>
          <w:tcPr>
            <w:tcW w:w="1620" w:type="dxa"/>
            <w:tcBorders>
              <w:top w:val="nil"/>
              <w:left w:val="nil"/>
              <w:bottom w:val="single" w:sz="4" w:space="0" w:color="auto"/>
              <w:right w:val="single" w:sz="4" w:space="0" w:color="auto"/>
            </w:tcBorders>
            <w:noWrap/>
            <w:vAlign w:val="bottom"/>
          </w:tcPr>
          <w:p w14:paraId="7C615F17" w14:textId="77777777" w:rsidR="00583B86" w:rsidRPr="00D94B08" w:rsidRDefault="00583B86" w:rsidP="00FB265E">
            <w:pPr>
              <w:jc w:val="center"/>
              <w:rPr>
                <w:color w:val="000000"/>
                <w:lang w:val="en-US" w:eastAsia="en-US"/>
              </w:rPr>
            </w:pPr>
            <w:r w:rsidRPr="00D94B08">
              <w:rPr>
                <w:color w:val="000000"/>
                <w:sz w:val="22"/>
                <w:szCs w:val="22"/>
                <w:lang w:val="en-US" w:eastAsia="en-US"/>
              </w:rPr>
              <w:t>50</w:t>
            </w:r>
          </w:p>
        </w:tc>
        <w:tc>
          <w:tcPr>
            <w:tcW w:w="2160" w:type="dxa"/>
            <w:tcBorders>
              <w:top w:val="nil"/>
              <w:left w:val="nil"/>
              <w:bottom w:val="single" w:sz="4" w:space="0" w:color="auto"/>
              <w:right w:val="single" w:sz="4" w:space="0" w:color="auto"/>
            </w:tcBorders>
            <w:noWrap/>
            <w:vAlign w:val="bottom"/>
          </w:tcPr>
          <w:p w14:paraId="3E89E48D" w14:textId="77777777" w:rsidR="00583B86" w:rsidRPr="00D94B08" w:rsidRDefault="00583B86" w:rsidP="00FB265E">
            <w:pPr>
              <w:jc w:val="center"/>
              <w:rPr>
                <w:color w:val="000000"/>
                <w:lang w:val="en-US" w:eastAsia="en-US"/>
              </w:rPr>
            </w:pPr>
            <w:r w:rsidRPr="00D94B08">
              <w:rPr>
                <w:color w:val="000000"/>
                <w:sz w:val="22"/>
                <w:szCs w:val="22"/>
                <w:lang w:val="en-US" w:eastAsia="en-US"/>
              </w:rPr>
              <w:t>1.9</w:t>
            </w:r>
          </w:p>
        </w:tc>
        <w:tc>
          <w:tcPr>
            <w:tcW w:w="1080" w:type="dxa"/>
            <w:tcBorders>
              <w:top w:val="nil"/>
              <w:left w:val="nil"/>
              <w:bottom w:val="single" w:sz="4" w:space="0" w:color="auto"/>
              <w:right w:val="single" w:sz="4" w:space="0" w:color="auto"/>
            </w:tcBorders>
            <w:noWrap/>
            <w:vAlign w:val="bottom"/>
          </w:tcPr>
          <w:p w14:paraId="4B11BDFA" w14:textId="77777777" w:rsidR="00583B86" w:rsidRPr="00D94B08" w:rsidRDefault="00583B86" w:rsidP="00FB265E">
            <w:pPr>
              <w:jc w:val="center"/>
              <w:rPr>
                <w:color w:val="000000"/>
                <w:lang w:val="en-US" w:eastAsia="en-US"/>
              </w:rPr>
            </w:pPr>
            <w:r w:rsidRPr="00D94B08">
              <w:rPr>
                <w:color w:val="000000"/>
                <w:sz w:val="22"/>
                <w:szCs w:val="22"/>
                <w:lang w:val="en-US" w:eastAsia="en-US"/>
              </w:rPr>
              <w:t>1.4</w:t>
            </w:r>
          </w:p>
        </w:tc>
        <w:tc>
          <w:tcPr>
            <w:tcW w:w="1260" w:type="dxa"/>
            <w:tcBorders>
              <w:top w:val="nil"/>
              <w:left w:val="nil"/>
              <w:bottom w:val="single" w:sz="4" w:space="0" w:color="auto"/>
              <w:right w:val="single" w:sz="4" w:space="0" w:color="auto"/>
            </w:tcBorders>
            <w:noWrap/>
            <w:vAlign w:val="bottom"/>
          </w:tcPr>
          <w:p w14:paraId="02B207FA" w14:textId="77777777" w:rsidR="00583B86" w:rsidRPr="00D94B08" w:rsidRDefault="00583B86" w:rsidP="00FB265E">
            <w:pPr>
              <w:jc w:val="center"/>
              <w:rPr>
                <w:color w:val="000000"/>
                <w:lang w:val="en-US" w:eastAsia="en-US"/>
              </w:rPr>
            </w:pPr>
            <w:r w:rsidRPr="00D94B08">
              <w:rPr>
                <w:color w:val="000000"/>
                <w:sz w:val="22"/>
                <w:szCs w:val="22"/>
                <w:lang w:val="en-US" w:eastAsia="en-US"/>
              </w:rPr>
              <w:t>2.5</w:t>
            </w:r>
          </w:p>
        </w:tc>
        <w:tc>
          <w:tcPr>
            <w:tcW w:w="3731" w:type="dxa"/>
            <w:tcBorders>
              <w:top w:val="nil"/>
              <w:left w:val="nil"/>
              <w:bottom w:val="single" w:sz="4" w:space="0" w:color="auto"/>
              <w:right w:val="single" w:sz="4" w:space="0" w:color="auto"/>
            </w:tcBorders>
            <w:noWrap/>
            <w:vAlign w:val="bottom"/>
          </w:tcPr>
          <w:p w14:paraId="02E8A15F"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7AE019EF"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16EE11A1" w14:textId="77777777" w:rsidR="00583B86" w:rsidRPr="00D94B08" w:rsidRDefault="00583B86" w:rsidP="00FB265E">
            <w:pPr>
              <w:rPr>
                <w:color w:val="000000"/>
                <w:lang w:val="en-US" w:eastAsia="en-US"/>
              </w:rPr>
            </w:pPr>
            <w:r w:rsidRPr="00D94B08">
              <w:rPr>
                <w:color w:val="000000"/>
                <w:sz w:val="22"/>
                <w:szCs w:val="18"/>
                <w:lang w:eastAsia="en-US"/>
              </w:rPr>
              <w:t xml:space="preserve">   55 – 59 </w:t>
            </w:r>
          </w:p>
        </w:tc>
        <w:tc>
          <w:tcPr>
            <w:tcW w:w="1620" w:type="dxa"/>
            <w:tcBorders>
              <w:top w:val="nil"/>
              <w:left w:val="nil"/>
              <w:bottom w:val="single" w:sz="4" w:space="0" w:color="auto"/>
              <w:right w:val="single" w:sz="4" w:space="0" w:color="auto"/>
            </w:tcBorders>
            <w:noWrap/>
            <w:vAlign w:val="bottom"/>
          </w:tcPr>
          <w:p w14:paraId="46271A71" w14:textId="77777777" w:rsidR="00583B86" w:rsidRPr="00D94B08" w:rsidRDefault="00583B86" w:rsidP="00FB265E">
            <w:pPr>
              <w:jc w:val="center"/>
              <w:rPr>
                <w:color w:val="000000"/>
                <w:lang w:val="en-US" w:eastAsia="en-US"/>
              </w:rPr>
            </w:pPr>
            <w:r w:rsidRPr="00D94B08">
              <w:rPr>
                <w:color w:val="000000"/>
                <w:sz w:val="22"/>
                <w:szCs w:val="22"/>
                <w:lang w:val="en-US" w:eastAsia="en-US"/>
              </w:rPr>
              <w:t>74</w:t>
            </w:r>
          </w:p>
        </w:tc>
        <w:tc>
          <w:tcPr>
            <w:tcW w:w="2160" w:type="dxa"/>
            <w:tcBorders>
              <w:top w:val="nil"/>
              <w:left w:val="nil"/>
              <w:bottom w:val="single" w:sz="4" w:space="0" w:color="auto"/>
              <w:right w:val="single" w:sz="4" w:space="0" w:color="auto"/>
            </w:tcBorders>
            <w:noWrap/>
            <w:vAlign w:val="bottom"/>
          </w:tcPr>
          <w:p w14:paraId="652E296E" w14:textId="77777777" w:rsidR="00583B86" w:rsidRPr="00D94B08" w:rsidRDefault="00583B86" w:rsidP="00FB265E">
            <w:pPr>
              <w:jc w:val="center"/>
              <w:rPr>
                <w:color w:val="000000"/>
                <w:lang w:val="en-US" w:eastAsia="en-US"/>
              </w:rPr>
            </w:pPr>
            <w:r w:rsidRPr="00D94B08">
              <w:rPr>
                <w:color w:val="000000"/>
                <w:sz w:val="22"/>
                <w:szCs w:val="22"/>
                <w:lang w:val="en-US" w:eastAsia="en-US"/>
              </w:rPr>
              <w:t>1.7</w:t>
            </w:r>
          </w:p>
        </w:tc>
        <w:tc>
          <w:tcPr>
            <w:tcW w:w="1080" w:type="dxa"/>
            <w:tcBorders>
              <w:top w:val="nil"/>
              <w:left w:val="nil"/>
              <w:bottom w:val="single" w:sz="4" w:space="0" w:color="auto"/>
              <w:right w:val="single" w:sz="4" w:space="0" w:color="auto"/>
            </w:tcBorders>
            <w:noWrap/>
            <w:vAlign w:val="bottom"/>
          </w:tcPr>
          <w:p w14:paraId="36F84CA2" w14:textId="77777777" w:rsidR="00583B86" w:rsidRPr="00D94B08" w:rsidRDefault="00583B86" w:rsidP="00FB265E">
            <w:pPr>
              <w:jc w:val="center"/>
              <w:rPr>
                <w:color w:val="000000"/>
                <w:lang w:val="en-US" w:eastAsia="en-US"/>
              </w:rPr>
            </w:pPr>
            <w:r w:rsidRPr="00D94B08">
              <w:rPr>
                <w:color w:val="000000"/>
                <w:sz w:val="22"/>
                <w:szCs w:val="22"/>
                <w:lang w:val="en-US" w:eastAsia="en-US"/>
              </w:rPr>
              <w:t>1.3</w:t>
            </w:r>
          </w:p>
        </w:tc>
        <w:tc>
          <w:tcPr>
            <w:tcW w:w="1260" w:type="dxa"/>
            <w:tcBorders>
              <w:top w:val="nil"/>
              <w:left w:val="nil"/>
              <w:bottom w:val="single" w:sz="4" w:space="0" w:color="auto"/>
              <w:right w:val="single" w:sz="4" w:space="0" w:color="auto"/>
            </w:tcBorders>
            <w:noWrap/>
            <w:vAlign w:val="bottom"/>
          </w:tcPr>
          <w:p w14:paraId="6EA0BD5D" w14:textId="77777777" w:rsidR="00583B86" w:rsidRPr="00D94B08" w:rsidRDefault="00583B86" w:rsidP="00FB265E">
            <w:pPr>
              <w:jc w:val="center"/>
              <w:rPr>
                <w:color w:val="000000"/>
                <w:lang w:val="en-US" w:eastAsia="en-US"/>
              </w:rPr>
            </w:pPr>
            <w:r w:rsidRPr="00D94B08">
              <w:rPr>
                <w:color w:val="000000"/>
                <w:sz w:val="22"/>
                <w:szCs w:val="22"/>
                <w:lang w:val="en-US" w:eastAsia="en-US"/>
              </w:rPr>
              <w:t>2.1</w:t>
            </w:r>
          </w:p>
        </w:tc>
        <w:tc>
          <w:tcPr>
            <w:tcW w:w="3731" w:type="dxa"/>
            <w:tcBorders>
              <w:top w:val="nil"/>
              <w:left w:val="nil"/>
              <w:bottom w:val="single" w:sz="4" w:space="0" w:color="auto"/>
              <w:right w:val="single" w:sz="4" w:space="0" w:color="auto"/>
            </w:tcBorders>
            <w:noWrap/>
            <w:vAlign w:val="bottom"/>
          </w:tcPr>
          <w:p w14:paraId="278D82CF" w14:textId="77777777" w:rsidR="00583B86" w:rsidRPr="00D94B08" w:rsidRDefault="00583B86" w:rsidP="00FB265E">
            <w:pPr>
              <w:jc w:val="center"/>
              <w:rPr>
                <w:color w:val="000000"/>
                <w:lang w:val="en-US" w:eastAsia="en-US"/>
              </w:rPr>
            </w:pPr>
            <w:r w:rsidRPr="00D94B08">
              <w:rPr>
                <w:color w:val="000000"/>
                <w:sz w:val="22"/>
                <w:szCs w:val="22"/>
                <w:lang w:val="en-US" w:eastAsia="en-US"/>
              </w:rPr>
              <w:t>0.89 (0.62 - 1.27)</w:t>
            </w:r>
          </w:p>
        </w:tc>
      </w:tr>
      <w:tr w:rsidR="00583B86" w:rsidRPr="00D94B08" w14:paraId="3F19205E"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024FE4C2" w14:textId="77777777" w:rsidR="00583B86" w:rsidRPr="00D94B08" w:rsidRDefault="00583B86" w:rsidP="00FB265E">
            <w:pPr>
              <w:rPr>
                <w:color w:val="000000"/>
                <w:lang w:val="en-US" w:eastAsia="en-US"/>
              </w:rPr>
            </w:pPr>
            <w:r w:rsidRPr="00D94B08">
              <w:rPr>
                <w:color w:val="000000"/>
                <w:sz w:val="22"/>
                <w:szCs w:val="18"/>
                <w:lang w:eastAsia="en-US"/>
              </w:rPr>
              <w:t xml:space="preserve">   60 – 64 </w:t>
            </w:r>
          </w:p>
        </w:tc>
        <w:tc>
          <w:tcPr>
            <w:tcW w:w="1620" w:type="dxa"/>
            <w:tcBorders>
              <w:top w:val="nil"/>
              <w:left w:val="nil"/>
              <w:bottom w:val="single" w:sz="4" w:space="0" w:color="auto"/>
              <w:right w:val="single" w:sz="4" w:space="0" w:color="auto"/>
            </w:tcBorders>
            <w:noWrap/>
            <w:vAlign w:val="bottom"/>
          </w:tcPr>
          <w:p w14:paraId="4E078E90" w14:textId="77777777" w:rsidR="00583B86" w:rsidRPr="00D94B08" w:rsidRDefault="00583B86" w:rsidP="00FB265E">
            <w:pPr>
              <w:jc w:val="center"/>
              <w:rPr>
                <w:color w:val="000000"/>
                <w:lang w:val="en-US" w:eastAsia="en-US"/>
              </w:rPr>
            </w:pPr>
            <w:r w:rsidRPr="00D94B08">
              <w:rPr>
                <w:color w:val="000000"/>
                <w:sz w:val="22"/>
                <w:szCs w:val="22"/>
                <w:lang w:val="en-US" w:eastAsia="en-US"/>
              </w:rPr>
              <w:t>139</w:t>
            </w:r>
          </w:p>
        </w:tc>
        <w:tc>
          <w:tcPr>
            <w:tcW w:w="2160" w:type="dxa"/>
            <w:tcBorders>
              <w:top w:val="nil"/>
              <w:left w:val="nil"/>
              <w:bottom w:val="single" w:sz="4" w:space="0" w:color="auto"/>
              <w:right w:val="single" w:sz="4" w:space="0" w:color="auto"/>
            </w:tcBorders>
            <w:noWrap/>
            <w:vAlign w:val="bottom"/>
          </w:tcPr>
          <w:p w14:paraId="12F50AFA" w14:textId="77777777" w:rsidR="00583B86" w:rsidRPr="00D94B08" w:rsidRDefault="00583B86" w:rsidP="00FB265E">
            <w:pPr>
              <w:jc w:val="center"/>
              <w:rPr>
                <w:color w:val="000000"/>
                <w:lang w:val="en-US" w:eastAsia="en-US"/>
              </w:rPr>
            </w:pPr>
            <w:r w:rsidRPr="00D94B08">
              <w:rPr>
                <w:color w:val="000000"/>
                <w:sz w:val="22"/>
                <w:szCs w:val="22"/>
                <w:lang w:val="en-US" w:eastAsia="en-US"/>
              </w:rPr>
              <w:t>2.9</w:t>
            </w:r>
          </w:p>
        </w:tc>
        <w:tc>
          <w:tcPr>
            <w:tcW w:w="1080" w:type="dxa"/>
            <w:tcBorders>
              <w:top w:val="nil"/>
              <w:left w:val="nil"/>
              <w:bottom w:val="single" w:sz="4" w:space="0" w:color="auto"/>
              <w:right w:val="single" w:sz="4" w:space="0" w:color="auto"/>
            </w:tcBorders>
            <w:noWrap/>
            <w:vAlign w:val="bottom"/>
          </w:tcPr>
          <w:p w14:paraId="5DB2C913" w14:textId="77777777" w:rsidR="00583B86" w:rsidRPr="00D94B08" w:rsidRDefault="00583B86" w:rsidP="00FB265E">
            <w:pPr>
              <w:jc w:val="center"/>
              <w:rPr>
                <w:color w:val="000000"/>
                <w:lang w:val="en-US" w:eastAsia="en-US"/>
              </w:rPr>
            </w:pPr>
            <w:r w:rsidRPr="00D94B08">
              <w:rPr>
                <w:color w:val="000000"/>
                <w:sz w:val="22"/>
                <w:szCs w:val="22"/>
                <w:lang w:val="en-US" w:eastAsia="en-US"/>
              </w:rPr>
              <w:t>2.4</w:t>
            </w:r>
          </w:p>
        </w:tc>
        <w:tc>
          <w:tcPr>
            <w:tcW w:w="1260" w:type="dxa"/>
            <w:tcBorders>
              <w:top w:val="nil"/>
              <w:left w:val="nil"/>
              <w:bottom w:val="single" w:sz="4" w:space="0" w:color="auto"/>
              <w:right w:val="single" w:sz="4" w:space="0" w:color="auto"/>
            </w:tcBorders>
            <w:noWrap/>
            <w:vAlign w:val="bottom"/>
          </w:tcPr>
          <w:p w14:paraId="2ED8B6D8" w14:textId="77777777" w:rsidR="00583B86" w:rsidRPr="00D94B08" w:rsidRDefault="00583B86" w:rsidP="00FB265E">
            <w:pPr>
              <w:jc w:val="center"/>
              <w:rPr>
                <w:color w:val="000000"/>
                <w:lang w:val="en-US" w:eastAsia="en-US"/>
              </w:rPr>
            </w:pPr>
            <w:r w:rsidRPr="00D94B08">
              <w:rPr>
                <w:color w:val="000000"/>
                <w:sz w:val="22"/>
                <w:szCs w:val="22"/>
                <w:lang w:val="en-US" w:eastAsia="en-US"/>
              </w:rPr>
              <w:t>3.4</w:t>
            </w:r>
          </w:p>
        </w:tc>
        <w:tc>
          <w:tcPr>
            <w:tcW w:w="3731" w:type="dxa"/>
            <w:tcBorders>
              <w:top w:val="nil"/>
              <w:left w:val="nil"/>
              <w:bottom w:val="single" w:sz="4" w:space="0" w:color="auto"/>
              <w:right w:val="single" w:sz="4" w:space="0" w:color="auto"/>
            </w:tcBorders>
            <w:noWrap/>
            <w:vAlign w:val="bottom"/>
          </w:tcPr>
          <w:p w14:paraId="4AEB473F" w14:textId="77777777" w:rsidR="00583B86" w:rsidRPr="00D94B08" w:rsidRDefault="00583B86" w:rsidP="00FB265E">
            <w:pPr>
              <w:jc w:val="center"/>
              <w:rPr>
                <w:color w:val="000000"/>
                <w:lang w:val="en-US" w:eastAsia="en-US"/>
              </w:rPr>
            </w:pPr>
            <w:r w:rsidRPr="00D94B08">
              <w:rPr>
                <w:color w:val="000000"/>
                <w:sz w:val="22"/>
                <w:szCs w:val="22"/>
                <w:lang w:val="en-US" w:eastAsia="en-US"/>
              </w:rPr>
              <w:t>1.51 (1.09 - 2.09)</w:t>
            </w:r>
          </w:p>
        </w:tc>
      </w:tr>
      <w:tr w:rsidR="00583B86" w:rsidRPr="00D94B08" w14:paraId="0E6546BF"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41FB7FE1" w14:textId="77777777" w:rsidR="00583B86" w:rsidRPr="00D94B08" w:rsidRDefault="00583B86" w:rsidP="00FB265E">
            <w:pPr>
              <w:rPr>
                <w:color w:val="000000"/>
                <w:lang w:val="en-US" w:eastAsia="en-US"/>
              </w:rPr>
            </w:pPr>
            <w:r w:rsidRPr="00D94B08">
              <w:rPr>
                <w:color w:val="000000"/>
                <w:sz w:val="22"/>
                <w:szCs w:val="18"/>
                <w:lang w:eastAsia="en-US"/>
              </w:rPr>
              <w:t xml:space="preserve">   65 – 69 </w:t>
            </w:r>
          </w:p>
        </w:tc>
        <w:tc>
          <w:tcPr>
            <w:tcW w:w="1620" w:type="dxa"/>
            <w:tcBorders>
              <w:top w:val="nil"/>
              <w:left w:val="nil"/>
              <w:bottom w:val="single" w:sz="4" w:space="0" w:color="auto"/>
              <w:right w:val="single" w:sz="4" w:space="0" w:color="auto"/>
            </w:tcBorders>
            <w:noWrap/>
            <w:vAlign w:val="bottom"/>
          </w:tcPr>
          <w:p w14:paraId="6865AA63" w14:textId="77777777" w:rsidR="00583B86" w:rsidRPr="00D94B08" w:rsidRDefault="00583B86" w:rsidP="00FB265E">
            <w:pPr>
              <w:jc w:val="center"/>
              <w:rPr>
                <w:color w:val="000000"/>
                <w:lang w:val="en-US" w:eastAsia="en-US"/>
              </w:rPr>
            </w:pPr>
            <w:r w:rsidRPr="00D94B08">
              <w:rPr>
                <w:color w:val="000000"/>
                <w:sz w:val="22"/>
                <w:szCs w:val="22"/>
                <w:lang w:val="en-US" w:eastAsia="en-US"/>
              </w:rPr>
              <w:t>197</w:t>
            </w:r>
          </w:p>
        </w:tc>
        <w:tc>
          <w:tcPr>
            <w:tcW w:w="2160" w:type="dxa"/>
            <w:tcBorders>
              <w:top w:val="nil"/>
              <w:left w:val="nil"/>
              <w:bottom w:val="single" w:sz="4" w:space="0" w:color="auto"/>
              <w:right w:val="single" w:sz="4" w:space="0" w:color="auto"/>
            </w:tcBorders>
            <w:noWrap/>
            <w:vAlign w:val="bottom"/>
          </w:tcPr>
          <w:p w14:paraId="1F467507" w14:textId="77777777" w:rsidR="00583B86" w:rsidRPr="00D94B08" w:rsidRDefault="00583B86" w:rsidP="00FB265E">
            <w:pPr>
              <w:jc w:val="center"/>
              <w:rPr>
                <w:color w:val="000000"/>
                <w:lang w:val="en-US" w:eastAsia="en-US"/>
              </w:rPr>
            </w:pPr>
            <w:r w:rsidRPr="00D94B08">
              <w:rPr>
                <w:color w:val="000000"/>
                <w:sz w:val="22"/>
                <w:szCs w:val="22"/>
                <w:lang w:val="en-US" w:eastAsia="en-US"/>
              </w:rPr>
              <w:t>4.0</w:t>
            </w:r>
          </w:p>
        </w:tc>
        <w:tc>
          <w:tcPr>
            <w:tcW w:w="1080" w:type="dxa"/>
            <w:tcBorders>
              <w:top w:val="nil"/>
              <w:left w:val="nil"/>
              <w:bottom w:val="single" w:sz="4" w:space="0" w:color="auto"/>
              <w:right w:val="single" w:sz="4" w:space="0" w:color="auto"/>
            </w:tcBorders>
            <w:noWrap/>
            <w:vAlign w:val="bottom"/>
          </w:tcPr>
          <w:p w14:paraId="6D0457F2" w14:textId="77777777" w:rsidR="00583B86" w:rsidRPr="00D94B08" w:rsidRDefault="00583B86" w:rsidP="00FB265E">
            <w:pPr>
              <w:jc w:val="center"/>
              <w:rPr>
                <w:color w:val="000000"/>
                <w:lang w:val="en-US" w:eastAsia="en-US"/>
              </w:rPr>
            </w:pPr>
            <w:r w:rsidRPr="00D94B08">
              <w:rPr>
                <w:color w:val="000000"/>
                <w:sz w:val="22"/>
                <w:szCs w:val="22"/>
                <w:lang w:val="en-US" w:eastAsia="en-US"/>
              </w:rPr>
              <w:t>3.4</w:t>
            </w:r>
          </w:p>
        </w:tc>
        <w:tc>
          <w:tcPr>
            <w:tcW w:w="1260" w:type="dxa"/>
            <w:tcBorders>
              <w:top w:val="nil"/>
              <w:left w:val="nil"/>
              <w:bottom w:val="single" w:sz="4" w:space="0" w:color="auto"/>
              <w:right w:val="single" w:sz="4" w:space="0" w:color="auto"/>
            </w:tcBorders>
            <w:noWrap/>
            <w:vAlign w:val="bottom"/>
          </w:tcPr>
          <w:p w14:paraId="5AAEC6EA" w14:textId="77777777" w:rsidR="00583B86" w:rsidRPr="00D94B08" w:rsidRDefault="00583B86" w:rsidP="00FB265E">
            <w:pPr>
              <w:jc w:val="center"/>
              <w:rPr>
                <w:color w:val="000000"/>
                <w:lang w:val="en-US" w:eastAsia="en-US"/>
              </w:rPr>
            </w:pPr>
            <w:r w:rsidRPr="00D94B08">
              <w:rPr>
                <w:color w:val="000000"/>
                <w:sz w:val="22"/>
                <w:szCs w:val="22"/>
                <w:lang w:val="en-US" w:eastAsia="en-US"/>
              </w:rPr>
              <w:t>4.5</w:t>
            </w:r>
          </w:p>
        </w:tc>
        <w:tc>
          <w:tcPr>
            <w:tcW w:w="3731" w:type="dxa"/>
            <w:tcBorders>
              <w:top w:val="nil"/>
              <w:left w:val="nil"/>
              <w:bottom w:val="single" w:sz="4" w:space="0" w:color="auto"/>
              <w:right w:val="single" w:sz="4" w:space="0" w:color="auto"/>
            </w:tcBorders>
            <w:noWrap/>
            <w:vAlign w:val="bottom"/>
          </w:tcPr>
          <w:p w14:paraId="7E11DD57" w14:textId="77777777" w:rsidR="00583B86" w:rsidRPr="00D94B08" w:rsidRDefault="00583B86" w:rsidP="00FB265E">
            <w:pPr>
              <w:jc w:val="center"/>
              <w:rPr>
                <w:color w:val="000000"/>
                <w:lang w:val="en-US" w:eastAsia="en-US"/>
              </w:rPr>
            </w:pPr>
            <w:r w:rsidRPr="00D94B08">
              <w:rPr>
                <w:color w:val="000000"/>
                <w:sz w:val="22"/>
                <w:szCs w:val="22"/>
                <w:lang w:val="en-US" w:eastAsia="en-US"/>
              </w:rPr>
              <w:t>2.03 (1.49 - 2.77)</w:t>
            </w:r>
          </w:p>
        </w:tc>
      </w:tr>
      <w:tr w:rsidR="00583B86" w:rsidRPr="00D94B08" w14:paraId="1C9B993A"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5E57D5D7" w14:textId="77777777" w:rsidR="00583B86" w:rsidRPr="00D94B08" w:rsidRDefault="00583B86" w:rsidP="00FB265E">
            <w:pPr>
              <w:rPr>
                <w:color w:val="000000"/>
                <w:lang w:val="en-US" w:eastAsia="en-US"/>
              </w:rPr>
            </w:pPr>
            <w:r w:rsidRPr="00D94B08">
              <w:rPr>
                <w:color w:val="000000"/>
                <w:sz w:val="22"/>
                <w:szCs w:val="18"/>
                <w:lang w:eastAsia="en-US"/>
              </w:rPr>
              <w:t xml:space="preserve">   70 – 74 </w:t>
            </w:r>
          </w:p>
        </w:tc>
        <w:tc>
          <w:tcPr>
            <w:tcW w:w="1620" w:type="dxa"/>
            <w:tcBorders>
              <w:top w:val="nil"/>
              <w:left w:val="nil"/>
              <w:bottom w:val="single" w:sz="4" w:space="0" w:color="auto"/>
              <w:right w:val="single" w:sz="4" w:space="0" w:color="auto"/>
            </w:tcBorders>
            <w:noWrap/>
            <w:vAlign w:val="bottom"/>
          </w:tcPr>
          <w:p w14:paraId="6AB38BBE" w14:textId="77777777" w:rsidR="00583B86" w:rsidRPr="00D94B08" w:rsidRDefault="00583B86" w:rsidP="00FB265E">
            <w:pPr>
              <w:jc w:val="center"/>
              <w:rPr>
                <w:color w:val="000000"/>
                <w:lang w:val="en-US" w:eastAsia="en-US"/>
              </w:rPr>
            </w:pPr>
            <w:r w:rsidRPr="00D94B08">
              <w:rPr>
                <w:color w:val="000000"/>
                <w:sz w:val="22"/>
                <w:szCs w:val="22"/>
                <w:lang w:val="en-US" w:eastAsia="en-US"/>
              </w:rPr>
              <w:t>410</w:t>
            </w:r>
          </w:p>
        </w:tc>
        <w:tc>
          <w:tcPr>
            <w:tcW w:w="2160" w:type="dxa"/>
            <w:tcBorders>
              <w:top w:val="nil"/>
              <w:left w:val="nil"/>
              <w:bottom w:val="single" w:sz="4" w:space="0" w:color="auto"/>
              <w:right w:val="single" w:sz="4" w:space="0" w:color="auto"/>
            </w:tcBorders>
            <w:noWrap/>
            <w:vAlign w:val="bottom"/>
          </w:tcPr>
          <w:p w14:paraId="0504F4C8" w14:textId="77777777" w:rsidR="00583B86" w:rsidRPr="00D94B08" w:rsidRDefault="00583B86" w:rsidP="00FB265E">
            <w:pPr>
              <w:jc w:val="center"/>
              <w:rPr>
                <w:color w:val="000000"/>
                <w:lang w:val="en-US" w:eastAsia="en-US"/>
              </w:rPr>
            </w:pPr>
            <w:r w:rsidRPr="00D94B08">
              <w:rPr>
                <w:color w:val="000000"/>
                <w:sz w:val="22"/>
                <w:szCs w:val="22"/>
                <w:lang w:val="en-US" w:eastAsia="en-US"/>
              </w:rPr>
              <w:t>7.0</w:t>
            </w:r>
          </w:p>
        </w:tc>
        <w:tc>
          <w:tcPr>
            <w:tcW w:w="1080" w:type="dxa"/>
            <w:tcBorders>
              <w:top w:val="nil"/>
              <w:left w:val="nil"/>
              <w:bottom w:val="single" w:sz="4" w:space="0" w:color="auto"/>
              <w:right w:val="single" w:sz="4" w:space="0" w:color="auto"/>
            </w:tcBorders>
            <w:noWrap/>
            <w:vAlign w:val="bottom"/>
          </w:tcPr>
          <w:p w14:paraId="2A2F60B1" w14:textId="77777777" w:rsidR="00583B86" w:rsidRPr="00D94B08" w:rsidRDefault="00583B86" w:rsidP="00FB265E">
            <w:pPr>
              <w:jc w:val="center"/>
              <w:rPr>
                <w:color w:val="000000"/>
                <w:lang w:val="en-US" w:eastAsia="en-US"/>
              </w:rPr>
            </w:pPr>
            <w:r w:rsidRPr="00D94B08">
              <w:rPr>
                <w:color w:val="000000"/>
                <w:sz w:val="22"/>
                <w:szCs w:val="22"/>
                <w:lang w:val="en-US" w:eastAsia="en-US"/>
              </w:rPr>
              <w:t>6.3</w:t>
            </w:r>
          </w:p>
        </w:tc>
        <w:tc>
          <w:tcPr>
            <w:tcW w:w="1260" w:type="dxa"/>
            <w:tcBorders>
              <w:top w:val="nil"/>
              <w:left w:val="nil"/>
              <w:bottom w:val="single" w:sz="4" w:space="0" w:color="auto"/>
              <w:right w:val="single" w:sz="4" w:space="0" w:color="auto"/>
            </w:tcBorders>
            <w:noWrap/>
            <w:vAlign w:val="bottom"/>
          </w:tcPr>
          <w:p w14:paraId="769D3D70" w14:textId="77777777" w:rsidR="00583B86" w:rsidRPr="00D94B08" w:rsidRDefault="00583B86" w:rsidP="00FB265E">
            <w:pPr>
              <w:jc w:val="center"/>
              <w:rPr>
                <w:color w:val="000000"/>
                <w:lang w:val="en-US" w:eastAsia="en-US"/>
              </w:rPr>
            </w:pPr>
            <w:r w:rsidRPr="00D94B08">
              <w:rPr>
                <w:color w:val="000000"/>
                <w:sz w:val="22"/>
                <w:szCs w:val="22"/>
                <w:lang w:val="en-US" w:eastAsia="en-US"/>
              </w:rPr>
              <w:t>7.7</w:t>
            </w:r>
          </w:p>
        </w:tc>
        <w:tc>
          <w:tcPr>
            <w:tcW w:w="3731" w:type="dxa"/>
            <w:tcBorders>
              <w:top w:val="nil"/>
              <w:left w:val="nil"/>
              <w:bottom w:val="single" w:sz="4" w:space="0" w:color="auto"/>
              <w:right w:val="single" w:sz="4" w:space="0" w:color="auto"/>
            </w:tcBorders>
            <w:noWrap/>
            <w:vAlign w:val="bottom"/>
          </w:tcPr>
          <w:p w14:paraId="094AFB69" w14:textId="77777777" w:rsidR="00583B86" w:rsidRPr="00D94B08" w:rsidRDefault="00583B86" w:rsidP="00FB265E">
            <w:pPr>
              <w:jc w:val="center"/>
              <w:rPr>
                <w:color w:val="000000"/>
                <w:lang w:val="en-US" w:eastAsia="en-US"/>
              </w:rPr>
            </w:pPr>
            <w:r w:rsidRPr="00D94B08">
              <w:rPr>
                <w:color w:val="000000"/>
                <w:sz w:val="22"/>
                <w:szCs w:val="22"/>
                <w:lang w:val="en-US" w:eastAsia="en-US"/>
              </w:rPr>
              <w:t>3.54 (2.64 - 4.74)</w:t>
            </w:r>
          </w:p>
        </w:tc>
      </w:tr>
      <w:tr w:rsidR="00583B86" w:rsidRPr="00D94B08" w14:paraId="62BE9F0F"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185214BF" w14:textId="77777777" w:rsidR="00583B86" w:rsidRPr="00D94B08" w:rsidRDefault="00583B86" w:rsidP="00FB265E">
            <w:pPr>
              <w:rPr>
                <w:color w:val="000000"/>
                <w:lang w:val="en-US" w:eastAsia="en-US"/>
              </w:rPr>
            </w:pPr>
            <w:r w:rsidRPr="00D94B08">
              <w:rPr>
                <w:color w:val="000000"/>
                <w:sz w:val="22"/>
                <w:szCs w:val="18"/>
                <w:lang w:eastAsia="en-US"/>
              </w:rPr>
              <w:t xml:space="preserve">   75 – 79 </w:t>
            </w:r>
          </w:p>
        </w:tc>
        <w:tc>
          <w:tcPr>
            <w:tcW w:w="1620" w:type="dxa"/>
            <w:tcBorders>
              <w:top w:val="nil"/>
              <w:left w:val="nil"/>
              <w:bottom w:val="single" w:sz="4" w:space="0" w:color="auto"/>
              <w:right w:val="single" w:sz="4" w:space="0" w:color="auto"/>
            </w:tcBorders>
            <w:noWrap/>
            <w:vAlign w:val="bottom"/>
          </w:tcPr>
          <w:p w14:paraId="1FF2B297" w14:textId="77777777" w:rsidR="00583B86" w:rsidRPr="00D94B08" w:rsidRDefault="00583B86" w:rsidP="00FB265E">
            <w:pPr>
              <w:jc w:val="center"/>
              <w:rPr>
                <w:color w:val="000000"/>
                <w:lang w:val="en-US" w:eastAsia="en-US"/>
              </w:rPr>
            </w:pPr>
            <w:r w:rsidRPr="00D94B08">
              <w:rPr>
                <w:color w:val="000000"/>
                <w:sz w:val="22"/>
                <w:szCs w:val="22"/>
                <w:lang w:val="en-US" w:eastAsia="en-US"/>
              </w:rPr>
              <w:t>752</w:t>
            </w:r>
          </w:p>
        </w:tc>
        <w:tc>
          <w:tcPr>
            <w:tcW w:w="2160" w:type="dxa"/>
            <w:tcBorders>
              <w:top w:val="nil"/>
              <w:left w:val="nil"/>
              <w:bottom w:val="single" w:sz="4" w:space="0" w:color="auto"/>
              <w:right w:val="single" w:sz="4" w:space="0" w:color="auto"/>
            </w:tcBorders>
            <w:noWrap/>
            <w:vAlign w:val="bottom"/>
          </w:tcPr>
          <w:p w14:paraId="3CB9FE1B" w14:textId="77777777" w:rsidR="00583B86" w:rsidRPr="00D94B08" w:rsidRDefault="00583B86" w:rsidP="00FB265E">
            <w:pPr>
              <w:jc w:val="center"/>
              <w:rPr>
                <w:color w:val="000000"/>
                <w:lang w:val="en-US" w:eastAsia="en-US"/>
              </w:rPr>
            </w:pPr>
            <w:r w:rsidRPr="00D94B08">
              <w:rPr>
                <w:color w:val="000000"/>
                <w:sz w:val="22"/>
                <w:szCs w:val="22"/>
                <w:lang w:val="en-US" w:eastAsia="en-US"/>
              </w:rPr>
              <w:t>10.6</w:t>
            </w:r>
          </w:p>
        </w:tc>
        <w:tc>
          <w:tcPr>
            <w:tcW w:w="1080" w:type="dxa"/>
            <w:tcBorders>
              <w:top w:val="nil"/>
              <w:left w:val="nil"/>
              <w:bottom w:val="single" w:sz="4" w:space="0" w:color="auto"/>
              <w:right w:val="single" w:sz="4" w:space="0" w:color="auto"/>
            </w:tcBorders>
            <w:noWrap/>
            <w:vAlign w:val="bottom"/>
          </w:tcPr>
          <w:p w14:paraId="465634F0" w14:textId="77777777" w:rsidR="00583B86" w:rsidRPr="00D94B08" w:rsidRDefault="00583B86" w:rsidP="00FB265E">
            <w:pPr>
              <w:jc w:val="center"/>
              <w:rPr>
                <w:color w:val="000000"/>
                <w:lang w:val="en-US" w:eastAsia="en-US"/>
              </w:rPr>
            </w:pPr>
            <w:r w:rsidRPr="00D94B08">
              <w:rPr>
                <w:color w:val="000000"/>
                <w:sz w:val="22"/>
                <w:szCs w:val="22"/>
                <w:lang w:val="en-US" w:eastAsia="en-US"/>
              </w:rPr>
              <w:t>9.8</w:t>
            </w:r>
          </w:p>
        </w:tc>
        <w:tc>
          <w:tcPr>
            <w:tcW w:w="1260" w:type="dxa"/>
            <w:tcBorders>
              <w:top w:val="nil"/>
              <w:left w:val="nil"/>
              <w:bottom w:val="single" w:sz="4" w:space="0" w:color="auto"/>
              <w:right w:val="single" w:sz="4" w:space="0" w:color="auto"/>
            </w:tcBorders>
            <w:noWrap/>
            <w:vAlign w:val="bottom"/>
          </w:tcPr>
          <w:p w14:paraId="7439C0F0" w14:textId="77777777" w:rsidR="00583B86" w:rsidRPr="00D94B08" w:rsidRDefault="00583B86" w:rsidP="00FB265E">
            <w:pPr>
              <w:jc w:val="center"/>
              <w:rPr>
                <w:color w:val="000000"/>
                <w:lang w:val="en-US" w:eastAsia="en-US"/>
              </w:rPr>
            </w:pPr>
            <w:r w:rsidRPr="00D94B08">
              <w:rPr>
                <w:color w:val="000000"/>
                <w:sz w:val="22"/>
                <w:szCs w:val="22"/>
                <w:lang w:val="en-US" w:eastAsia="en-US"/>
              </w:rPr>
              <w:t>11.3</w:t>
            </w:r>
          </w:p>
        </w:tc>
        <w:tc>
          <w:tcPr>
            <w:tcW w:w="3731" w:type="dxa"/>
            <w:tcBorders>
              <w:top w:val="nil"/>
              <w:left w:val="nil"/>
              <w:bottom w:val="single" w:sz="4" w:space="0" w:color="auto"/>
              <w:right w:val="single" w:sz="4" w:space="0" w:color="auto"/>
            </w:tcBorders>
            <w:noWrap/>
            <w:vAlign w:val="bottom"/>
          </w:tcPr>
          <w:p w14:paraId="66ABAAA6" w14:textId="77777777" w:rsidR="00583B86" w:rsidRPr="00D94B08" w:rsidRDefault="00583B86" w:rsidP="00FB265E">
            <w:pPr>
              <w:jc w:val="center"/>
              <w:rPr>
                <w:color w:val="000000"/>
                <w:lang w:val="en-US" w:eastAsia="en-US"/>
              </w:rPr>
            </w:pPr>
            <w:r w:rsidRPr="00D94B08">
              <w:rPr>
                <w:color w:val="000000"/>
                <w:sz w:val="22"/>
                <w:szCs w:val="22"/>
                <w:lang w:val="en-US" w:eastAsia="en-US"/>
              </w:rPr>
              <w:t>5.27 (3.96 - 7.02)</w:t>
            </w:r>
          </w:p>
        </w:tc>
      </w:tr>
      <w:tr w:rsidR="00583B86" w:rsidRPr="00D94B08" w14:paraId="5DE8A49C"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45E8ECD9" w14:textId="77777777" w:rsidR="00583B86" w:rsidRPr="00D94B08" w:rsidRDefault="00583B86" w:rsidP="00FB265E">
            <w:pPr>
              <w:rPr>
                <w:color w:val="000000"/>
                <w:lang w:val="en-US" w:eastAsia="en-US"/>
              </w:rPr>
            </w:pPr>
            <w:r w:rsidRPr="00D94B08">
              <w:rPr>
                <w:color w:val="000000"/>
                <w:sz w:val="22"/>
                <w:szCs w:val="18"/>
                <w:lang w:eastAsia="en-US"/>
              </w:rPr>
              <w:t xml:space="preserve">   80 – 84 </w:t>
            </w:r>
          </w:p>
        </w:tc>
        <w:tc>
          <w:tcPr>
            <w:tcW w:w="1620" w:type="dxa"/>
            <w:tcBorders>
              <w:top w:val="nil"/>
              <w:left w:val="nil"/>
              <w:bottom w:val="single" w:sz="4" w:space="0" w:color="auto"/>
              <w:right w:val="single" w:sz="4" w:space="0" w:color="auto"/>
            </w:tcBorders>
            <w:noWrap/>
            <w:vAlign w:val="bottom"/>
          </w:tcPr>
          <w:p w14:paraId="13D317FA" w14:textId="77777777" w:rsidR="00583B86" w:rsidRPr="00D94B08" w:rsidRDefault="00583B86" w:rsidP="00FB265E">
            <w:pPr>
              <w:jc w:val="center"/>
              <w:rPr>
                <w:color w:val="000000"/>
                <w:lang w:val="en-US" w:eastAsia="en-US"/>
              </w:rPr>
            </w:pPr>
            <w:r w:rsidRPr="00D94B08">
              <w:rPr>
                <w:color w:val="000000"/>
                <w:sz w:val="22"/>
                <w:szCs w:val="22"/>
                <w:lang w:val="en-US" w:eastAsia="en-US"/>
              </w:rPr>
              <w:t>1345</w:t>
            </w:r>
          </w:p>
        </w:tc>
        <w:tc>
          <w:tcPr>
            <w:tcW w:w="2160" w:type="dxa"/>
            <w:tcBorders>
              <w:top w:val="nil"/>
              <w:left w:val="nil"/>
              <w:bottom w:val="single" w:sz="4" w:space="0" w:color="auto"/>
              <w:right w:val="single" w:sz="4" w:space="0" w:color="auto"/>
            </w:tcBorders>
            <w:noWrap/>
            <w:vAlign w:val="bottom"/>
          </w:tcPr>
          <w:p w14:paraId="244B8ED0" w14:textId="77777777" w:rsidR="00583B86" w:rsidRPr="00D94B08" w:rsidRDefault="00583B86" w:rsidP="00FB265E">
            <w:pPr>
              <w:jc w:val="center"/>
              <w:rPr>
                <w:color w:val="000000"/>
                <w:lang w:val="en-US" w:eastAsia="en-US"/>
              </w:rPr>
            </w:pPr>
            <w:r w:rsidRPr="00D94B08">
              <w:rPr>
                <w:color w:val="000000"/>
                <w:sz w:val="22"/>
                <w:szCs w:val="22"/>
                <w:lang w:val="en-US" w:eastAsia="en-US"/>
              </w:rPr>
              <w:t>17.3</w:t>
            </w:r>
          </w:p>
        </w:tc>
        <w:tc>
          <w:tcPr>
            <w:tcW w:w="1080" w:type="dxa"/>
            <w:tcBorders>
              <w:top w:val="nil"/>
              <w:left w:val="nil"/>
              <w:bottom w:val="single" w:sz="4" w:space="0" w:color="auto"/>
              <w:right w:val="single" w:sz="4" w:space="0" w:color="auto"/>
            </w:tcBorders>
            <w:noWrap/>
            <w:vAlign w:val="bottom"/>
          </w:tcPr>
          <w:p w14:paraId="01B295DC" w14:textId="77777777" w:rsidR="00583B86" w:rsidRPr="00D94B08" w:rsidRDefault="00583B86" w:rsidP="00FB265E">
            <w:pPr>
              <w:jc w:val="center"/>
              <w:rPr>
                <w:color w:val="000000"/>
                <w:lang w:val="en-US" w:eastAsia="en-US"/>
              </w:rPr>
            </w:pPr>
            <w:r w:rsidRPr="00D94B08">
              <w:rPr>
                <w:color w:val="000000"/>
                <w:sz w:val="22"/>
                <w:szCs w:val="22"/>
                <w:lang w:val="en-US" w:eastAsia="en-US"/>
              </w:rPr>
              <w:t>16.4</w:t>
            </w:r>
          </w:p>
        </w:tc>
        <w:tc>
          <w:tcPr>
            <w:tcW w:w="1260" w:type="dxa"/>
            <w:tcBorders>
              <w:top w:val="nil"/>
              <w:left w:val="nil"/>
              <w:bottom w:val="single" w:sz="4" w:space="0" w:color="auto"/>
              <w:right w:val="single" w:sz="4" w:space="0" w:color="auto"/>
            </w:tcBorders>
            <w:noWrap/>
            <w:vAlign w:val="bottom"/>
          </w:tcPr>
          <w:p w14:paraId="3B2BD9A9" w14:textId="77777777" w:rsidR="00583B86" w:rsidRPr="00D94B08" w:rsidRDefault="00583B86" w:rsidP="00FB265E">
            <w:pPr>
              <w:jc w:val="center"/>
              <w:rPr>
                <w:color w:val="000000"/>
                <w:lang w:val="en-US" w:eastAsia="en-US"/>
              </w:rPr>
            </w:pPr>
            <w:r w:rsidRPr="00D94B08">
              <w:rPr>
                <w:color w:val="000000"/>
                <w:sz w:val="22"/>
                <w:szCs w:val="22"/>
                <w:lang w:val="en-US" w:eastAsia="en-US"/>
              </w:rPr>
              <w:t>18.3</w:t>
            </w:r>
          </w:p>
        </w:tc>
        <w:tc>
          <w:tcPr>
            <w:tcW w:w="3731" w:type="dxa"/>
            <w:tcBorders>
              <w:top w:val="nil"/>
              <w:left w:val="nil"/>
              <w:bottom w:val="single" w:sz="4" w:space="0" w:color="auto"/>
              <w:right w:val="single" w:sz="4" w:space="0" w:color="auto"/>
            </w:tcBorders>
            <w:noWrap/>
            <w:vAlign w:val="bottom"/>
          </w:tcPr>
          <w:p w14:paraId="1C49FFD7" w14:textId="77777777" w:rsidR="00583B86" w:rsidRPr="00D94B08" w:rsidRDefault="00583B86" w:rsidP="00FB265E">
            <w:pPr>
              <w:jc w:val="center"/>
              <w:rPr>
                <w:color w:val="000000"/>
                <w:lang w:val="en-US" w:eastAsia="en-US"/>
              </w:rPr>
            </w:pPr>
            <w:r w:rsidRPr="00D94B08">
              <w:rPr>
                <w:color w:val="000000"/>
                <w:sz w:val="22"/>
                <w:szCs w:val="22"/>
                <w:lang w:val="en-US" w:eastAsia="en-US"/>
              </w:rPr>
              <w:t>8.52 (6.43 - 11.3)</w:t>
            </w:r>
          </w:p>
        </w:tc>
      </w:tr>
      <w:tr w:rsidR="00583B86" w:rsidRPr="00D94B08" w14:paraId="2D847219"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40FFD5C7" w14:textId="77777777" w:rsidR="00583B86" w:rsidRPr="00D94B08" w:rsidRDefault="00583B86" w:rsidP="00FB265E">
            <w:pPr>
              <w:rPr>
                <w:color w:val="000000"/>
                <w:lang w:val="en-US" w:eastAsia="en-US"/>
              </w:rPr>
            </w:pPr>
            <w:r w:rsidRPr="00D94B08">
              <w:rPr>
                <w:color w:val="000000"/>
                <w:sz w:val="22"/>
                <w:szCs w:val="18"/>
                <w:lang w:eastAsia="en-US"/>
              </w:rPr>
              <w:t xml:space="preserve">   85 – 89  </w:t>
            </w:r>
          </w:p>
        </w:tc>
        <w:tc>
          <w:tcPr>
            <w:tcW w:w="1620" w:type="dxa"/>
            <w:tcBorders>
              <w:top w:val="nil"/>
              <w:left w:val="nil"/>
              <w:bottom w:val="single" w:sz="4" w:space="0" w:color="auto"/>
              <w:right w:val="single" w:sz="4" w:space="0" w:color="auto"/>
            </w:tcBorders>
            <w:noWrap/>
            <w:vAlign w:val="bottom"/>
          </w:tcPr>
          <w:p w14:paraId="31B91CB8" w14:textId="77777777" w:rsidR="00583B86" w:rsidRPr="00D94B08" w:rsidRDefault="00583B86" w:rsidP="00FB265E">
            <w:pPr>
              <w:jc w:val="center"/>
              <w:rPr>
                <w:color w:val="000000"/>
                <w:lang w:val="en-US" w:eastAsia="en-US"/>
              </w:rPr>
            </w:pPr>
            <w:r w:rsidRPr="00D94B08">
              <w:rPr>
                <w:color w:val="000000"/>
                <w:sz w:val="22"/>
                <w:szCs w:val="22"/>
                <w:lang w:val="en-US" w:eastAsia="en-US"/>
              </w:rPr>
              <w:t>1836</w:t>
            </w:r>
          </w:p>
        </w:tc>
        <w:tc>
          <w:tcPr>
            <w:tcW w:w="2160" w:type="dxa"/>
            <w:tcBorders>
              <w:top w:val="nil"/>
              <w:left w:val="nil"/>
              <w:bottom w:val="single" w:sz="4" w:space="0" w:color="auto"/>
              <w:right w:val="single" w:sz="4" w:space="0" w:color="auto"/>
            </w:tcBorders>
            <w:noWrap/>
            <w:vAlign w:val="bottom"/>
          </w:tcPr>
          <w:p w14:paraId="258F8820" w14:textId="77777777" w:rsidR="00583B86" w:rsidRPr="00D94B08" w:rsidRDefault="00583B86" w:rsidP="00FB265E">
            <w:pPr>
              <w:jc w:val="center"/>
              <w:rPr>
                <w:color w:val="000000"/>
                <w:lang w:val="en-US" w:eastAsia="en-US"/>
              </w:rPr>
            </w:pPr>
            <w:r w:rsidRPr="00D94B08">
              <w:rPr>
                <w:color w:val="000000"/>
                <w:sz w:val="22"/>
                <w:szCs w:val="22"/>
                <w:lang w:val="en-US" w:eastAsia="en-US"/>
              </w:rPr>
              <w:t>28.0</w:t>
            </w:r>
          </w:p>
        </w:tc>
        <w:tc>
          <w:tcPr>
            <w:tcW w:w="1080" w:type="dxa"/>
            <w:tcBorders>
              <w:top w:val="nil"/>
              <w:left w:val="nil"/>
              <w:bottom w:val="single" w:sz="4" w:space="0" w:color="auto"/>
              <w:right w:val="single" w:sz="4" w:space="0" w:color="auto"/>
            </w:tcBorders>
            <w:noWrap/>
            <w:vAlign w:val="bottom"/>
          </w:tcPr>
          <w:p w14:paraId="0E65FFD5" w14:textId="77777777" w:rsidR="00583B86" w:rsidRPr="00D94B08" w:rsidRDefault="00583B86" w:rsidP="00FB265E">
            <w:pPr>
              <w:jc w:val="center"/>
              <w:rPr>
                <w:color w:val="000000"/>
                <w:lang w:val="en-US" w:eastAsia="en-US"/>
              </w:rPr>
            </w:pPr>
            <w:r w:rsidRPr="00D94B08">
              <w:rPr>
                <w:color w:val="000000"/>
                <w:sz w:val="22"/>
                <w:szCs w:val="22"/>
                <w:lang w:val="en-US" w:eastAsia="en-US"/>
              </w:rPr>
              <w:t>26.7</w:t>
            </w:r>
          </w:p>
        </w:tc>
        <w:tc>
          <w:tcPr>
            <w:tcW w:w="1260" w:type="dxa"/>
            <w:tcBorders>
              <w:top w:val="nil"/>
              <w:left w:val="nil"/>
              <w:bottom w:val="single" w:sz="4" w:space="0" w:color="auto"/>
              <w:right w:val="single" w:sz="4" w:space="0" w:color="auto"/>
            </w:tcBorders>
            <w:noWrap/>
            <w:vAlign w:val="bottom"/>
          </w:tcPr>
          <w:p w14:paraId="7A143770" w14:textId="77777777" w:rsidR="00583B86" w:rsidRPr="00D94B08" w:rsidRDefault="00583B86" w:rsidP="00FB265E">
            <w:pPr>
              <w:jc w:val="center"/>
              <w:rPr>
                <w:color w:val="000000"/>
                <w:lang w:val="en-US" w:eastAsia="en-US"/>
              </w:rPr>
            </w:pPr>
            <w:r w:rsidRPr="00D94B08">
              <w:rPr>
                <w:color w:val="000000"/>
                <w:sz w:val="22"/>
                <w:szCs w:val="22"/>
                <w:lang w:val="en-US" w:eastAsia="en-US"/>
              </w:rPr>
              <w:t>29.3</w:t>
            </w:r>
          </w:p>
        </w:tc>
        <w:tc>
          <w:tcPr>
            <w:tcW w:w="3731" w:type="dxa"/>
            <w:tcBorders>
              <w:top w:val="nil"/>
              <w:left w:val="nil"/>
              <w:bottom w:val="single" w:sz="4" w:space="0" w:color="auto"/>
              <w:right w:val="single" w:sz="4" w:space="0" w:color="auto"/>
            </w:tcBorders>
            <w:noWrap/>
            <w:vAlign w:val="bottom"/>
          </w:tcPr>
          <w:p w14:paraId="749FB234" w14:textId="77777777" w:rsidR="00583B86" w:rsidRPr="00D94B08" w:rsidRDefault="00583B86" w:rsidP="00FB265E">
            <w:pPr>
              <w:jc w:val="center"/>
              <w:rPr>
                <w:color w:val="000000"/>
                <w:lang w:val="en-US" w:eastAsia="en-US"/>
              </w:rPr>
            </w:pPr>
            <w:r w:rsidRPr="00D94B08">
              <w:rPr>
                <w:color w:val="000000"/>
                <w:sz w:val="22"/>
                <w:szCs w:val="22"/>
                <w:lang w:val="en-US" w:eastAsia="en-US"/>
              </w:rPr>
              <w:t>13.7 (10.3 - 18.1)</w:t>
            </w:r>
          </w:p>
        </w:tc>
      </w:tr>
      <w:tr w:rsidR="00583B86" w:rsidRPr="00D94B08" w14:paraId="1DDE3BCF" w14:textId="77777777" w:rsidTr="00E14BFB">
        <w:trPr>
          <w:trHeight w:val="300"/>
        </w:trPr>
        <w:tc>
          <w:tcPr>
            <w:tcW w:w="2355" w:type="dxa"/>
            <w:tcBorders>
              <w:top w:val="nil"/>
              <w:left w:val="single" w:sz="4" w:space="0" w:color="auto"/>
              <w:bottom w:val="single" w:sz="4" w:space="0" w:color="auto"/>
              <w:right w:val="single" w:sz="4" w:space="0" w:color="auto"/>
            </w:tcBorders>
            <w:vAlign w:val="center"/>
          </w:tcPr>
          <w:p w14:paraId="4D19F0A3" w14:textId="77777777" w:rsidR="00583B86" w:rsidRPr="00D94B08" w:rsidRDefault="00583B86" w:rsidP="00FB265E">
            <w:pPr>
              <w:rPr>
                <w:color w:val="000000"/>
                <w:lang w:val="en-US" w:eastAsia="en-US"/>
              </w:rPr>
            </w:pPr>
            <w:r w:rsidRPr="00D94B08">
              <w:rPr>
                <w:color w:val="000000"/>
                <w:sz w:val="22"/>
                <w:szCs w:val="18"/>
                <w:lang w:eastAsia="en-US"/>
              </w:rPr>
              <w:t xml:space="preserve">   90 +</w:t>
            </w:r>
          </w:p>
        </w:tc>
        <w:tc>
          <w:tcPr>
            <w:tcW w:w="1620" w:type="dxa"/>
            <w:tcBorders>
              <w:top w:val="nil"/>
              <w:left w:val="nil"/>
              <w:bottom w:val="single" w:sz="4" w:space="0" w:color="auto"/>
              <w:right w:val="single" w:sz="4" w:space="0" w:color="auto"/>
            </w:tcBorders>
            <w:noWrap/>
            <w:vAlign w:val="bottom"/>
          </w:tcPr>
          <w:p w14:paraId="773188F5" w14:textId="77777777" w:rsidR="00583B86" w:rsidRPr="00D94B08" w:rsidRDefault="00583B86" w:rsidP="00FB265E">
            <w:pPr>
              <w:jc w:val="center"/>
              <w:rPr>
                <w:color w:val="000000"/>
                <w:lang w:val="en-US" w:eastAsia="en-US"/>
              </w:rPr>
            </w:pPr>
            <w:r w:rsidRPr="00D94B08">
              <w:rPr>
                <w:color w:val="000000"/>
                <w:sz w:val="22"/>
                <w:szCs w:val="22"/>
                <w:lang w:val="en-US" w:eastAsia="en-US"/>
              </w:rPr>
              <w:t>2336</w:t>
            </w:r>
          </w:p>
        </w:tc>
        <w:tc>
          <w:tcPr>
            <w:tcW w:w="2160" w:type="dxa"/>
            <w:tcBorders>
              <w:top w:val="nil"/>
              <w:left w:val="nil"/>
              <w:bottom w:val="single" w:sz="4" w:space="0" w:color="auto"/>
              <w:right w:val="single" w:sz="4" w:space="0" w:color="auto"/>
            </w:tcBorders>
            <w:noWrap/>
            <w:vAlign w:val="bottom"/>
          </w:tcPr>
          <w:p w14:paraId="426026D9" w14:textId="77777777" w:rsidR="00583B86" w:rsidRPr="00D94B08" w:rsidRDefault="00583B86" w:rsidP="00FB265E">
            <w:pPr>
              <w:jc w:val="center"/>
              <w:rPr>
                <w:color w:val="000000"/>
                <w:lang w:val="en-US" w:eastAsia="en-US"/>
              </w:rPr>
            </w:pPr>
            <w:r w:rsidRPr="00D94B08">
              <w:rPr>
                <w:color w:val="000000"/>
                <w:sz w:val="22"/>
                <w:szCs w:val="22"/>
                <w:lang w:val="en-US" w:eastAsia="en-US"/>
              </w:rPr>
              <w:t>50.1</w:t>
            </w:r>
          </w:p>
        </w:tc>
        <w:tc>
          <w:tcPr>
            <w:tcW w:w="1080" w:type="dxa"/>
            <w:tcBorders>
              <w:top w:val="nil"/>
              <w:left w:val="nil"/>
              <w:bottom w:val="single" w:sz="4" w:space="0" w:color="auto"/>
              <w:right w:val="single" w:sz="4" w:space="0" w:color="auto"/>
            </w:tcBorders>
            <w:noWrap/>
            <w:vAlign w:val="bottom"/>
          </w:tcPr>
          <w:p w14:paraId="7DBF38CE" w14:textId="77777777" w:rsidR="00583B86" w:rsidRPr="00D94B08" w:rsidRDefault="00583B86" w:rsidP="00FB265E">
            <w:pPr>
              <w:jc w:val="center"/>
              <w:rPr>
                <w:color w:val="000000"/>
                <w:lang w:val="en-US" w:eastAsia="en-US"/>
              </w:rPr>
            </w:pPr>
            <w:r w:rsidRPr="00D94B08">
              <w:rPr>
                <w:color w:val="000000"/>
                <w:sz w:val="22"/>
                <w:szCs w:val="22"/>
                <w:lang w:val="en-US" w:eastAsia="en-US"/>
              </w:rPr>
              <w:t>48.0</w:t>
            </w:r>
          </w:p>
        </w:tc>
        <w:tc>
          <w:tcPr>
            <w:tcW w:w="1260" w:type="dxa"/>
            <w:tcBorders>
              <w:top w:val="nil"/>
              <w:left w:val="nil"/>
              <w:bottom w:val="single" w:sz="4" w:space="0" w:color="auto"/>
              <w:right w:val="single" w:sz="4" w:space="0" w:color="auto"/>
            </w:tcBorders>
            <w:noWrap/>
            <w:vAlign w:val="bottom"/>
          </w:tcPr>
          <w:p w14:paraId="2BF33F35" w14:textId="77777777" w:rsidR="00583B86" w:rsidRPr="00D94B08" w:rsidRDefault="00583B86" w:rsidP="00FB265E">
            <w:pPr>
              <w:jc w:val="center"/>
              <w:rPr>
                <w:color w:val="000000"/>
                <w:lang w:val="en-US" w:eastAsia="en-US"/>
              </w:rPr>
            </w:pPr>
            <w:r w:rsidRPr="00D94B08">
              <w:rPr>
                <w:color w:val="000000"/>
                <w:sz w:val="22"/>
                <w:szCs w:val="22"/>
                <w:lang w:val="en-US" w:eastAsia="en-US"/>
              </w:rPr>
              <w:t>52.1</w:t>
            </w:r>
          </w:p>
        </w:tc>
        <w:tc>
          <w:tcPr>
            <w:tcW w:w="3731" w:type="dxa"/>
            <w:tcBorders>
              <w:top w:val="nil"/>
              <w:left w:val="nil"/>
              <w:bottom w:val="single" w:sz="4" w:space="0" w:color="auto"/>
              <w:right w:val="single" w:sz="4" w:space="0" w:color="auto"/>
            </w:tcBorders>
            <w:noWrap/>
            <w:vAlign w:val="bottom"/>
          </w:tcPr>
          <w:p w14:paraId="2DCC9E36" w14:textId="77777777" w:rsidR="00583B86" w:rsidRPr="00D94B08" w:rsidRDefault="00583B86" w:rsidP="00FB265E">
            <w:pPr>
              <w:jc w:val="center"/>
              <w:rPr>
                <w:color w:val="000000"/>
                <w:lang w:val="en-US" w:eastAsia="en-US"/>
              </w:rPr>
            </w:pPr>
            <w:r w:rsidRPr="00D94B08">
              <w:rPr>
                <w:color w:val="000000"/>
                <w:sz w:val="22"/>
                <w:szCs w:val="22"/>
                <w:lang w:val="en-US" w:eastAsia="en-US"/>
              </w:rPr>
              <w:t>23.7 (17.9 - 31.4)</w:t>
            </w:r>
          </w:p>
        </w:tc>
      </w:tr>
      <w:tr w:rsidR="00583B86" w:rsidRPr="00D94B08" w14:paraId="0C9F082A"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71A944E5" w14:textId="77777777" w:rsidR="00583B86" w:rsidRPr="00D94B08" w:rsidRDefault="00583B86" w:rsidP="00FB265E">
            <w:pPr>
              <w:rPr>
                <w:color w:val="000000"/>
                <w:lang w:val="en-US" w:eastAsia="en-US"/>
              </w:rPr>
            </w:pPr>
            <w:r w:rsidRPr="00D94B08">
              <w:rPr>
                <w:color w:val="000000"/>
                <w:sz w:val="22"/>
                <w:szCs w:val="22"/>
                <w:lang w:val="en-US" w:eastAsia="en-US"/>
              </w:rPr>
              <w:t>By ethnicity</w:t>
            </w:r>
          </w:p>
        </w:tc>
        <w:tc>
          <w:tcPr>
            <w:tcW w:w="1620" w:type="dxa"/>
            <w:tcBorders>
              <w:top w:val="nil"/>
              <w:left w:val="nil"/>
              <w:bottom w:val="single" w:sz="4" w:space="0" w:color="auto"/>
              <w:right w:val="single" w:sz="4" w:space="0" w:color="auto"/>
            </w:tcBorders>
            <w:noWrap/>
            <w:vAlign w:val="bottom"/>
          </w:tcPr>
          <w:p w14:paraId="05C4F716"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7047BE10"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0B535910"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178C67FF"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731" w:type="dxa"/>
            <w:tcBorders>
              <w:top w:val="nil"/>
              <w:left w:val="nil"/>
              <w:bottom w:val="single" w:sz="4" w:space="0" w:color="auto"/>
              <w:right w:val="single" w:sz="4" w:space="0" w:color="auto"/>
            </w:tcBorders>
            <w:noWrap/>
            <w:vAlign w:val="bottom"/>
          </w:tcPr>
          <w:p w14:paraId="007E696C"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265C90C6"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4C08E204" w14:textId="77777777" w:rsidR="00583B86" w:rsidRPr="00D94B08" w:rsidRDefault="00583B86" w:rsidP="00FB265E">
            <w:pPr>
              <w:rPr>
                <w:color w:val="000000"/>
                <w:lang w:val="en-US" w:eastAsia="en-US"/>
              </w:rPr>
            </w:pPr>
            <w:r w:rsidRPr="00D94B08">
              <w:rPr>
                <w:color w:val="000000"/>
                <w:sz w:val="22"/>
                <w:szCs w:val="22"/>
                <w:lang w:val="en-US" w:eastAsia="en-US"/>
              </w:rPr>
              <w:t xml:space="preserve">   White</w:t>
            </w:r>
          </w:p>
        </w:tc>
        <w:tc>
          <w:tcPr>
            <w:tcW w:w="1620" w:type="dxa"/>
            <w:tcBorders>
              <w:top w:val="nil"/>
              <w:left w:val="nil"/>
              <w:bottom w:val="single" w:sz="4" w:space="0" w:color="auto"/>
              <w:right w:val="single" w:sz="4" w:space="0" w:color="auto"/>
            </w:tcBorders>
            <w:noWrap/>
            <w:vAlign w:val="bottom"/>
          </w:tcPr>
          <w:p w14:paraId="0BD37F9F" w14:textId="77777777" w:rsidR="00583B86" w:rsidRPr="00D94B08" w:rsidRDefault="00583B86" w:rsidP="00FB265E">
            <w:pPr>
              <w:jc w:val="center"/>
              <w:rPr>
                <w:color w:val="000000"/>
                <w:lang w:val="en-US" w:eastAsia="en-US"/>
              </w:rPr>
            </w:pPr>
            <w:r w:rsidRPr="00D94B08">
              <w:rPr>
                <w:color w:val="000000"/>
                <w:sz w:val="22"/>
                <w:szCs w:val="22"/>
                <w:lang w:val="en-US" w:eastAsia="en-US"/>
              </w:rPr>
              <w:t>5632</w:t>
            </w:r>
          </w:p>
        </w:tc>
        <w:tc>
          <w:tcPr>
            <w:tcW w:w="2160" w:type="dxa"/>
            <w:tcBorders>
              <w:top w:val="nil"/>
              <w:left w:val="nil"/>
              <w:bottom w:val="single" w:sz="4" w:space="0" w:color="auto"/>
              <w:right w:val="single" w:sz="4" w:space="0" w:color="auto"/>
            </w:tcBorders>
            <w:noWrap/>
            <w:vAlign w:val="bottom"/>
          </w:tcPr>
          <w:p w14:paraId="4BD3AF8F" w14:textId="77777777" w:rsidR="00583B86" w:rsidRPr="00D94B08" w:rsidRDefault="00583B86" w:rsidP="00FB265E">
            <w:pPr>
              <w:jc w:val="center"/>
              <w:rPr>
                <w:color w:val="000000"/>
                <w:lang w:val="en-US" w:eastAsia="en-US"/>
              </w:rPr>
            </w:pPr>
            <w:r w:rsidRPr="00D94B08">
              <w:rPr>
                <w:color w:val="000000"/>
                <w:sz w:val="22"/>
                <w:szCs w:val="22"/>
                <w:lang w:val="en-US" w:eastAsia="en-US"/>
              </w:rPr>
              <w:t>13.8</w:t>
            </w:r>
          </w:p>
        </w:tc>
        <w:tc>
          <w:tcPr>
            <w:tcW w:w="1080" w:type="dxa"/>
            <w:tcBorders>
              <w:top w:val="nil"/>
              <w:left w:val="nil"/>
              <w:bottom w:val="single" w:sz="4" w:space="0" w:color="auto"/>
              <w:right w:val="single" w:sz="4" w:space="0" w:color="auto"/>
            </w:tcBorders>
            <w:noWrap/>
            <w:vAlign w:val="bottom"/>
          </w:tcPr>
          <w:p w14:paraId="1302CEA7" w14:textId="77777777" w:rsidR="00583B86" w:rsidRPr="00D94B08" w:rsidRDefault="00583B86" w:rsidP="00FB265E">
            <w:pPr>
              <w:jc w:val="center"/>
              <w:rPr>
                <w:color w:val="000000"/>
                <w:lang w:val="en-US" w:eastAsia="en-US"/>
              </w:rPr>
            </w:pPr>
            <w:r w:rsidRPr="00D94B08">
              <w:rPr>
                <w:color w:val="000000"/>
                <w:sz w:val="22"/>
                <w:szCs w:val="22"/>
                <w:lang w:val="en-US" w:eastAsia="en-US"/>
              </w:rPr>
              <w:t>13.4</w:t>
            </w:r>
          </w:p>
        </w:tc>
        <w:tc>
          <w:tcPr>
            <w:tcW w:w="1260" w:type="dxa"/>
            <w:tcBorders>
              <w:top w:val="nil"/>
              <w:left w:val="nil"/>
              <w:bottom w:val="single" w:sz="4" w:space="0" w:color="auto"/>
              <w:right w:val="single" w:sz="4" w:space="0" w:color="auto"/>
            </w:tcBorders>
            <w:noWrap/>
            <w:vAlign w:val="bottom"/>
          </w:tcPr>
          <w:p w14:paraId="6DBE9E01" w14:textId="77777777" w:rsidR="00583B86" w:rsidRPr="00D94B08" w:rsidRDefault="00583B86" w:rsidP="00FB265E">
            <w:pPr>
              <w:jc w:val="center"/>
              <w:rPr>
                <w:color w:val="000000"/>
                <w:lang w:val="en-US" w:eastAsia="en-US"/>
              </w:rPr>
            </w:pPr>
            <w:r w:rsidRPr="00D94B08">
              <w:rPr>
                <w:color w:val="000000"/>
                <w:sz w:val="22"/>
                <w:szCs w:val="22"/>
                <w:lang w:val="en-US" w:eastAsia="en-US"/>
              </w:rPr>
              <w:t>14.1</w:t>
            </w:r>
          </w:p>
        </w:tc>
        <w:tc>
          <w:tcPr>
            <w:tcW w:w="3731" w:type="dxa"/>
            <w:tcBorders>
              <w:top w:val="nil"/>
              <w:left w:val="nil"/>
              <w:bottom w:val="single" w:sz="4" w:space="0" w:color="auto"/>
              <w:right w:val="single" w:sz="4" w:space="0" w:color="auto"/>
            </w:tcBorders>
            <w:noWrap/>
            <w:vAlign w:val="bottom"/>
          </w:tcPr>
          <w:p w14:paraId="44C07530"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28FE1F9E"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482AC9B5" w14:textId="77777777" w:rsidR="00583B86" w:rsidRPr="00D94B08" w:rsidRDefault="00583B86" w:rsidP="00FB265E">
            <w:pPr>
              <w:rPr>
                <w:color w:val="000000"/>
                <w:lang w:val="en-US" w:eastAsia="en-US"/>
              </w:rPr>
            </w:pPr>
            <w:r w:rsidRPr="00D94B08">
              <w:rPr>
                <w:color w:val="000000"/>
                <w:sz w:val="22"/>
                <w:szCs w:val="22"/>
                <w:lang w:val="en-US" w:eastAsia="en-US"/>
              </w:rPr>
              <w:t xml:space="preserve">   Black</w:t>
            </w:r>
          </w:p>
        </w:tc>
        <w:tc>
          <w:tcPr>
            <w:tcW w:w="1620" w:type="dxa"/>
            <w:tcBorders>
              <w:top w:val="nil"/>
              <w:left w:val="nil"/>
              <w:bottom w:val="single" w:sz="4" w:space="0" w:color="auto"/>
              <w:right w:val="single" w:sz="4" w:space="0" w:color="auto"/>
            </w:tcBorders>
            <w:noWrap/>
            <w:vAlign w:val="bottom"/>
          </w:tcPr>
          <w:p w14:paraId="2C88ED10" w14:textId="77777777" w:rsidR="00583B86" w:rsidRPr="00D94B08" w:rsidRDefault="00583B86" w:rsidP="00FB265E">
            <w:pPr>
              <w:jc w:val="center"/>
              <w:rPr>
                <w:color w:val="000000"/>
                <w:lang w:val="en-US" w:eastAsia="en-US"/>
              </w:rPr>
            </w:pPr>
            <w:r w:rsidRPr="00D94B08">
              <w:rPr>
                <w:color w:val="000000"/>
                <w:sz w:val="22"/>
                <w:szCs w:val="22"/>
                <w:lang w:val="en-US" w:eastAsia="en-US"/>
              </w:rPr>
              <w:t>12</w:t>
            </w:r>
          </w:p>
        </w:tc>
        <w:tc>
          <w:tcPr>
            <w:tcW w:w="2160" w:type="dxa"/>
            <w:tcBorders>
              <w:top w:val="nil"/>
              <w:left w:val="nil"/>
              <w:bottom w:val="single" w:sz="4" w:space="0" w:color="auto"/>
              <w:right w:val="single" w:sz="4" w:space="0" w:color="auto"/>
            </w:tcBorders>
            <w:noWrap/>
            <w:vAlign w:val="bottom"/>
          </w:tcPr>
          <w:p w14:paraId="1BFB3D28" w14:textId="77777777" w:rsidR="00583B86" w:rsidRPr="00D94B08" w:rsidRDefault="00583B86" w:rsidP="00FB265E">
            <w:pPr>
              <w:jc w:val="center"/>
              <w:rPr>
                <w:color w:val="000000"/>
                <w:lang w:val="en-US" w:eastAsia="en-US"/>
              </w:rPr>
            </w:pPr>
            <w:r w:rsidRPr="00D94B08">
              <w:rPr>
                <w:color w:val="000000"/>
                <w:sz w:val="22"/>
                <w:szCs w:val="22"/>
                <w:lang w:val="en-US" w:eastAsia="en-US"/>
              </w:rPr>
              <w:t>14.7</w:t>
            </w:r>
          </w:p>
        </w:tc>
        <w:tc>
          <w:tcPr>
            <w:tcW w:w="1080" w:type="dxa"/>
            <w:tcBorders>
              <w:top w:val="nil"/>
              <w:left w:val="nil"/>
              <w:bottom w:val="single" w:sz="4" w:space="0" w:color="auto"/>
              <w:right w:val="single" w:sz="4" w:space="0" w:color="auto"/>
            </w:tcBorders>
            <w:noWrap/>
            <w:vAlign w:val="bottom"/>
          </w:tcPr>
          <w:p w14:paraId="1065DFCE" w14:textId="77777777" w:rsidR="00583B86" w:rsidRPr="00D94B08" w:rsidRDefault="00583B86" w:rsidP="00FB265E">
            <w:pPr>
              <w:jc w:val="center"/>
              <w:rPr>
                <w:color w:val="000000"/>
                <w:lang w:val="en-US" w:eastAsia="en-US"/>
              </w:rPr>
            </w:pPr>
            <w:r w:rsidRPr="00D94B08">
              <w:rPr>
                <w:color w:val="000000"/>
                <w:sz w:val="22"/>
                <w:szCs w:val="22"/>
                <w:lang w:val="en-US" w:eastAsia="en-US"/>
              </w:rPr>
              <w:t>6.4</w:t>
            </w:r>
          </w:p>
        </w:tc>
        <w:tc>
          <w:tcPr>
            <w:tcW w:w="1260" w:type="dxa"/>
            <w:tcBorders>
              <w:top w:val="nil"/>
              <w:left w:val="nil"/>
              <w:bottom w:val="single" w:sz="4" w:space="0" w:color="auto"/>
              <w:right w:val="single" w:sz="4" w:space="0" w:color="auto"/>
            </w:tcBorders>
            <w:noWrap/>
            <w:vAlign w:val="bottom"/>
          </w:tcPr>
          <w:p w14:paraId="2F47A51F" w14:textId="77777777" w:rsidR="00583B86" w:rsidRPr="00D94B08" w:rsidRDefault="00583B86" w:rsidP="00FB265E">
            <w:pPr>
              <w:jc w:val="center"/>
              <w:rPr>
                <w:color w:val="000000"/>
                <w:lang w:val="en-US" w:eastAsia="en-US"/>
              </w:rPr>
            </w:pPr>
            <w:r w:rsidRPr="00D94B08">
              <w:rPr>
                <w:color w:val="000000"/>
                <w:sz w:val="22"/>
                <w:szCs w:val="22"/>
                <w:lang w:val="en-US" w:eastAsia="en-US"/>
              </w:rPr>
              <w:t>22.9</w:t>
            </w:r>
          </w:p>
        </w:tc>
        <w:tc>
          <w:tcPr>
            <w:tcW w:w="3731" w:type="dxa"/>
            <w:tcBorders>
              <w:top w:val="nil"/>
              <w:left w:val="nil"/>
              <w:bottom w:val="single" w:sz="4" w:space="0" w:color="auto"/>
              <w:right w:val="single" w:sz="4" w:space="0" w:color="auto"/>
            </w:tcBorders>
            <w:noWrap/>
            <w:vAlign w:val="bottom"/>
          </w:tcPr>
          <w:p w14:paraId="6A967472" w14:textId="77777777" w:rsidR="00583B86" w:rsidRPr="00D94B08" w:rsidRDefault="00583B86" w:rsidP="00FB265E">
            <w:pPr>
              <w:jc w:val="center"/>
              <w:rPr>
                <w:color w:val="000000"/>
                <w:lang w:val="en-US" w:eastAsia="en-US"/>
              </w:rPr>
            </w:pPr>
            <w:r w:rsidRPr="00D94B08">
              <w:rPr>
                <w:color w:val="000000"/>
                <w:sz w:val="22"/>
                <w:szCs w:val="22"/>
                <w:lang w:val="en-US" w:eastAsia="en-US"/>
              </w:rPr>
              <w:t>1.77 (1.00 - 3.12)</w:t>
            </w:r>
          </w:p>
        </w:tc>
      </w:tr>
      <w:tr w:rsidR="00583B86" w:rsidRPr="00D94B08" w14:paraId="0953450E"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380FC0F2" w14:textId="77777777" w:rsidR="00583B86" w:rsidRPr="00D94B08" w:rsidRDefault="00583B86" w:rsidP="00FB265E">
            <w:pPr>
              <w:rPr>
                <w:color w:val="000000"/>
                <w:lang w:val="en-US" w:eastAsia="en-US"/>
              </w:rPr>
            </w:pPr>
            <w:r w:rsidRPr="00D94B08">
              <w:rPr>
                <w:color w:val="000000"/>
                <w:sz w:val="22"/>
                <w:szCs w:val="22"/>
                <w:lang w:val="en-US" w:eastAsia="en-US"/>
              </w:rPr>
              <w:t xml:space="preserve">   Mixed</w:t>
            </w:r>
          </w:p>
        </w:tc>
        <w:tc>
          <w:tcPr>
            <w:tcW w:w="1620" w:type="dxa"/>
            <w:tcBorders>
              <w:top w:val="nil"/>
              <w:left w:val="nil"/>
              <w:bottom w:val="single" w:sz="4" w:space="0" w:color="auto"/>
              <w:right w:val="single" w:sz="4" w:space="0" w:color="auto"/>
            </w:tcBorders>
            <w:noWrap/>
            <w:vAlign w:val="bottom"/>
          </w:tcPr>
          <w:p w14:paraId="4F69E7DE" w14:textId="77777777" w:rsidR="00583B86" w:rsidRPr="00D94B08" w:rsidRDefault="00583B86" w:rsidP="00FB265E">
            <w:pPr>
              <w:jc w:val="center"/>
              <w:rPr>
                <w:color w:val="000000"/>
                <w:lang w:val="en-US" w:eastAsia="en-US"/>
              </w:rPr>
            </w:pPr>
            <w:r w:rsidRPr="00D94B08">
              <w:rPr>
                <w:color w:val="000000"/>
                <w:sz w:val="22"/>
                <w:szCs w:val="22"/>
                <w:lang w:val="en-US" w:eastAsia="en-US"/>
              </w:rPr>
              <w:t>5</w:t>
            </w:r>
          </w:p>
        </w:tc>
        <w:tc>
          <w:tcPr>
            <w:tcW w:w="2160" w:type="dxa"/>
            <w:tcBorders>
              <w:top w:val="nil"/>
              <w:left w:val="nil"/>
              <w:bottom w:val="single" w:sz="4" w:space="0" w:color="auto"/>
              <w:right w:val="single" w:sz="4" w:space="0" w:color="auto"/>
            </w:tcBorders>
            <w:noWrap/>
            <w:vAlign w:val="bottom"/>
          </w:tcPr>
          <w:p w14:paraId="2CF11554" w14:textId="77777777" w:rsidR="00583B86" w:rsidRPr="00D94B08" w:rsidRDefault="00583B86" w:rsidP="00FB265E">
            <w:pPr>
              <w:jc w:val="center"/>
              <w:rPr>
                <w:color w:val="000000"/>
                <w:lang w:val="en-US" w:eastAsia="en-US"/>
              </w:rPr>
            </w:pPr>
            <w:r w:rsidRPr="00D94B08">
              <w:rPr>
                <w:color w:val="000000"/>
                <w:sz w:val="22"/>
                <w:szCs w:val="22"/>
                <w:lang w:val="en-US" w:eastAsia="en-US"/>
              </w:rPr>
              <w:t>13.1</w:t>
            </w:r>
          </w:p>
        </w:tc>
        <w:tc>
          <w:tcPr>
            <w:tcW w:w="1080" w:type="dxa"/>
            <w:tcBorders>
              <w:top w:val="nil"/>
              <w:left w:val="nil"/>
              <w:bottom w:val="single" w:sz="4" w:space="0" w:color="auto"/>
              <w:right w:val="single" w:sz="4" w:space="0" w:color="auto"/>
            </w:tcBorders>
            <w:noWrap/>
            <w:vAlign w:val="bottom"/>
          </w:tcPr>
          <w:p w14:paraId="37CBFDA6" w14:textId="77777777" w:rsidR="00583B86" w:rsidRPr="00D94B08" w:rsidRDefault="00583B86" w:rsidP="00FB265E">
            <w:pPr>
              <w:jc w:val="center"/>
              <w:rPr>
                <w:color w:val="000000"/>
                <w:lang w:val="en-US" w:eastAsia="en-US"/>
              </w:rPr>
            </w:pPr>
            <w:r w:rsidRPr="00D94B08">
              <w:rPr>
                <w:color w:val="000000"/>
                <w:sz w:val="22"/>
                <w:szCs w:val="22"/>
                <w:lang w:val="en-US" w:eastAsia="en-US"/>
              </w:rPr>
              <w:t>1.6</w:t>
            </w:r>
          </w:p>
        </w:tc>
        <w:tc>
          <w:tcPr>
            <w:tcW w:w="1260" w:type="dxa"/>
            <w:tcBorders>
              <w:top w:val="nil"/>
              <w:left w:val="nil"/>
              <w:bottom w:val="single" w:sz="4" w:space="0" w:color="auto"/>
              <w:right w:val="single" w:sz="4" w:space="0" w:color="auto"/>
            </w:tcBorders>
            <w:noWrap/>
            <w:vAlign w:val="bottom"/>
          </w:tcPr>
          <w:p w14:paraId="27CEA3BF" w14:textId="77777777" w:rsidR="00583B86" w:rsidRPr="00D94B08" w:rsidRDefault="00583B86" w:rsidP="00FB265E">
            <w:pPr>
              <w:jc w:val="center"/>
              <w:rPr>
                <w:color w:val="000000"/>
                <w:lang w:val="en-US" w:eastAsia="en-US"/>
              </w:rPr>
            </w:pPr>
            <w:r w:rsidRPr="00D94B08">
              <w:rPr>
                <w:color w:val="000000"/>
                <w:sz w:val="22"/>
                <w:szCs w:val="22"/>
                <w:lang w:val="en-US" w:eastAsia="en-US"/>
              </w:rPr>
              <w:t>24.7</w:t>
            </w:r>
          </w:p>
        </w:tc>
        <w:tc>
          <w:tcPr>
            <w:tcW w:w="3731" w:type="dxa"/>
            <w:tcBorders>
              <w:top w:val="nil"/>
              <w:left w:val="nil"/>
              <w:bottom w:val="single" w:sz="4" w:space="0" w:color="auto"/>
              <w:right w:val="single" w:sz="4" w:space="0" w:color="auto"/>
            </w:tcBorders>
            <w:noWrap/>
            <w:vAlign w:val="bottom"/>
          </w:tcPr>
          <w:p w14:paraId="3D6C9314" w14:textId="77777777" w:rsidR="00583B86" w:rsidRPr="00D94B08" w:rsidRDefault="00583B86" w:rsidP="00FB265E">
            <w:pPr>
              <w:jc w:val="center"/>
              <w:rPr>
                <w:color w:val="000000"/>
                <w:lang w:val="en-US" w:eastAsia="en-US"/>
              </w:rPr>
            </w:pPr>
            <w:r w:rsidRPr="00D94B08">
              <w:rPr>
                <w:color w:val="000000"/>
                <w:sz w:val="22"/>
                <w:szCs w:val="22"/>
                <w:lang w:val="en-US" w:eastAsia="en-US"/>
              </w:rPr>
              <w:t>1.97 (0.82 - 4.74)</w:t>
            </w:r>
          </w:p>
        </w:tc>
      </w:tr>
      <w:tr w:rsidR="00583B86" w:rsidRPr="00D94B08" w14:paraId="0C8975D6"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5A8CD4F2" w14:textId="77777777" w:rsidR="00583B86" w:rsidRPr="00D94B08" w:rsidRDefault="00583B86" w:rsidP="00FB265E">
            <w:pPr>
              <w:rPr>
                <w:color w:val="000000"/>
                <w:lang w:val="en-US" w:eastAsia="en-US"/>
              </w:rPr>
            </w:pPr>
            <w:r w:rsidRPr="00D94B08">
              <w:rPr>
                <w:color w:val="000000"/>
                <w:sz w:val="22"/>
                <w:szCs w:val="22"/>
                <w:lang w:val="en-US" w:eastAsia="en-US"/>
              </w:rPr>
              <w:t xml:space="preserve">   Other</w:t>
            </w:r>
          </w:p>
        </w:tc>
        <w:tc>
          <w:tcPr>
            <w:tcW w:w="1620" w:type="dxa"/>
            <w:tcBorders>
              <w:top w:val="nil"/>
              <w:left w:val="nil"/>
              <w:bottom w:val="single" w:sz="4" w:space="0" w:color="auto"/>
              <w:right w:val="single" w:sz="4" w:space="0" w:color="auto"/>
            </w:tcBorders>
            <w:noWrap/>
            <w:vAlign w:val="bottom"/>
          </w:tcPr>
          <w:p w14:paraId="67D21DDB" w14:textId="77777777" w:rsidR="00583B86" w:rsidRPr="00D94B08" w:rsidRDefault="00583B86" w:rsidP="00FB265E">
            <w:pPr>
              <w:jc w:val="center"/>
              <w:rPr>
                <w:color w:val="000000"/>
                <w:lang w:val="en-US" w:eastAsia="en-US"/>
              </w:rPr>
            </w:pPr>
            <w:r w:rsidRPr="00D94B08">
              <w:rPr>
                <w:color w:val="000000"/>
                <w:sz w:val="22"/>
                <w:szCs w:val="22"/>
                <w:lang w:val="en-US" w:eastAsia="en-US"/>
              </w:rPr>
              <w:t>40</w:t>
            </w:r>
          </w:p>
        </w:tc>
        <w:tc>
          <w:tcPr>
            <w:tcW w:w="2160" w:type="dxa"/>
            <w:tcBorders>
              <w:top w:val="nil"/>
              <w:left w:val="nil"/>
              <w:bottom w:val="single" w:sz="4" w:space="0" w:color="auto"/>
              <w:right w:val="single" w:sz="4" w:space="0" w:color="auto"/>
            </w:tcBorders>
            <w:noWrap/>
            <w:vAlign w:val="bottom"/>
          </w:tcPr>
          <w:p w14:paraId="02D04184" w14:textId="77777777" w:rsidR="00583B86" w:rsidRPr="00D94B08" w:rsidRDefault="00583B86" w:rsidP="00FB265E">
            <w:pPr>
              <w:jc w:val="center"/>
              <w:rPr>
                <w:color w:val="000000"/>
                <w:lang w:val="en-US" w:eastAsia="en-US"/>
              </w:rPr>
            </w:pPr>
            <w:r w:rsidRPr="00D94B08">
              <w:rPr>
                <w:color w:val="000000"/>
                <w:sz w:val="22"/>
                <w:szCs w:val="22"/>
                <w:lang w:val="en-US" w:eastAsia="en-US"/>
              </w:rPr>
              <w:t>15.9</w:t>
            </w:r>
          </w:p>
        </w:tc>
        <w:tc>
          <w:tcPr>
            <w:tcW w:w="1080" w:type="dxa"/>
            <w:tcBorders>
              <w:top w:val="nil"/>
              <w:left w:val="nil"/>
              <w:bottom w:val="single" w:sz="4" w:space="0" w:color="auto"/>
              <w:right w:val="single" w:sz="4" w:space="0" w:color="auto"/>
            </w:tcBorders>
            <w:noWrap/>
            <w:vAlign w:val="bottom"/>
          </w:tcPr>
          <w:p w14:paraId="0A6E0819" w14:textId="77777777" w:rsidR="00583B86" w:rsidRPr="00D94B08" w:rsidRDefault="00583B86" w:rsidP="00FB265E">
            <w:pPr>
              <w:jc w:val="center"/>
              <w:rPr>
                <w:color w:val="000000"/>
                <w:lang w:val="en-US" w:eastAsia="en-US"/>
              </w:rPr>
            </w:pPr>
            <w:r w:rsidRPr="00D94B08">
              <w:rPr>
                <w:color w:val="000000"/>
                <w:sz w:val="22"/>
                <w:szCs w:val="22"/>
                <w:lang w:val="en-US" w:eastAsia="en-US"/>
              </w:rPr>
              <w:t>11.0</w:t>
            </w:r>
          </w:p>
        </w:tc>
        <w:tc>
          <w:tcPr>
            <w:tcW w:w="1260" w:type="dxa"/>
            <w:tcBorders>
              <w:top w:val="nil"/>
              <w:left w:val="nil"/>
              <w:bottom w:val="single" w:sz="4" w:space="0" w:color="auto"/>
              <w:right w:val="single" w:sz="4" w:space="0" w:color="auto"/>
            </w:tcBorders>
            <w:noWrap/>
            <w:vAlign w:val="bottom"/>
          </w:tcPr>
          <w:p w14:paraId="3A3961D4" w14:textId="77777777" w:rsidR="00583B86" w:rsidRPr="00D94B08" w:rsidRDefault="00583B86" w:rsidP="00FB265E">
            <w:pPr>
              <w:jc w:val="center"/>
              <w:rPr>
                <w:color w:val="000000"/>
                <w:lang w:val="en-US" w:eastAsia="en-US"/>
              </w:rPr>
            </w:pPr>
            <w:r w:rsidRPr="00D94B08">
              <w:rPr>
                <w:color w:val="000000"/>
                <w:sz w:val="22"/>
                <w:szCs w:val="22"/>
                <w:lang w:val="en-US" w:eastAsia="en-US"/>
              </w:rPr>
              <w:t>20.9</w:t>
            </w:r>
          </w:p>
        </w:tc>
        <w:tc>
          <w:tcPr>
            <w:tcW w:w="3731" w:type="dxa"/>
            <w:tcBorders>
              <w:top w:val="nil"/>
              <w:left w:val="nil"/>
              <w:bottom w:val="single" w:sz="4" w:space="0" w:color="auto"/>
              <w:right w:val="single" w:sz="4" w:space="0" w:color="auto"/>
            </w:tcBorders>
            <w:noWrap/>
            <w:vAlign w:val="bottom"/>
          </w:tcPr>
          <w:p w14:paraId="466ADC12" w14:textId="77777777" w:rsidR="00583B86" w:rsidRPr="00D94B08" w:rsidRDefault="00583B86" w:rsidP="00FB265E">
            <w:pPr>
              <w:jc w:val="center"/>
              <w:rPr>
                <w:color w:val="000000"/>
                <w:lang w:val="en-US" w:eastAsia="en-US"/>
              </w:rPr>
            </w:pPr>
            <w:r w:rsidRPr="00D94B08">
              <w:rPr>
                <w:color w:val="000000"/>
                <w:sz w:val="22"/>
                <w:szCs w:val="22"/>
                <w:lang w:val="en-US" w:eastAsia="en-US"/>
              </w:rPr>
              <w:t>1.59 (1.16  - 2.16)</w:t>
            </w:r>
          </w:p>
        </w:tc>
      </w:tr>
      <w:tr w:rsidR="00583B86" w:rsidRPr="00D94B08" w14:paraId="0EC804FB"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107A374F"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Asian</w:t>
            </w:r>
          </w:p>
        </w:tc>
        <w:tc>
          <w:tcPr>
            <w:tcW w:w="1620" w:type="dxa"/>
            <w:tcBorders>
              <w:top w:val="nil"/>
              <w:left w:val="nil"/>
              <w:bottom w:val="single" w:sz="4" w:space="0" w:color="auto"/>
              <w:right w:val="single" w:sz="4" w:space="0" w:color="auto"/>
            </w:tcBorders>
            <w:noWrap/>
            <w:vAlign w:val="bottom"/>
          </w:tcPr>
          <w:p w14:paraId="3BA89DC1" w14:textId="77777777" w:rsidR="00583B86" w:rsidRPr="00D94B08" w:rsidRDefault="00583B86" w:rsidP="00FB265E">
            <w:pPr>
              <w:jc w:val="center"/>
              <w:rPr>
                <w:color w:val="000000"/>
                <w:lang w:val="en-US" w:eastAsia="en-US"/>
              </w:rPr>
            </w:pPr>
            <w:r w:rsidRPr="00D94B08">
              <w:rPr>
                <w:color w:val="000000"/>
                <w:sz w:val="22"/>
                <w:szCs w:val="22"/>
                <w:lang w:val="en-US" w:eastAsia="en-US"/>
              </w:rPr>
              <w:t>24</w:t>
            </w:r>
          </w:p>
        </w:tc>
        <w:tc>
          <w:tcPr>
            <w:tcW w:w="2160" w:type="dxa"/>
            <w:tcBorders>
              <w:top w:val="nil"/>
              <w:left w:val="nil"/>
              <w:bottom w:val="single" w:sz="4" w:space="0" w:color="auto"/>
              <w:right w:val="single" w:sz="4" w:space="0" w:color="auto"/>
            </w:tcBorders>
            <w:noWrap/>
            <w:vAlign w:val="bottom"/>
          </w:tcPr>
          <w:p w14:paraId="4EB8B69A" w14:textId="77777777" w:rsidR="00583B86" w:rsidRPr="00D94B08" w:rsidRDefault="00583B86" w:rsidP="00FB265E">
            <w:pPr>
              <w:jc w:val="center"/>
              <w:rPr>
                <w:color w:val="000000"/>
                <w:lang w:val="en-US" w:eastAsia="en-US"/>
              </w:rPr>
            </w:pPr>
            <w:r w:rsidRPr="00D94B08">
              <w:rPr>
                <w:color w:val="000000"/>
                <w:sz w:val="22"/>
                <w:szCs w:val="22"/>
                <w:lang w:val="en-US" w:eastAsia="en-US"/>
              </w:rPr>
              <w:t>7.5</w:t>
            </w:r>
          </w:p>
        </w:tc>
        <w:tc>
          <w:tcPr>
            <w:tcW w:w="1080" w:type="dxa"/>
            <w:tcBorders>
              <w:top w:val="nil"/>
              <w:left w:val="nil"/>
              <w:bottom w:val="single" w:sz="4" w:space="0" w:color="auto"/>
              <w:right w:val="single" w:sz="4" w:space="0" w:color="auto"/>
            </w:tcBorders>
            <w:noWrap/>
            <w:vAlign w:val="bottom"/>
          </w:tcPr>
          <w:p w14:paraId="1F420258" w14:textId="77777777" w:rsidR="00583B86" w:rsidRPr="00D94B08" w:rsidRDefault="00583B86" w:rsidP="00FB265E">
            <w:pPr>
              <w:jc w:val="center"/>
              <w:rPr>
                <w:color w:val="000000"/>
                <w:lang w:val="en-US" w:eastAsia="en-US"/>
              </w:rPr>
            </w:pPr>
            <w:r w:rsidRPr="00D94B08">
              <w:rPr>
                <w:color w:val="000000"/>
                <w:sz w:val="22"/>
                <w:szCs w:val="22"/>
                <w:lang w:val="en-US" w:eastAsia="en-US"/>
              </w:rPr>
              <w:t>4.5</w:t>
            </w:r>
          </w:p>
        </w:tc>
        <w:tc>
          <w:tcPr>
            <w:tcW w:w="1260" w:type="dxa"/>
            <w:tcBorders>
              <w:top w:val="nil"/>
              <w:left w:val="nil"/>
              <w:bottom w:val="single" w:sz="4" w:space="0" w:color="auto"/>
              <w:right w:val="single" w:sz="4" w:space="0" w:color="auto"/>
            </w:tcBorders>
            <w:noWrap/>
            <w:vAlign w:val="bottom"/>
          </w:tcPr>
          <w:p w14:paraId="4260BFFD" w14:textId="77777777" w:rsidR="00583B86" w:rsidRPr="00D94B08" w:rsidRDefault="00583B86" w:rsidP="00FB265E">
            <w:pPr>
              <w:jc w:val="center"/>
              <w:rPr>
                <w:color w:val="000000"/>
                <w:lang w:val="en-US" w:eastAsia="en-US"/>
              </w:rPr>
            </w:pPr>
            <w:r w:rsidRPr="00D94B08">
              <w:rPr>
                <w:color w:val="000000"/>
                <w:sz w:val="22"/>
                <w:szCs w:val="22"/>
                <w:lang w:val="en-US" w:eastAsia="en-US"/>
              </w:rPr>
              <w:t>10.4</w:t>
            </w:r>
          </w:p>
        </w:tc>
        <w:tc>
          <w:tcPr>
            <w:tcW w:w="3731" w:type="dxa"/>
            <w:tcBorders>
              <w:top w:val="nil"/>
              <w:left w:val="nil"/>
              <w:bottom w:val="single" w:sz="4" w:space="0" w:color="auto"/>
              <w:right w:val="single" w:sz="4" w:space="0" w:color="auto"/>
            </w:tcBorders>
            <w:noWrap/>
            <w:vAlign w:val="bottom"/>
          </w:tcPr>
          <w:p w14:paraId="14B21478" w14:textId="77777777" w:rsidR="00583B86" w:rsidRPr="00D94B08" w:rsidRDefault="00583B86" w:rsidP="00FB265E">
            <w:pPr>
              <w:jc w:val="center"/>
              <w:rPr>
                <w:color w:val="000000"/>
                <w:lang w:val="en-US" w:eastAsia="en-US"/>
              </w:rPr>
            </w:pPr>
            <w:r w:rsidRPr="00D94B08">
              <w:rPr>
                <w:color w:val="000000"/>
                <w:sz w:val="22"/>
                <w:szCs w:val="22"/>
                <w:lang w:val="en-US" w:eastAsia="en-US"/>
              </w:rPr>
              <w:t>0.94 (0.63 - 1.41)</w:t>
            </w:r>
          </w:p>
        </w:tc>
      </w:tr>
      <w:tr w:rsidR="00583B86" w:rsidRPr="00D94B08" w14:paraId="42FEFC60"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2A73CC4E" w14:textId="77777777" w:rsidR="00583B86" w:rsidRPr="00D94B08" w:rsidRDefault="00583B86" w:rsidP="00FB265E">
            <w:pPr>
              <w:rPr>
                <w:color w:val="000000"/>
                <w:lang w:val="en-US" w:eastAsia="en-US"/>
              </w:rPr>
            </w:pPr>
            <w:r w:rsidRPr="00D94B08">
              <w:rPr>
                <w:color w:val="000000"/>
                <w:sz w:val="22"/>
                <w:szCs w:val="22"/>
                <w:lang w:val="en-US" w:eastAsia="en-US"/>
              </w:rPr>
              <w:t xml:space="preserve">   Unknown</w:t>
            </w:r>
          </w:p>
        </w:tc>
        <w:tc>
          <w:tcPr>
            <w:tcW w:w="1620" w:type="dxa"/>
            <w:tcBorders>
              <w:top w:val="nil"/>
              <w:left w:val="nil"/>
              <w:bottom w:val="single" w:sz="4" w:space="0" w:color="auto"/>
              <w:right w:val="single" w:sz="4" w:space="0" w:color="auto"/>
            </w:tcBorders>
            <w:noWrap/>
            <w:vAlign w:val="bottom"/>
          </w:tcPr>
          <w:p w14:paraId="37718BE0" w14:textId="77777777" w:rsidR="00583B86" w:rsidRPr="00D94B08" w:rsidRDefault="00583B86" w:rsidP="00FB265E">
            <w:pPr>
              <w:jc w:val="center"/>
              <w:rPr>
                <w:color w:val="000000"/>
                <w:lang w:val="en-US" w:eastAsia="en-US"/>
              </w:rPr>
            </w:pPr>
            <w:r w:rsidRPr="00D94B08">
              <w:rPr>
                <w:color w:val="000000"/>
                <w:sz w:val="22"/>
                <w:szCs w:val="22"/>
                <w:lang w:val="en-US" w:eastAsia="en-US"/>
              </w:rPr>
              <w:t>1426</w:t>
            </w:r>
          </w:p>
        </w:tc>
        <w:tc>
          <w:tcPr>
            <w:tcW w:w="2160" w:type="dxa"/>
            <w:tcBorders>
              <w:top w:val="nil"/>
              <w:left w:val="nil"/>
              <w:bottom w:val="single" w:sz="4" w:space="0" w:color="auto"/>
              <w:right w:val="single" w:sz="4" w:space="0" w:color="auto"/>
            </w:tcBorders>
            <w:noWrap/>
            <w:vAlign w:val="bottom"/>
          </w:tcPr>
          <w:p w14:paraId="1A0FEB6A" w14:textId="77777777" w:rsidR="00583B86" w:rsidRPr="00D94B08" w:rsidRDefault="00583B86" w:rsidP="00FB265E">
            <w:pPr>
              <w:jc w:val="center"/>
              <w:rPr>
                <w:color w:val="000000"/>
                <w:lang w:val="en-US" w:eastAsia="en-US"/>
              </w:rPr>
            </w:pPr>
            <w:r w:rsidRPr="00D94B08">
              <w:rPr>
                <w:color w:val="000000"/>
                <w:sz w:val="22"/>
                <w:szCs w:val="22"/>
                <w:lang w:val="en-US" w:eastAsia="en-US"/>
              </w:rPr>
              <w:t>20.7</w:t>
            </w:r>
          </w:p>
        </w:tc>
        <w:tc>
          <w:tcPr>
            <w:tcW w:w="1080" w:type="dxa"/>
            <w:tcBorders>
              <w:top w:val="nil"/>
              <w:left w:val="nil"/>
              <w:bottom w:val="single" w:sz="4" w:space="0" w:color="auto"/>
              <w:right w:val="single" w:sz="4" w:space="0" w:color="auto"/>
            </w:tcBorders>
            <w:noWrap/>
            <w:vAlign w:val="bottom"/>
          </w:tcPr>
          <w:p w14:paraId="6FC70F95" w14:textId="77777777" w:rsidR="00583B86" w:rsidRPr="00D94B08" w:rsidRDefault="00583B86" w:rsidP="00FB265E">
            <w:pPr>
              <w:jc w:val="center"/>
              <w:rPr>
                <w:color w:val="000000"/>
                <w:lang w:val="en-US" w:eastAsia="en-US"/>
              </w:rPr>
            </w:pPr>
            <w:r w:rsidRPr="00D94B08">
              <w:rPr>
                <w:color w:val="000000"/>
                <w:sz w:val="22"/>
                <w:szCs w:val="22"/>
                <w:lang w:val="en-US" w:eastAsia="en-US"/>
              </w:rPr>
              <w:t>19.6</w:t>
            </w:r>
          </w:p>
        </w:tc>
        <w:tc>
          <w:tcPr>
            <w:tcW w:w="1260" w:type="dxa"/>
            <w:tcBorders>
              <w:top w:val="nil"/>
              <w:left w:val="nil"/>
              <w:bottom w:val="single" w:sz="4" w:space="0" w:color="auto"/>
              <w:right w:val="single" w:sz="4" w:space="0" w:color="auto"/>
            </w:tcBorders>
            <w:noWrap/>
            <w:vAlign w:val="bottom"/>
          </w:tcPr>
          <w:p w14:paraId="42ADAB4F" w14:textId="77777777" w:rsidR="00583B86" w:rsidRPr="00D94B08" w:rsidRDefault="00583B86" w:rsidP="00FB265E">
            <w:pPr>
              <w:jc w:val="center"/>
              <w:rPr>
                <w:color w:val="000000"/>
                <w:lang w:val="en-US" w:eastAsia="en-US"/>
              </w:rPr>
            </w:pPr>
            <w:r w:rsidRPr="00D94B08">
              <w:rPr>
                <w:color w:val="000000"/>
                <w:sz w:val="22"/>
                <w:szCs w:val="22"/>
                <w:lang w:val="en-US" w:eastAsia="en-US"/>
              </w:rPr>
              <w:t>21.8</w:t>
            </w:r>
          </w:p>
        </w:tc>
        <w:tc>
          <w:tcPr>
            <w:tcW w:w="3731" w:type="dxa"/>
            <w:tcBorders>
              <w:top w:val="nil"/>
              <w:left w:val="nil"/>
              <w:bottom w:val="single" w:sz="4" w:space="0" w:color="auto"/>
              <w:right w:val="single" w:sz="4" w:space="0" w:color="auto"/>
            </w:tcBorders>
            <w:noWrap/>
            <w:vAlign w:val="bottom"/>
          </w:tcPr>
          <w:p w14:paraId="1B91C9FF" w14:textId="77777777" w:rsidR="00583B86" w:rsidRPr="00D94B08" w:rsidRDefault="00583B86" w:rsidP="00FB265E">
            <w:pPr>
              <w:jc w:val="center"/>
              <w:rPr>
                <w:color w:val="000000"/>
                <w:lang w:val="en-US" w:eastAsia="en-US"/>
              </w:rPr>
            </w:pPr>
            <w:r w:rsidRPr="00D94B08">
              <w:rPr>
                <w:color w:val="000000"/>
                <w:sz w:val="22"/>
                <w:szCs w:val="22"/>
                <w:lang w:val="en-US" w:eastAsia="en-US"/>
              </w:rPr>
              <w:t>1.49 (1.40 - 1.58)</w:t>
            </w:r>
          </w:p>
        </w:tc>
      </w:tr>
      <w:tr w:rsidR="00583B86" w:rsidRPr="00D94B08" w14:paraId="1DFA4D2D"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4B24C651" w14:textId="77777777" w:rsidR="00583B86" w:rsidRPr="00D94B08" w:rsidRDefault="00583B86" w:rsidP="00FB265E">
            <w:pPr>
              <w:rPr>
                <w:color w:val="000000"/>
                <w:lang w:val="en-US" w:eastAsia="en-US"/>
              </w:rPr>
            </w:pPr>
            <w:r w:rsidRPr="00D94B08">
              <w:rPr>
                <w:color w:val="000000"/>
                <w:sz w:val="22"/>
                <w:szCs w:val="22"/>
                <w:lang w:val="en-US" w:eastAsia="en-US"/>
              </w:rPr>
              <w:t>By region</w:t>
            </w:r>
          </w:p>
        </w:tc>
        <w:tc>
          <w:tcPr>
            <w:tcW w:w="1620" w:type="dxa"/>
            <w:tcBorders>
              <w:top w:val="nil"/>
              <w:left w:val="nil"/>
              <w:bottom w:val="single" w:sz="4" w:space="0" w:color="auto"/>
              <w:right w:val="single" w:sz="4" w:space="0" w:color="auto"/>
            </w:tcBorders>
            <w:noWrap/>
            <w:vAlign w:val="bottom"/>
          </w:tcPr>
          <w:p w14:paraId="5CD8EA4A"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08A1030F"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23FF18B0"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0C62E14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731" w:type="dxa"/>
            <w:tcBorders>
              <w:top w:val="nil"/>
              <w:left w:val="nil"/>
              <w:bottom w:val="single" w:sz="4" w:space="0" w:color="auto"/>
              <w:right w:val="single" w:sz="4" w:space="0" w:color="auto"/>
            </w:tcBorders>
            <w:noWrap/>
            <w:vAlign w:val="bottom"/>
          </w:tcPr>
          <w:p w14:paraId="4869CD6B"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30E5D241"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266F7FE1" w14:textId="77777777" w:rsidR="00583B86" w:rsidRPr="00D94B08" w:rsidRDefault="00583B86" w:rsidP="00FB265E">
            <w:pPr>
              <w:rPr>
                <w:color w:val="000000"/>
                <w:lang w:val="en-US" w:eastAsia="en-US"/>
              </w:rPr>
            </w:pPr>
            <w:r w:rsidRPr="00D94B08">
              <w:rPr>
                <w:color w:val="000000"/>
                <w:sz w:val="22"/>
                <w:szCs w:val="22"/>
                <w:lang w:val="en-US" w:eastAsia="en-US"/>
              </w:rPr>
              <w:t xml:space="preserve">   London</w:t>
            </w:r>
          </w:p>
        </w:tc>
        <w:tc>
          <w:tcPr>
            <w:tcW w:w="1620" w:type="dxa"/>
            <w:tcBorders>
              <w:top w:val="nil"/>
              <w:left w:val="nil"/>
              <w:bottom w:val="single" w:sz="4" w:space="0" w:color="auto"/>
              <w:right w:val="single" w:sz="4" w:space="0" w:color="auto"/>
            </w:tcBorders>
            <w:noWrap/>
            <w:vAlign w:val="bottom"/>
          </w:tcPr>
          <w:p w14:paraId="1E89ADFC" w14:textId="77777777" w:rsidR="00583B86" w:rsidRPr="00D94B08" w:rsidRDefault="00583B86" w:rsidP="00FB265E">
            <w:pPr>
              <w:jc w:val="center"/>
              <w:rPr>
                <w:color w:val="000000"/>
                <w:lang w:val="en-US" w:eastAsia="en-US"/>
              </w:rPr>
            </w:pPr>
            <w:r w:rsidRPr="00D94B08">
              <w:rPr>
                <w:color w:val="000000"/>
                <w:sz w:val="22"/>
                <w:szCs w:val="22"/>
                <w:lang w:val="en-US" w:eastAsia="en-US"/>
              </w:rPr>
              <w:t>642</w:t>
            </w:r>
          </w:p>
        </w:tc>
        <w:tc>
          <w:tcPr>
            <w:tcW w:w="2160" w:type="dxa"/>
            <w:tcBorders>
              <w:top w:val="nil"/>
              <w:left w:val="nil"/>
              <w:bottom w:val="single" w:sz="4" w:space="0" w:color="auto"/>
              <w:right w:val="single" w:sz="4" w:space="0" w:color="auto"/>
            </w:tcBorders>
            <w:noWrap/>
            <w:vAlign w:val="bottom"/>
          </w:tcPr>
          <w:p w14:paraId="22E46ED2" w14:textId="77777777" w:rsidR="00583B86" w:rsidRPr="00D94B08" w:rsidRDefault="00583B86" w:rsidP="00FB265E">
            <w:pPr>
              <w:jc w:val="center"/>
              <w:rPr>
                <w:color w:val="000000"/>
                <w:lang w:val="en-US" w:eastAsia="en-US"/>
              </w:rPr>
            </w:pPr>
            <w:r w:rsidRPr="00D94B08">
              <w:rPr>
                <w:color w:val="000000"/>
                <w:sz w:val="22"/>
                <w:szCs w:val="22"/>
                <w:lang w:val="en-US" w:eastAsia="en-US"/>
              </w:rPr>
              <w:t>13.1</w:t>
            </w:r>
          </w:p>
        </w:tc>
        <w:tc>
          <w:tcPr>
            <w:tcW w:w="1080" w:type="dxa"/>
            <w:tcBorders>
              <w:top w:val="nil"/>
              <w:left w:val="nil"/>
              <w:bottom w:val="single" w:sz="4" w:space="0" w:color="auto"/>
              <w:right w:val="single" w:sz="4" w:space="0" w:color="auto"/>
            </w:tcBorders>
            <w:noWrap/>
            <w:vAlign w:val="bottom"/>
          </w:tcPr>
          <w:p w14:paraId="307C32B3" w14:textId="77777777" w:rsidR="00583B86" w:rsidRPr="00D94B08" w:rsidRDefault="00583B86" w:rsidP="00FB265E">
            <w:pPr>
              <w:jc w:val="center"/>
              <w:rPr>
                <w:color w:val="000000"/>
                <w:lang w:val="en-US" w:eastAsia="en-US"/>
              </w:rPr>
            </w:pPr>
            <w:r w:rsidRPr="00D94B08">
              <w:rPr>
                <w:color w:val="000000"/>
                <w:sz w:val="22"/>
                <w:szCs w:val="22"/>
                <w:lang w:val="en-US" w:eastAsia="en-US"/>
              </w:rPr>
              <w:t>12.1</w:t>
            </w:r>
          </w:p>
        </w:tc>
        <w:tc>
          <w:tcPr>
            <w:tcW w:w="1260" w:type="dxa"/>
            <w:tcBorders>
              <w:top w:val="nil"/>
              <w:left w:val="nil"/>
              <w:bottom w:val="single" w:sz="4" w:space="0" w:color="auto"/>
              <w:right w:val="single" w:sz="4" w:space="0" w:color="auto"/>
            </w:tcBorders>
            <w:noWrap/>
            <w:vAlign w:val="bottom"/>
          </w:tcPr>
          <w:p w14:paraId="27B1D0A6" w14:textId="77777777" w:rsidR="00583B86" w:rsidRPr="00D94B08" w:rsidRDefault="00583B86" w:rsidP="00FB265E">
            <w:pPr>
              <w:jc w:val="center"/>
              <w:rPr>
                <w:color w:val="000000"/>
                <w:lang w:val="en-US" w:eastAsia="en-US"/>
              </w:rPr>
            </w:pPr>
            <w:r w:rsidRPr="00D94B08">
              <w:rPr>
                <w:color w:val="000000"/>
                <w:sz w:val="22"/>
                <w:szCs w:val="22"/>
                <w:lang w:val="en-US" w:eastAsia="en-US"/>
              </w:rPr>
              <w:t>14.2</w:t>
            </w:r>
          </w:p>
        </w:tc>
        <w:tc>
          <w:tcPr>
            <w:tcW w:w="3731" w:type="dxa"/>
            <w:tcBorders>
              <w:top w:val="nil"/>
              <w:left w:val="nil"/>
              <w:bottom w:val="single" w:sz="4" w:space="0" w:color="auto"/>
              <w:right w:val="single" w:sz="4" w:space="0" w:color="auto"/>
            </w:tcBorders>
            <w:noWrap/>
            <w:vAlign w:val="bottom"/>
          </w:tcPr>
          <w:p w14:paraId="6B9E3F0D"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5E2C6AF5"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7BBFDD41"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Midlands</w:t>
            </w:r>
          </w:p>
        </w:tc>
        <w:tc>
          <w:tcPr>
            <w:tcW w:w="1620" w:type="dxa"/>
            <w:tcBorders>
              <w:top w:val="nil"/>
              <w:left w:val="nil"/>
              <w:bottom w:val="single" w:sz="4" w:space="0" w:color="auto"/>
              <w:right w:val="single" w:sz="4" w:space="0" w:color="auto"/>
            </w:tcBorders>
            <w:noWrap/>
            <w:vAlign w:val="bottom"/>
          </w:tcPr>
          <w:p w14:paraId="0A97F80F" w14:textId="77777777" w:rsidR="00583B86" w:rsidRPr="00D94B08" w:rsidRDefault="00583B86" w:rsidP="00FB265E">
            <w:pPr>
              <w:jc w:val="center"/>
              <w:rPr>
                <w:color w:val="000000"/>
                <w:lang w:val="en-US" w:eastAsia="en-US"/>
              </w:rPr>
            </w:pPr>
            <w:r w:rsidRPr="00D94B08">
              <w:rPr>
                <w:color w:val="000000"/>
                <w:sz w:val="22"/>
                <w:szCs w:val="22"/>
                <w:lang w:val="en-US" w:eastAsia="en-US"/>
              </w:rPr>
              <w:t>257</w:t>
            </w:r>
          </w:p>
        </w:tc>
        <w:tc>
          <w:tcPr>
            <w:tcW w:w="2160" w:type="dxa"/>
            <w:tcBorders>
              <w:top w:val="nil"/>
              <w:left w:val="nil"/>
              <w:bottom w:val="single" w:sz="4" w:space="0" w:color="auto"/>
              <w:right w:val="single" w:sz="4" w:space="0" w:color="auto"/>
            </w:tcBorders>
            <w:noWrap/>
            <w:vAlign w:val="bottom"/>
          </w:tcPr>
          <w:p w14:paraId="03140B3B" w14:textId="77777777" w:rsidR="00583B86" w:rsidRPr="00D94B08" w:rsidRDefault="00583B86" w:rsidP="00FB265E">
            <w:pPr>
              <w:jc w:val="center"/>
              <w:rPr>
                <w:color w:val="000000"/>
                <w:lang w:val="en-US" w:eastAsia="en-US"/>
              </w:rPr>
            </w:pPr>
            <w:r w:rsidRPr="00D94B08">
              <w:rPr>
                <w:color w:val="000000"/>
                <w:sz w:val="22"/>
                <w:szCs w:val="22"/>
                <w:lang w:val="en-US" w:eastAsia="en-US"/>
              </w:rPr>
              <w:t>16.8</w:t>
            </w:r>
          </w:p>
        </w:tc>
        <w:tc>
          <w:tcPr>
            <w:tcW w:w="1080" w:type="dxa"/>
            <w:tcBorders>
              <w:top w:val="nil"/>
              <w:left w:val="nil"/>
              <w:bottom w:val="single" w:sz="4" w:space="0" w:color="auto"/>
              <w:right w:val="single" w:sz="4" w:space="0" w:color="auto"/>
            </w:tcBorders>
            <w:noWrap/>
            <w:vAlign w:val="bottom"/>
          </w:tcPr>
          <w:p w14:paraId="32FF7741" w14:textId="77777777" w:rsidR="00583B86" w:rsidRPr="00D94B08" w:rsidRDefault="00583B86" w:rsidP="00FB265E">
            <w:pPr>
              <w:jc w:val="center"/>
              <w:rPr>
                <w:color w:val="000000"/>
                <w:lang w:val="en-US" w:eastAsia="en-US"/>
              </w:rPr>
            </w:pPr>
            <w:r w:rsidRPr="00D94B08">
              <w:rPr>
                <w:color w:val="000000"/>
                <w:sz w:val="22"/>
                <w:szCs w:val="22"/>
                <w:lang w:val="en-US" w:eastAsia="en-US"/>
              </w:rPr>
              <w:t>14.8</w:t>
            </w:r>
          </w:p>
        </w:tc>
        <w:tc>
          <w:tcPr>
            <w:tcW w:w="1260" w:type="dxa"/>
            <w:tcBorders>
              <w:top w:val="nil"/>
              <w:left w:val="nil"/>
              <w:bottom w:val="single" w:sz="4" w:space="0" w:color="auto"/>
              <w:right w:val="single" w:sz="4" w:space="0" w:color="auto"/>
            </w:tcBorders>
            <w:noWrap/>
            <w:vAlign w:val="bottom"/>
          </w:tcPr>
          <w:p w14:paraId="0D8EC186" w14:textId="77777777" w:rsidR="00583B86" w:rsidRPr="00D94B08" w:rsidRDefault="00583B86" w:rsidP="00FB265E">
            <w:pPr>
              <w:jc w:val="center"/>
              <w:rPr>
                <w:color w:val="000000"/>
                <w:lang w:val="en-US" w:eastAsia="en-US"/>
              </w:rPr>
            </w:pPr>
            <w:r w:rsidRPr="00D94B08">
              <w:rPr>
                <w:color w:val="000000"/>
                <w:sz w:val="22"/>
                <w:szCs w:val="22"/>
                <w:lang w:val="en-US" w:eastAsia="en-US"/>
              </w:rPr>
              <w:t>18.9</w:t>
            </w:r>
          </w:p>
        </w:tc>
        <w:tc>
          <w:tcPr>
            <w:tcW w:w="3731" w:type="dxa"/>
            <w:tcBorders>
              <w:top w:val="nil"/>
              <w:left w:val="nil"/>
              <w:bottom w:val="single" w:sz="4" w:space="0" w:color="auto"/>
              <w:right w:val="single" w:sz="4" w:space="0" w:color="auto"/>
            </w:tcBorders>
            <w:noWrap/>
            <w:vAlign w:val="bottom"/>
          </w:tcPr>
          <w:p w14:paraId="38A2F20B" w14:textId="77777777" w:rsidR="00583B86" w:rsidRPr="00D94B08" w:rsidRDefault="00583B86" w:rsidP="00FB265E">
            <w:pPr>
              <w:jc w:val="center"/>
              <w:rPr>
                <w:color w:val="000000"/>
                <w:lang w:val="en-US" w:eastAsia="en-US"/>
              </w:rPr>
            </w:pPr>
            <w:r w:rsidRPr="00D94B08">
              <w:rPr>
                <w:color w:val="000000"/>
                <w:sz w:val="22"/>
                <w:szCs w:val="22"/>
                <w:lang w:val="en-US" w:eastAsia="en-US"/>
              </w:rPr>
              <w:t>1.37 (1.18 - 1.58)</w:t>
            </w:r>
          </w:p>
        </w:tc>
      </w:tr>
      <w:tr w:rsidR="00583B86" w:rsidRPr="00D94B08" w14:paraId="5F2BE7AD"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69102679"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of England</w:t>
            </w:r>
          </w:p>
        </w:tc>
        <w:tc>
          <w:tcPr>
            <w:tcW w:w="1620" w:type="dxa"/>
            <w:tcBorders>
              <w:top w:val="nil"/>
              <w:left w:val="nil"/>
              <w:bottom w:val="single" w:sz="4" w:space="0" w:color="auto"/>
              <w:right w:val="single" w:sz="4" w:space="0" w:color="auto"/>
            </w:tcBorders>
            <w:noWrap/>
            <w:vAlign w:val="bottom"/>
          </w:tcPr>
          <w:p w14:paraId="2BA0D842" w14:textId="77777777" w:rsidR="00583B86" w:rsidRPr="00D94B08" w:rsidRDefault="00583B86" w:rsidP="00FB265E">
            <w:pPr>
              <w:jc w:val="center"/>
              <w:rPr>
                <w:color w:val="000000"/>
                <w:lang w:val="en-US" w:eastAsia="en-US"/>
              </w:rPr>
            </w:pPr>
            <w:r w:rsidRPr="00D94B08">
              <w:rPr>
                <w:color w:val="000000"/>
                <w:sz w:val="22"/>
                <w:szCs w:val="22"/>
                <w:lang w:val="en-US" w:eastAsia="en-US"/>
              </w:rPr>
              <w:t>861</w:t>
            </w:r>
          </w:p>
        </w:tc>
        <w:tc>
          <w:tcPr>
            <w:tcW w:w="2160" w:type="dxa"/>
            <w:tcBorders>
              <w:top w:val="nil"/>
              <w:left w:val="nil"/>
              <w:bottom w:val="single" w:sz="4" w:space="0" w:color="auto"/>
              <w:right w:val="single" w:sz="4" w:space="0" w:color="auto"/>
            </w:tcBorders>
            <w:noWrap/>
            <w:vAlign w:val="bottom"/>
          </w:tcPr>
          <w:p w14:paraId="54952FD2"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1080" w:type="dxa"/>
            <w:tcBorders>
              <w:top w:val="nil"/>
              <w:left w:val="nil"/>
              <w:bottom w:val="single" w:sz="4" w:space="0" w:color="auto"/>
              <w:right w:val="single" w:sz="4" w:space="0" w:color="auto"/>
            </w:tcBorders>
            <w:noWrap/>
            <w:vAlign w:val="bottom"/>
          </w:tcPr>
          <w:p w14:paraId="7A586EF1" w14:textId="77777777" w:rsidR="00583B86" w:rsidRPr="00D94B08" w:rsidRDefault="00583B86" w:rsidP="00FB265E">
            <w:pPr>
              <w:jc w:val="center"/>
              <w:rPr>
                <w:color w:val="000000"/>
                <w:lang w:val="en-US" w:eastAsia="en-US"/>
              </w:rPr>
            </w:pPr>
            <w:r w:rsidRPr="00D94B08">
              <w:rPr>
                <w:color w:val="000000"/>
                <w:sz w:val="22"/>
                <w:szCs w:val="22"/>
                <w:lang w:val="en-US" w:eastAsia="en-US"/>
              </w:rPr>
              <w:t>14.5</w:t>
            </w:r>
          </w:p>
        </w:tc>
        <w:tc>
          <w:tcPr>
            <w:tcW w:w="1260" w:type="dxa"/>
            <w:tcBorders>
              <w:top w:val="nil"/>
              <w:left w:val="nil"/>
              <w:bottom w:val="single" w:sz="4" w:space="0" w:color="auto"/>
              <w:right w:val="single" w:sz="4" w:space="0" w:color="auto"/>
            </w:tcBorders>
            <w:noWrap/>
            <w:vAlign w:val="bottom"/>
          </w:tcPr>
          <w:p w14:paraId="2DA503B8" w14:textId="77777777" w:rsidR="00583B86" w:rsidRPr="00D94B08" w:rsidRDefault="00583B86" w:rsidP="00FB265E">
            <w:pPr>
              <w:jc w:val="center"/>
              <w:rPr>
                <w:color w:val="000000"/>
                <w:lang w:val="en-US" w:eastAsia="en-US"/>
              </w:rPr>
            </w:pPr>
            <w:r w:rsidRPr="00D94B08">
              <w:rPr>
                <w:color w:val="000000"/>
                <w:sz w:val="22"/>
                <w:szCs w:val="22"/>
                <w:lang w:val="en-US" w:eastAsia="en-US"/>
              </w:rPr>
              <w:t>16.5</w:t>
            </w:r>
          </w:p>
        </w:tc>
        <w:tc>
          <w:tcPr>
            <w:tcW w:w="3731" w:type="dxa"/>
            <w:tcBorders>
              <w:top w:val="nil"/>
              <w:left w:val="nil"/>
              <w:bottom w:val="single" w:sz="4" w:space="0" w:color="auto"/>
              <w:right w:val="single" w:sz="4" w:space="0" w:color="auto"/>
            </w:tcBorders>
            <w:noWrap/>
            <w:vAlign w:val="bottom"/>
          </w:tcPr>
          <w:p w14:paraId="2E8C808A" w14:textId="77777777" w:rsidR="00583B86" w:rsidRPr="00D94B08" w:rsidRDefault="00583B86" w:rsidP="00FB265E">
            <w:pPr>
              <w:jc w:val="center"/>
              <w:rPr>
                <w:color w:val="000000"/>
                <w:lang w:val="en-US" w:eastAsia="en-US"/>
              </w:rPr>
            </w:pPr>
            <w:r w:rsidRPr="00D94B08">
              <w:rPr>
                <w:color w:val="000000"/>
                <w:sz w:val="22"/>
                <w:szCs w:val="22"/>
                <w:lang w:val="en-US" w:eastAsia="en-US"/>
              </w:rPr>
              <w:t>1.19 (1.07 - 1.31)</w:t>
            </w:r>
          </w:p>
        </w:tc>
      </w:tr>
      <w:tr w:rsidR="00583B86" w:rsidRPr="00D94B08" w14:paraId="3D1E89F9"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3263C4DF"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East</w:t>
            </w:r>
          </w:p>
        </w:tc>
        <w:tc>
          <w:tcPr>
            <w:tcW w:w="1620" w:type="dxa"/>
            <w:tcBorders>
              <w:top w:val="nil"/>
              <w:left w:val="nil"/>
              <w:bottom w:val="single" w:sz="4" w:space="0" w:color="auto"/>
              <w:right w:val="single" w:sz="4" w:space="0" w:color="auto"/>
            </w:tcBorders>
            <w:noWrap/>
            <w:vAlign w:val="bottom"/>
          </w:tcPr>
          <w:p w14:paraId="38845D81" w14:textId="77777777" w:rsidR="00583B86" w:rsidRPr="00D94B08" w:rsidRDefault="00583B86" w:rsidP="00FB265E">
            <w:pPr>
              <w:jc w:val="center"/>
              <w:rPr>
                <w:color w:val="000000"/>
                <w:lang w:val="en-US" w:eastAsia="en-US"/>
              </w:rPr>
            </w:pPr>
            <w:r w:rsidRPr="00D94B08">
              <w:rPr>
                <w:color w:val="000000"/>
                <w:sz w:val="22"/>
                <w:szCs w:val="22"/>
                <w:lang w:val="en-US" w:eastAsia="en-US"/>
              </w:rPr>
              <w:t>164</w:t>
            </w:r>
          </w:p>
        </w:tc>
        <w:tc>
          <w:tcPr>
            <w:tcW w:w="2160" w:type="dxa"/>
            <w:tcBorders>
              <w:top w:val="nil"/>
              <w:left w:val="nil"/>
              <w:bottom w:val="single" w:sz="4" w:space="0" w:color="auto"/>
              <w:right w:val="single" w:sz="4" w:space="0" w:color="auto"/>
            </w:tcBorders>
            <w:noWrap/>
            <w:vAlign w:val="bottom"/>
          </w:tcPr>
          <w:p w14:paraId="4903E412" w14:textId="77777777" w:rsidR="00583B86" w:rsidRPr="00D94B08" w:rsidRDefault="00583B86" w:rsidP="00FB265E">
            <w:pPr>
              <w:jc w:val="center"/>
              <w:rPr>
                <w:color w:val="000000"/>
                <w:lang w:val="en-US" w:eastAsia="en-US"/>
              </w:rPr>
            </w:pPr>
            <w:r w:rsidRPr="00D94B08">
              <w:rPr>
                <w:color w:val="000000"/>
                <w:sz w:val="22"/>
                <w:szCs w:val="22"/>
                <w:lang w:val="en-US" w:eastAsia="en-US"/>
              </w:rPr>
              <w:t>13.4</w:t>
            </w:r>
          </w:p>
        </w:tc>
        <w:tc>
          <w:tcPr>
            <w:tcW w:w="1080" w:type="dxa"/>
            <w:tcBorders>
              <w:top w:val="nil"/>
              <w:left w:val="nil"/>
              <w:bottom w:val="single" w:sz="4" w:space="0" w:color="auto"/>
              <w:right w:val="single" w:sz="4" w:space="0" w:color="auto"/>
            </w:tcBorders>
            <w:noWrap/>
            <w:vAlign w:val="bottom"/>
          </w:tcPr>
          <w:p w14:paraId="355167F2" w14:textId="77777777" w:rsidR="00583B86" w:rsidRPr="00D94B08" w:rsidRDefault="00583B86" w:rsidP="00FB265E">
            <w:pPr>
              <w:jc w:val="center"/>
              <w:rPr>
                <w:color w:val="000000"/>
                <w:lang w:val="en-US" w:eastAsia="en-US"/>
              </w:rPr>
            </w:pPr>
            <w:r w:rsidRPr="00D94B08">
              <w:rPr>
                <w:color w:val="000000"/>
                <w:sz w:val="22"/>
                <w:szCs w:val="22"/>
                <w:lang w:val="en-US" w:eastAsia="en-US"/>
              </w:rPr>
              <w:t>11.4</w:t>
            </w:r>
          </w:p>
        </w:tc>
        <w:tc>
          <w:tcPr>
            <w:tcW w:w="1260" w:type="dxa"/>
            <w:tcBorders>
              <w:top w:val="nil"/>
              <w:left w:val="nil"/>
              <w:bottom w:val="single" w:sz="4" w:space="0" w:color="auto"/>
              <w:right w:val="single" w:sz="4" w:space="0" w:color="auto"/>
            </w:tcBorders>
            <w:noWrap/>
            <w:vAlign w:val="bottom"/>
          </w:tcPr>
          <w:p w14:paraId="0F0D8DDA"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3731" w:type="dxa"/>
            <w:tcBorders>
              <w:top w:val="nil"/>
              <w:left w:val="nil"/>
              <w:bottom w:val="single" w:sz="4" w:space="0" w:color="auto"/>
              <w:right w:val="single" w:sz="4" w:space="0" w:color="auto"/>
            </w:tcBorders>
            <w:noWrap/>
            <w:vAlign w:val="bottom"/>
          </w:tcPr>
          <w:p w14:paraId="16079CFE" w14:textId="77777777" w:rsidR="00583B86" w:rsidRPr="00D94B08" w:rsidRDefault="00583B86" w:rsidP="00FB265E">
            <w:pPr>
              <w:jc w:val="center"/>
              <w:rPr>
                <w:color w:val="000000"/>
                <w:lang w:val="en-US" w:eastAsia="en-US"/>
              </w:rPr>
            </w:pPr>
            <w:r w:rsidRPr="00D94B08">
              <w:rPr>
                <w:color w:val="000000"/>
                <w:sz w:val="22"/>
                <w:szCs w:val="22"/>
                <w:lang w:val="en-US" w:eastAsia="en-US"/>
              </w:rPr>
              <w:t>1.20 (1.01 - 1.42)</w:t>
            </w:r>
          </w:p>
        </w:tc>
      </w:tr>
      <w:tr w:rsidR="00583B86" w:rsidRPr="00D94B08" w14:paraId="6FA06D21"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579FFD28"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West</w:t>
            </w:r>
          </w:p>
        </w:tc>
        <w:tc>
          <w:tcPr>
            <w:tcW w:w="1620" w:type="dxa"/>
            <w:tcBorders>
              <w:top w:val="nil"/>
              <w:left w:val="nil"/>
              <w:bottom w:val="single" w:sz="4" w:space="0" w:color="auto"/>
              <w:right w:val="single" w:sz="4" w:space="0" w:color="auto"/>
            </w:tcBorders>
            <w:noWrap/>
            <w:vAlign w:val="bottom"/>
          </w:tcPr>
          <w:p w14:paraId="2FBFD05B" w14:textId="77777777" w:rsidR="00583B86" w:rsidRPr="00D94B08" w:rsidRDefault="00583B86" w:rsidP="00FB265E">
            <w:pPr>
              <w:jc w:val="center"/>
              <w:rPr>
                <w:color w:val="000000"/>
                <w:lang w:val="en-US" w:eastAsia="en-US"/>
              </w:rPr>
            </w:pPr>
            <w:r w:rsidRPr="00D94B08">
              <w:rPr>
                <w:color w:val="000000"/>
                <w:sz w:val="22"/>
                <w:szCs w:val="22"/>
                <w:lang w:val="en-US" w:eastAsia="en-US"/>
              </w:rPr>
              <w:t>1293</w:t>
            </w:r>
          </w:p>
        </w:tc>
        <w:tc>
          <w:tcPr>
            <w:tcW w:w="2160" w:type="dxa"/>
            <w:tcBorders>
              <w:top w:val="nil"/>
              <w:left w:val="nil"/>
              <w:bottom w:val="single" w:sz="4" w:space="0" w:color="auto"/>
              <w:right w:val="single" w:sz="4" w:space="0" w:color="auto"/>
            </w:tcBorders>
            <w:noWrap/>
            <w:vAlign w:val="bottom"/>
          </w:tcPr>
          <w:p w14:paraId="6CA91151" w14:textId="77777777" w:rsidR="00583B86" w:rsidRPr="00D94B08" w:rsidRDefault="00583B86" w:rsidP="00FB265E">
            <w:pPr>
              <w:jc w:val="center"/>
              <w:rPr>
                <w:color w:val="000000"/>
                <w:lang w:val="en-US" w:eastAsia="en-US"/>
              </w:rPr>
            </w:pPr>
            <w:r w:rsidRPr="00D94B08">
              <w:rPr>
                <w:color w:val="000000"/>
                <w:sz w:val="22"/>
                <w:szCs w:val="22"/>
                <w:lang w:val="en-US" w:eastAsia="en-US"/>
              </w:rPr>
              <w:t>15.3</w:t>
            </w:r>
          </w:p>
        </w:tc>
        <w:tc>
          <w:tcPr>
            <w:tcW w:w="1080" w:type="dxa"/>
            <w:tcBorders>
              <w:top w:val="nil"/>
              <w:left w:val="nil"/>
              <w:bottom w:val="single" w:sz="4" w:space="0" w:color="auto"/>
              <w:right w:val="single" w:sz="4" w:space="0" w:color="auto"/>
            </w:tcBorders>
            <w:noWrap/>
            <w:vAlign w:val="bottom"/>
          </w:tcPr>
          <w:p w14:paraId="2D0A3D99" w14:textId="77777777" w:rsidR="00583B86" w:rsidRPr="00D94B08" w:rsidRDefault="00583B86" w:rsidP="00FB265E">
            <w:pPr>
              <w:jc w:val="center"/>
              <w:rPr>
                <w:color w:val="000000"/>
                <w:lang w:val="en-US" w:eastAsia="en-US"/>
              </w:rPr>
            </w:pPr>
            <w:r w:rsidRPr="00D94B08">
              <w:rPr>
                <w:color w:val="000000"/>
                <w:sz w:val="22"/>
                <w:szCs w:val="22"/>
                <w:lang w:val="en-US" w:eastAsia="en-US"/>
              </w:rPr>
              <w:t>14.5</w:t>
            </w:r>
          </w:p>
        </w:tc>
        <w:tc>
          <w:tcPr>
            <w:tcW w:w="1260" w:type="dxa"/>
            <w:tcBorders>
              <w:top w:val="nil"/>
              <w:left w:val="nil"/>
              <w:bottom w:val="single" w:sz="4" w:space="0" w:color="auto"/>
              <w:right w:val="single" w:sz="4" w:space="0" w:color="auto"/>
            </w:tcBorders>
            <w:noWrap/>
            <w:vAlign w:val="bottom"/>
          </w:tcPr>
          <w:p w14:paraId="7CE9E315" w14:textId="77777777" w:rsidR="00583B86" w:rsidRPr="00D94B08" w:rsidRDefault="00583B86" w:rsidP="00FB265E">
            <w:pPr>
              <w:jc w:val="center"/>
              <w:rPr>
                <w:color w:val="000000"/>
                <w:lang w:val="en-US" w:eastAsia="en-US"/>
              </w:rPr>
            </w:pPr>
            <w:r w:rsidRPr="00D94B08">
              <w:rPr>
                <w:color w:val="000000"/>
                <w:sz w:val="22"/>
                <w:szCs w:val="22"/>
                <w:lang w:val="en-US" w:eastAsia="en-US"/>
              </w:rPr>
              <w:t>16.2</w:t>
            </w:r>
          </w:p>
        </w:tc>
        <w:tc>
          <w:tcPr>
            <w:tcW w:w="3731" w:type="dxa"/>
            <w:tcBorders>
              <w:top w:val="nil"/>
              <w:left w:val="nil"/>
              <w:bottom w:val="single" w:sz="4" w:space="0" w:color="auto"/>
              <w:right w:val="single" w:sz="4" w:space="0" w:color="auto"/>
            </w:tcBorders>
            <w:noWrap/>
            <w:vAlign w:val="bottom"/>
          </w:tcPr>
          <w:p w14:paraId="33B987ED" w14:textId="77777777" w:rsidR="00583B86" w:rsidRPr="00D94B08" w:rsidRDefault="00583B86" w:rsidP="00FB265E">
            <w:pPr>
              <w:jc w:val="center"/>
              <w:rPr>
                <w:color w:val="000000"/>
                <w:lang w:val="en-US" w:eastAsia="en-US"/>
              </w:rPr>
            </w:pPr>
            <w:r w:rsidRPr="00D94B08">
              <w:rPr>
                <w:color w:val="000000"/>
                <w:sz w:val="22"/>
                <w:szCs w:val="22"/>
                <w:lang w:val="en-US" w:eastAsia="en-US"/>
              </w:rPr>
              <w:t>1.28 (1.16 - 1.40)</w:t>
            </w:r>
          </w:p>
        </w:tc>
      </w:tr>
      <w:tr w:rsidR="00583B86" w:rsidRPr="00D94B08" w14:paraId="2BC70667"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7887899D"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Central</w:t>
            </w:r>
          </w:p>
        </w:tc>
        <w:tc>
          <w:tcPr>
            <w:tcW w:w="1620" w:type="dxa"/>
            <w:tcBorders>
              <w:top w:val="nil"/>
              <w:left w:val="nil"/>
              <w:bottom w:val="single" w:sz="4" w:space="0" w:color="auto"/>
              <w:right w:val="single" w:sz="4" w:space="0" w:color="auto"/>
            </w:tcBorders>
            <w:noWrap/>
            <w:vAlign w:val="bottom"/>
          </w:tcPr>
          <w:p w14:paraId="02B74B58" w14:textId="77777777" w:rsidR="00583B86" w:rsidRPr="00D94B08" w:rsidRDefault="00583B86" w:rsidP="00FB265E">
            <w:pPr>
              <w:jc w:val="center"/>
              <w:rPr>
                <w:color w:val="000000"/>
                <w:lang w:val="en-US" w:eastAsia="en-US"/>
              </w:rPr>
            </w:pPr>
            <w:r w:rsidRPr="00D94B08">
              <w:rPr>
                <w:color w:val="000000"/>
                <w:sz w:val="22"/>
                <w:szCs w:val="22"/>
                <w:lang w:val="en-US" w:eastAsia="en-US"/>
              </w:rPr>
              <w:t>941</w:t>
            </w:r>
          </w:p>
        </w:tc>
        <w:tc>
          <w:tcPr>
            <w:tcW w:w="2160" w:type="dxa"/>
            <w:tcBorders>
              <w:top w:val="nil"/>
              <w:left w:val="nil"/>
              <w:bottom w:val="single" w:sz="4" w:space="0" w:color="auto"/>
              <w:right w:val="single" w:sz="4" w:space="0" w:color="auto"/>
            </w:tcBorders>
            <w:noWrap/>
            <w:vAlign w:val="bottom"/>
          </w:tcPr>
          <w:p w14:paraId="4CD21375" w14:textId="77777777" w:rsidR="00583B86" w:rsidRPr="00D94B08" w:rsidRDefault="00583B86" w:rsidP="00FB265E">
            <w:pPr>
              <w:jc w:val="center"/>
              <w:rPr>
                <w:color w:val="000000"/>
                <w:lang w:val="en-US" w:eastAsia="en-US"/>
              </w:rPr>
            </w:pPr>
            <w:r w:rsidRPr="00D94B08">
              <w:rPr>
                <w:color w:val="000000"/>
                <w:sz w:val="22"/>
                <w:szCs w:val="22"/>
                <w:lang w:val="en-US" w:eastAsia="en-US"/>
              </w:rPr>
              <w:t>15.2</w:t>
            </w:r>
          </w:p>
        </w:tc>
        <w:tc>
          <w:tcPr>
            <w:tcW w:w="1080" w:type="dxa"/>
            <w:tcBorders>
              <w:top w:val="nil"/>
              <w:left w:val="nil"/>
              <w:bottom w:val="single" w:sz="4" w:space="0" w:color="auto"/>
              <w:right w:val="single" w:sz="4" w:space="0" w:color="auto"/>
            </w:tcBorders>
            <w:noWrap/>
            <w:vAlign w:val="bottom"/>
          </w:tcPr>
          <w:p w14:paraId="32415AF4" w14:textId="77777777" w:rsidR="00583B86" w:rsidRPr="00D94B08" w:rsidRDefault="00583B86" w:rsidP="00FB265E">
            <w:pPr>
              <w:jc w:val="center"/>
              <w:rPr>
                <w:color w:val="000000"/>
                <w:lang w:val="en-US" w:eastAsia="en-US"/>
              </w:rPr>
            </w:pPr>
            <w:r w:rsidRPr="00D94B08">
              <w:rPr>
                <w:color w:val="000000"/>
                <w:sz w:val="22"/>
                <w:szCs w:val="22"/>
                <w:lang w:val="en-US" w:eastAsia="en-US"/>
              </w:rPr>
              <w:t>14.2</w:t>
            </w:r>
          </w:p>
        </w:tc>
        <w:tc>
          <w:tcPr>
            <w:tcW w:w="1260" w:type="dxa"/>
            <w:tcBorders>
              <w:top w:val="nil"/>
              <w:left w:val="nil"/>
              <w:bottom w:val="single" w:sz="4" w:space="0" w:color="auto"/>
              <w:right w:val="single" w:sz="4" w:space="0" w:color="auto"/>
            </w:tcBorders>
            <w:noWrap/>
            <w:vAlign w:val="bottom"/>
          </w:tcPr>
          <w:p w14:paraId="104B1F41" w14:textId="77777777" w:rsidR="00583B86" w:rsidRPr="00D94B08" w:rsidRDefault="00583B86" w:rsidP="00FB265E">
            <w:pPr>
              <w:jc w:val="center"/>
              <w:rPr>
                <w:color w:val="000000"/>
                <w:lang w:val="en-US" w:eastAsia="en-US"/>
              </w:rPr>
            </w:pPr>
            <w:r w:rsidRPr="00D94B08">
              <w:rPr>
                <w:color w:val="000000"/>
                <w:sz w:val="22"/>
                <w:szCs w:val="22"/>
                <w:lang w:val="en-US" w:eastAsia="en-US"/>
              </w:rPr>
              <w:t>16.2</w:t>
            </w:r>
          </w:p>
        </w:tc>
        <w:tc>
          <w:tcPr>
            <w:tcW w:w="3731" w:type="dxa"/>
            <w:tcBorders>
              <w:top w:val="nil"/>
              <w:left w:val="nil"/>
              <w:bottom w:val="single" w:sz="4" w:space="0" w:color="auto"/>
              <w:right w:val="single" w:sz="4" w:space="0" w:color="auto"/>
            </w:tcBorders>
            <w:noWrap/>
            <w:vAlign w:val="bottom"/>
          </w:tcPr>
          <w:p w14:paraId="2CFAC792" w14:textId="77777777" w:rsidR="00583B86" w:rsidRPr="00D94B08" w:rsidRDefault="00583B86" w:rsidP="00FB265E">
            <w:pPr>
              <w:jc w:val="center"/>
              <w:rPr>
                <w:color w:val="000000"/>
                <w:lang w:val="en-US" w:eastAsia="en-US"/>
              </w:rPr>
            </w:pPr>
            <w:r w:rsidRPr="00D94B08">
              <w:rPr>
                <w:color w:val="000000"/>
                <w:sz w:val="22"/>
                <w:szCs w:val="22"/>
                <w:lang w:val="en-US" w:eastAsia="en-US"/>
              </w:rPr>
              <w:t>1.16 (1.05 - 1.28)</w:t>
            </w:r>
          </w:p>
        </w:tc>
      </w:tr>
      <w:tr w:rsidR="00583B86" w:rsidRPr="00D94B08" w14:paraId="664E2286"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0D4D7982"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East Coast</w:t>
            </w:r>
          </w:p>
        </w:tc>
        <w:tc>
          <w:tcPr>
            <w:tcW w:w="1620" w:type="dxa"/>
            <w:tcBorders>
              <w:top w:val="nil"/>
              <w:left w:val="nil"/>
              <w:bottom w:val="single" w:sz="4" w:space="0" w:color="auto"/>
              <w:right w:val="single" w:sz="4" w:space="0" w:color="auto"/>
            </w:tcBorders>
            <w:noWrap/>
            <w:vAlign w:val="bottom"/>
          </w:tcPr>
          <w:p w14:paraId="703B2CC4" w14:textId="77777777" w:rsidR="00583B86" w:rsidRPr="00D94B08" w:rsidRDefault="00583B86" w:rsidP="00FB265E">
            <w:pPr>
              <w:jc w:val="center"/>
              <w:rPr>
                <w:color w:val="000000"/>
                <w:lang w:val="en-US" w:eastAsia="en-US"/>
              </w:rPr>
            </w:pPr>
            <w:r w:rsidRPr="00D94B08">
              <w:rPr>
                <w:color w:val="000000"/>
                <w:sz w:val="22"/>
                <w:szCs w:val="22"/>
                <w:lang w:val="en-US" w:eastAsia="en-US"/>
              </w:rPr>
              <w:t>868</w:t>
            </w:r>
          </w:p>
        </w:tc>
        <w:tc>
          <w:tcPr>
            <w:tcW w:w="2160" w:type="dxa"/>
            <w:tcBorders>
              <w:top w:val="nil"/>
              <w:left w:val="nil"/>
              <w:bottom w:val="single" w:sz="4" w:space="0" w:color="auto"/>
              <w:right w:val="single" w:sz="4" w:space="0" w:color="auto"/>
            </w:tcBorders>
            <w:noWrap/>
            <w:vAlign w:val="bottom"/>
          </w:tcPr>
          <w:p w14:paraId="2931526A" w14:textId="77777777" w:rsidR="00583B86" w:rsidRPr="00D94B08" w:rsidRDefault="00583B86" w:rsidP="00FB265E">
            <w:pPr>
              <w:jc w:val="center"/>
              <w:rPr>
                <w:color w:val="000000"/>
                <w:lang w:val="en-US" w:eastAsia="en-US"/>
              </w:rPr>
            </w:pPr>
            <w:r w:rsidRPr="00D94B08">
              <w:rPr>
                <w:color w:val="000000"/>
                <w:sz w:val="22"/>
                <w:szCs w:val="22"/>
                <w:lang w:val="en-US" w:eastAsia="en-US"/>
              </w:rPr>
              <w:t>14.3</w:t>
            </w:r>
          </w:p>
        </w:tc>
        <w:tc>
          <w:tcPr>
            <w:tcW w:w="1080" w:type="dxa"/>
            <w:tcBorders>
              <w:top w:val="nil"/>
              <w:left w:val="nil"/>
              <w:bottom w:val="single" w:sz="4" w:space="0" w:color="auto"/>
              <w:right w:val="single" w:sz="4" w:space="0" w:color="auto"/>
            </w:tcBorders>
            <w:noWrap/>
            <w:vAlign w:val="bottom"/>
          </w:tcPr>
          <w:p w14:paraId="6433860C" w14:textId="77777777" w:rsidR="00583B86" w:rsidRPr="00D94B08" w:rsidRDefault="00583B86" w:rsidP="00FB265E">
            <w:pPr>
              <w:jc w:val="center"/>
              <w:rPr>
                <w:color w:val="000000"/>
                <w:lang w:val="en-US" w:eastAsia="en-US"/>
              </w:rPr>
            </w:pPr>
            <w:r w:rsidRPr="00D94B08">
              <w:rPr>
                <w:color w:val="000000"/>
                <w:sz w:val="22"/>
                <w:szCs w:val="22"/>
                <w:lang w:val="en-US" w:eastAsia="en-US"/>
              </w:rPr>
              <w:t>13.3</w:t>
            </w:r>
          </w:p>
        </w:tc>
        <w:tc>
          <w:tcPr>
            <w:tcW w:w="1260" w:type="dxa"/>
            <w:tcBorders>
              <w:top w:val="nil"/>
              <w:left w:val="nil"/>
              <w:bottom w:val="single" w:sz="4" w:space="0" w:color="auto"/>
              <w:right w:val="single" w:sz="4" w:space="0" w:color="auto"/>
            </w:tcBorders>
            <w:noWrap/>
            <w:vAlign w:val="bottom"/>
          </w:tcPr>
          <w:p w14:paraId="27AA5686" w14:textId="77777777" w:rsidR="00583B86" w:rsidRPr="00D94B08" w:rsidRDefault="00583B86" w:rsidP="00FB265E">
            <w:pPr>
              <w:jc w:val="center"/>
              <w:rPr>
                <w:color w:val="000000"/>
                <w:lang w:val="en-US" w:eastAsia="en-US"/>
              </w:rPr>
            </w:pPr>
            <w:r w:rsidRPr="00D94B08">
              <w:rPr>
                <w:color w:val="000000"/>
                <w:sz w:val="22"/>
                <w:szCs w:val="22"/>
                <w:lang w:val="en-US" w:eastAsia="en-US"/>
              </w:rPr>
              <w:t>15.2</w:t>
            </w:r>
          </w:p>
        </w:tc>
        <w:tc>
          <w:tcPr>
            <w:tcW w:w="3731" w:type="dxa"/>
            <w:tcBorders>
              <w:top w:val="nil"/>
              <w:left w:val="nil"/>
              <w:bottom w:val="single" w:sz="4" w:space="0" w:color="auto"/>
              <w:right w:val="single" w:sz="4" w:space="0" w:color="auto"/>
            </w:tcBorders>
            <w:noWrap/>
            <w:vAlign w:val="bottom"/>
          </w:tcPr>
          <w:p w14:paraId="4CC61631" w14:textId="77777777" w:rsidR="00583B86" w:rsidRPr="00D94B08" w:rsidRDefault="00583B86" w:rsidP="00FB265E">
            <w:pPr>
              <w:jc w:val="center"/>
              <w:rPr>
                <w:color w:val="000000"/>
                <w:lang w:val="en-US" w:eastAsia="en-US"/>
              </w:rPr>
            </w:pPr>
            <w:r w:rsidRPr="00D94B08">
              <w:rPr>
                <w:color w:val="000000"/>
                <w:sz w:val="22"/>
                <w:szCs w:val="22"/>
                <w:lang w:val="en-US" w:eastAsia="en-US"/>
              </w:rPr>
              <w:t>1.08 (0.98 - 1.20)</w:t>
            </w:r>
          </w:p>
        </w:tc>
      </w:tr>
      <w:tr w:rsidR="00583B86" w:rsidRPr="00D94B08" w14:paraId="25567C51"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5E8F6EE1"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West</w:t>
            </w:r>
          </w:p>
        </w:tc>
        <w:tc>
          <w:tcPr>
            <w:tcW w:w="1620" w:type="dxa"/>
            <w:tcBorders>
              <w:top w:val="nil"/>
              <w:left w:val="nil"/>
              <w:bottom w:val="single" w:sz="4" w:space="0" w:color="auto"/>
              <w:right w:val="single" w:sz="4" w:space="0" w:color="auto"/>
            </w:tcBorders>
            <w:noWrap/>
            <w:vAlign w:val="bottom"/>
          </w:tcPr>
          <w:p w14:paraId="3F9DA5C6" w14:textId="77777777" w:rsidR="00583B86" w:rsidRPr="00D94B08" w:rsidRDefault="00583B86" w:rsidP="00FB265E">
            <w:pPr>
              <w:jc w:val="center"/>
              <w:rPr>
                <w:color w:val="000000"/>
                <w:lang w:val="en-US" w:eastAsia="en-US"/>
              </w:rPr>
            </w:pPr>
            <w:r w:rsidRPr="00D94B08">
              <w:rPr>
                <w:color w:val="000000"/>
                <w:sz w:val="22"/>
                <w:szCs w:val="22"/>
                <w:lang w:val="en-US" w:eastAsia="en-US"/>
              </w:rPr>
              <w:t>982</w:t>
            </w:r>
          </w:p>
        </w:tc>
        <w:tc>
          <w:tcPr>
            <w:tcW w:w="2160" w:type="dxa"/>
            <w:tcBorders>
              <w:top w:val="nil"/>
              <w:left w:val="nil"/>
              <w:bottom w:val="single" w:sz="4" w:space="0" w:color="auto"/>
              <w:right w:val="single" w:sz="4" w:space="0" w:color="auto"/>
            </w:tcBorders>
            <w:noWrap/>
            <w:vAlign w:val="bottom"/>
          </w:tcPr>
          <w:p w14:paraId="1DED7652" w14:textId="77777777" w:rsidR="00583B86" w:rsidRPr="00D94B08" w:rsidRDefault="00583B86" w:rsidP="00FB265E">
            <w:pPr>
              <w:jc w:val="center"/>
              <w:rPr>
                <w:color w:val="000000"/>
                <w:lang w:val="en-US" w:eastAsia="en-US"/>
              </w:rPr>
            </w:pPr>
            <w:r w:rsidRPr="00D94B08">
              <w:rPr>
                <w:color w:val="000000"/>
                <w:sz w:val="22"/>
                <w:szCs w:val="22"/>
                <w:lang w:val="en-US" w:eastAsia="en-US"/>
              </w:rPr>
              <w:t>14.6</w:t>
            </w:r>
          </w:p>
        </w:tc>
        <w:tc>
          <w:tcPr>
            <w:tcW w:w="1080" w:type="dxa"/>
            <w:tcBorders>
              <w:top w:val="nil"/>
              <w:left w:val="nil"/>
              <w:bottom w:val="single" w:sz="4" w:space="0" w:color="auto"/>
              <w:right w:val="single" w:sz="4" w:space="0" w:color="auto"/>
            </w:tcBorders>
            <w:noWrap/>
            <w:vAlign w:val="bottom"/>
          </w:tcPr>
          <w:p w14:paraId="39E0F604" w14:textId="77777777" w:rsidR="00583B86" w:rsidRPr="00D94B08" w:rsidRDefault="00583B86" w:rsidP="00FB265E">
            <w:pPr>
              <w:jc w:val="center"/>
              <w:rPr>
                <w:color w:val="000000"/>
                <w:lang w:val="en-US" w:eastAsia="en-US"/>
              </w:rPr>
            </w:pPr>
            <w:r w:rsidRPr="00D94B08">
              <w:rPr>
                <w:color w:val="000000"/>
                <w:sz w:val="22"/>
                <w:szCs w:val="22"/>
                <w:lang w:val="en-US" w:eastAsia="en-US"/>
              </w:rPr>
              <w:t>13.7</w:t>
            </w:r>
          </w:p>
        </w:tc>
        <w:tc>
          <w:tcPr>
            <w:tcW w:w="1260" w:type="dxa"/>
            <w:tcBorders>
              <w:top w:val="nil"/>
              <w:left w:val="nil"/>
              <w:bottom w:val="single" w:sz="4" w:space="0" w:color="auto"/>
              <w:right w:val="single" w:sz="4" w:space="0" w:color="auto"/>
            </w:tcBorders>
            <w:noWrap/>
            <w:vAlign w:val="bottom"/>
          </w:tcPr>
          <w:p w14:paraId="064AC336"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3731" w:type="dxa"/>
            <w:tcBorders>
              <w:top w:val="nil"/>
              <w:left w:val="nil"/>
              <w:bottom w:val="single" w:sz="4" w:space="0" w:color="auto"/>
              <w:right w:val="single" w:sz="4" w:space="0" w:color="auto"/>
            </w:tcBorders>
            <w:noWrap/>
            <w:vAlign w:val="bottom"/>
          </w:tcPr>
          <w:p w14:paraId="7D2F943A" w14:textId="77777777" w:rsidR="00583B86" w:rsidRPr="00D94B08" w:rsidRDefault="00583B86" w:rsidP="00FB265E">
            <w:pPr>
              <w:jc w:val="center"/>
              <w:rPr>
                <w:color w:val="000000"/>
                <w:lang w:val="en-US" w:eastAsia="en-US"/>
              </w:rPr>
            </w:pPr>
            <w:r w:rsidRPr="00D94B08">
              <w:rPr>
                <w:color w:val="000000"/>
                <w:sz w:val="22"/>
                <w:szCs w:val="22"/>
                <w:lang w:val="en-US" w:eastAsia="en-US"/>
              </w:rPr>
              <w:t>1.06 (0.96 - 1.17)</w:t>
            </w:r>
          </w:p>
        </w:tc>
      </w:tr>
      <w:tr w:rsidR="00583B86" w:rsidRPr="00D94B08" w14:paraId="7092D352"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01EC0406" w14:textId="77777777" w:rsidR="00583B86" w:rsidRPr="00D94B08" w:rsidRDefault="00583B86" w:rsidP="00FB265E">
            <w:pPr>
              <w:rPr>
                <w:color w:val="000000"/>
                <w:lang w:val="en-US" w:eastAsia="en-US"/>
              </w:rPr>
            </w:pPr>
            <w:r w:rsidRPr="00D94B08">
              <w:rPr>
                <w:color w:val="000000"/>
                <w:sz w:val="22"/>
                <w:szCs w:val="22"/>
                <w:lang w:val="en-US" w:eastAsia="en-US"/>
              </w:rPr>
              <w:t xml:space="preserve">   West Midlands</w:t>
            </w:r>
          </w:p>
        </w:tc>
        <w:tc>
          <w:tcPr>
            <w:tcW w:w="1620" w:type="dxa"/>
            <w:tcBorders>
              <w:top w:val="nil"/>
              <w:left w:val="nil"/>
              <w:bottom w:val="single" w:sz="4" w:space="0" w:color="auto"/>
              <w:right w:val="single" w:sz="4" w:space="0" w:color="auto"/>
            </w:tcBorders>
            <w:noWrap/>
            <w:vAlign w:val="bottom"/>
          </w:tcPr>
          <w:p w14:paraId="5663106D" w14:textId="77777777" w:rsidR="00583B86" w:rsidRPr="00D94B08" w:rsidRDefault="00583B86" w:rsidP="00FB265E">
            <w:pPr>
              <w:jc w:val="center"/>
              <w:rPr>
                <w:color w:val="000000"/>
                <w:lang w:val="en-US" w:eastAsia="en-US"/>
              </w:rPr>
            </w:pPr>
            <w:r w:rsidRPr="00D94B08">
              <w:rPr>
                <w:color w:val="000000"/>
                <w:sz w:val="22"/>
                <w:szCs w:val="22"/>
                <w:lang w:val="en-US" w:eastAsia="en-US"/>
              </w:rPr>
              <w:t>782</w:t>
            </w:r>
          </w:p>
        </w:tc>
        <w:tc>
          <w:tcPr>
            <w:tcW w:w="2160" w:type="dxa"/>
            <w:tcBorders>
              <w:top w:val="nil"/>
              <w:left w:val="nil"/>
              <w:bottom w:val="single" w:sz="4" w:space="0" w:color="auto"/>
              <w:right w:val="single" w:sz="4" w:space="0" w:color="auto"/>
            </w:tcBorders>
            <w:noWrap/>
            <w:vAlign w:val="bottom"/>
          </w:tcPr>
          <w:p w14:paraId="317A12EC" w14:textId="77777777" w:rsidR="00583B86" w:rsidRPr="00D94B08" w:rsidRDefault="00583B86" w:rsidP="00FB265E">
            <w:pPr>
              <w:jc w:val="center"/>
              <w:rPr>
                <w:color w:val="000000"/>
                <w:lang w:val="en-US" w:eastAsia="en-US"/>
              </w:rPr>
            </w:pPr>
            <w:r w:rsidRPr="00D94B08">
              <w:rPr>
                <w:color w:val="000000"/>
                <w:sz w:val="22"/>
                <w:szCs w:val="22"/>
                <w:lang w:val="en-US" w:eastAsia="en-US"/>
              </w:rPr>
              <w:t>14.2</w:t>
            </w:r>
          </w:p>
        </w:tc>
        <w:tc>
          <w:tcPr>
            <w:tcW w:w="1080" w:type="dxa"/>
            <w:tcBorders>
              <w:top w:val="nil"/>
              <w:left w:val="nil"/>
              <w:bottom w:val="single" w:sz="4" w:space="0" w:color="auto"/>
              <w:right w:val="single" w:sz="4" w:space="0" w:color="auto"/>
            </w:tcBorders>
            <w:noWrap/>
            <w:vAlign w:val="bottom"/>
          </w:tcPr>
          <w:p w14:paraId="3334B2BD" w14:textId="77777777" w:rsidR="00583B86" w:rsidRPr="00D94B08" w:rsidRDefault="00583B86" w:rsidP="00FB265E">
            <w:pPr>
              <w:jc w:val="center"/>
              <w:rPr>
                <w:color w:val="000000"/>
                <w:lang w:val="en-US" w:eastAsia="en-US"/>
              </w:rPr>
            </w:pPr>
            <w:r w:rsidRPr="00D94B08">
              <w:rPr>
                <w:color w:val="000000"/>
                <w:sz w:val="22"/>
                <w:szCs w:val="22"/>
                <w:lang w:val="en-US" w:eastAsia="en-US"/>
              </w:rPr>
              <w:t>13.2</w:t>
            </w:r>
          </w:p>
        </w:tc>
        <w:tc>
          <w:tcPr>
            <w:tcW w:w="1260" w:type="dxa"/>
            <w:tcBorders>
              <w:top w:val="nil"/>
              <w:left w:val="nil"/>
              <w:bottom w:val="single" w:sz="4" w:space="0" w:color="auto"/>
              <w:right w:val="single" w:sz="4" w:space="0" w:color="auto"/>
            </w:tcBorders>
            <w:noWrap/>
            <w:vAlign w:val="bottom"/>
          </w:tcPr>
          <w:p w14:paraId="07B9CFAF" w14:textId="77777777" w:rsidR="00583B86" w:rsidRPr="00D94B08" w:rsidRDefault="00583B86" w:rsidP="00FB265E">
            <w:pPr>
              <w:jc w:val="center"/>
              <w:rPr>
                <w:color w:val="000000"/>
                <w:lang w:val="en-US" w:eastAsia="en-US"/>
              </w:rPr>
            </w:pPr>
            <w:r w:rsidRPr="00D94B08">
              <w:rPr>
                <w:color w:val="000000"/>
                <w:sz w:val="22"/>
                <w:szCs w:val="22"/>
                <w:lang w:val="en-US" w:eastAsia="en-US"/>
              </w:rPr>
              <w:t>15.2</w:t>
            </w:r>
          </w:p>
        </w:tc>
        <w:tc>
          <w:tcPr>
            <w:tcW w:w="3731" w:type="dxa"/>
            <w:tcBorders>
              <w:top w:val="nil"/>
              <w:left w:val="nil"/>
              <w:bottom w:val="single" w:sz="4" w:space="0" w:color="auto"/>
              <w:right w:val="single" w:sz="4" w:space="0" w:color="auto"/>
            </w:tcBorders>
            <w:noWrap/>
            <w:vAlign w:val="bottom"/>
          </w:tcPr>
          <w:p w14:paraId="7E6129F0" w14:textId="77777777" w:rsidR="00583B86" w:rsidRPr="00D94B08" w:rsidRDefault="00583B86" w:rsidP="00FB265E">
            <w:pPr>
              <w:jc w:val="center"/>
              <w:rPr>
                <w:color w:val="000000"/>
                <w:lang w:val="en-US" w:eastAsia="en-US"/>
              </w:rPr>
            </w:pPr>
            <w:r w:rsidRPr="00D94B08">
              <w:rPr>
                <w:color w:val="000000"/>
                <w:sz w:val="22"/>
                <w:szCs w:val="22"/>
                <w:lang w:val="en-US" w:eastAsia="en-US"/>
              </w:rPr>
              <w:t>1.16 (1.04 - 1.28)</w:t>
            </w:r>
          </w:p>
        </w:tc>
      </w:tr>
      <w:tr w:rsidR="00583B86" w:rsidRPr="00D94B08" w14:paraId="62262534" w14:textId="77777777" w:rsidTr="00E14BFB">
        <w:trPr>
          <w:trHeight w:val="300"/>
        </w:trPr>
        <w:tc>
          <w:tcPr>
            <w:tcW w:w="2355" w:type="dxa"/>
            <w:tcBorders>
              <w:top w:val="nil"/>
              <w:left w:val="single" w:sz="4" w:space="0" w:color="auto"/>
              <w:bottom w:val="single" w:sz="4" w:space="0" w:color="auto"/>
              <w:right w:val="single" w:sz="4" w:space="0" w:color="auto"/>
            </w:tcBorders>
            <w:noWrap/>
            <w:vAlign w:val="bottom"/>
          </w:tcPr>
          <w:p w14:paraId="4BC1E9CC" w14:textId="77777777" w:rsidR="00583B86" w:rsidRPr="00D94B08" w:rsidRDefault="00583B86" w:rsidP="00FB265E">
            <w:pPr>
              <w:rPr>
                <w:color w:val="000000"/>
                <w:lang w:val="en-US" w:eastAsia="en-US"/>
              </w:rPr>
            </w:pPr>
            <w:r w:rsidRPr="00D94B08">
              <w:rPr>
                <w:color w:val="000000"/>
                <w:sz w:val="22"/>
                <w:szCs w:val="22"/>
                <w:lang w:val="en-US" w:eastAsia="en-US"/>
              </w:rPr>
              <w:lastRenderedPageBreak/>
              <w:t xml:space="preserve">   Yorkshire &amp; The Humber </w:t>
            </w:r>
          </w:p>
        </w:tc>
        <w:tc>
          <w:tcPr>
            <w:tcW w:w="1620" w:type="dxa"/>
            <w:tcBorders>
              <w:top w:val="nil"/>
              <w:left w:val="nil"/>
              <w:bottom w:val="single" w:sz="4" w:space="0" w:color="auto"/>
              <w:right w:val="single" w:sz="4" w:space="0" w:color="auto"/>
            </w:tcBorders>
            <w:noWrap/>
            <w:vAlign w:val="bottom"/>
          </w:tcPr>
          <w:p w14:paraId="69331E6F" w14:textId="77777777" w:rsidR="00583B86" w:rsidRPr="00D94B08" w:rsidRDefault="00583B86" w:rsidP="00FB265E">
            <w:pPr>
              <w:jc w:val="center"/>
              <w:rPr>
                <w:color w:val="000000"/>
                <w:lang w:val="en-US" w:eastAsia="en-US"/>
              </w:rPr>
            </w:pPr>
            <w:r w:rsidRPr="00D94B08">
              <w:rPr>
                <w:color w:val="000000"/>
                <w:sz w:val="22"/>
                <w:szCs w:val="22"/>
                <w:lang w:val="en-US" w:eastAsia="en-US"/>
              </w:rPr>
              <w:t>349</w:t>
            </w:r>
          </w:p>
        </w:tc>
        <w:tc>
          <w:tcPr>
            <w:tcW w:w="2160" w:type="dxa"/>
            <w:tcBorders>
              <w:top w:val="nil"/>
              <w:left w:val="nil"/>
              <w:bottom w:val="single" w:sz="4" w:space="0" w:color="auto"/>
              <w:right w:val="single" w:sz="4" w:space="0" w:color="auto"/>
            </w:tcBorders>
            <w:noWrap/>
            <w:vAlign w:val="bottom"/>
          </w:tcPr>
          <w:p w14:paraId="692374AB" w14:textId="77777777" w:rsidR="00583B86" w:rsidRPr="00D94B08" w:rsidRDefault="00583B86" w:rsidP="00FB265E">
            <w:pPr>
              <w:jc w:val="center"/>
              <w:rPr>
                <w:color w:val="000000"/>
                <w:lang w:val="en-US" w:eastAsia="en-US"/>
              </w:rPr>
            </w:pPr>
            <w:r w:rsidRPr="00D94B08">
              <w:rPr>
                <w:color w:val="000000"/>
                <w:sz w:val="22"/>
                <w:szCs w:val="22"/>
                <w:lang w:val="en-US" w:eastAsia="en-US"/>
              </w:rPr>
              <w:t>15.1</w:t>
            </w:r>
          </w:p>
        </w:tc>
        <w:tc>
          <w:tcPr>
            <w:tcW w:w="1080" w:type="dxa"/>
            <w:tcBorders>
              <w:top w:val="nil"/>
              <w:left w:val="nil"/>
              <w:bottom w:val="single" w:sz="4" w:space="0" w:color="auto"/>
              <w:right w:val="single" w:sz="4" w:space="0" w:color="auto"/>
            </w:tcBorders>
            <w:noWrap/>
            <w:vAlign w:val="bottom"/>
          </w:tcPr>
          <w:p w14:paraId="103FB6FD" w14:textId="77777777" w:rsidR="00583B86" w:rsidRPr="00D94B08" w:rsidRDefault="00583B86" w:rsidP="00FB265E">
            <w:pPr>
              <w:jc w:val="center"/>
              <w:rPr>
                <w:color w:val="000000"/>
                <w:lang w:val="en-US" w:eastAsia="en-US"/>
              </w:rPr>
            </w:pPr>
            <w:r w:rsidRPr="00D94B08">
              <w:rPr>
                <w:color w:val="000000"/>
                <w:sz w:val="22"/>
                <w:szCs w:val="22"/>
                <w:lang w:val="en-US" w:eastAsia="en-US"/>
              </w:rPr>
              <w:t>13.5</w:t>
            </w:r>
          </w:p>
        </w:tc>
        <w:tc>
          <w:tcPr>
            <w:tcW w:w="1260" w:type="dxa"/>
            <w:tcBorders>
              <w:top w:val="nil"/>
              <w:left w:val="nil"/>
              <w:bottom w:val="single" w:sz="4" w:space="0" w:color="auto"/>
              <w:right w:val="single" w:sz="4" w:space="0" w:color="auto"/>
            </w:tcBorders>
            <w:noWrap/>
            <w:vAlign w:val="bottom"/>
          </w:tcPr>
          <w:p w14:paraId="775BCCD7" w14:textId="77777777" w:rsidR="00583B86" w:rsidRPr="00D94B08" w:rsidRDefault="00583B86" w:rsidP="00FB265E">
            <w:pPr>
              <w:jc w:val="center"/>
              <w:rPr>
                <w:color w:val="000000"/>
                <w:lang w:val="en-US" w:eastAsia="en-US"/>
              </w:rPr>
            </w:pPr>
            <w:r w:rsidRPr="00D94B08">
              <w:rPr>
                <w:color w:val="000000"/>
                <w:sz w:val="22"/>
                <w:szCs w:val="22"/>
                <w:lang w:val="en-US" w:eastAsia="en-US"/>
              </w:rPr>
              <w:t>16.7</w:t>
            </w:r>
          </w:p>
        </w:tc>
        <w:tc>
          <w:tcPr>
            <w:tcW w:w="3731" w:type="dxa"/>
            <w:tcBorders>
              <w:top w:val="nil"/>
              <w:left w:val="nil"/>
              <w:bottom w:val="single" w:sz="4" w:space="0" w:color="auto"/>
              <w:right w:val="single" w:sz="4" w:space="0" w:color="auto"/>
            </w:tcBorders>
            <w:noWrap/>
            <w:vAlign w:val="bottom"/>
          </w:tcPr>
          <w:p w14:paraId="17CE5882" w14:textId="77777777" w:rsidR="00583B86" w:rsidRPr="00D94B08" w:rsidRDefault="00583B86" w:rsidP="00FB265E">
            <w:pPr>
              <w:jc w:val="center"/>
              <w:rPr>
                <w:color w:val="000000"/>
                <w:lang w:val="en-US" w:eastAsia="en-US"/>
              </w:rPr>
            </w:pPr>
            <w:r w:rsidRPr="00D94B08">
              <w:rPr>
                <w:color w:val="000000"/>
                <w:sz w:val="22"/>
                <w:szCs w:val="22"/>
                <w:lang w:val="en-US" w:eastAsia="en-US"/>
              </w:rPr>
              <w:t>1.18 (1.04 - 1.35)</w:t>
            </w:r>
          </w:p>
        </w:tc>
      </w:tr>
    </w:tbl>
    <w:p w14:paraId="6C6E1BA6" w14:textId="77777777" w:rsidR="00583B86" w:rsidRPr="00D94B08" w:rsidRDefault="00583B86" w:rsidP="00FB265E">
      <w:pPr>
        <w:spacing w:after="200" w:line="276" w:lineRule="auto"/>
        <w:rPr>
          <w:color w:val="000000"/>
          <w:sz w:val="22"/>
          <w:szCs w:val="22"/>
        </w:rPr>
      </w:pPr>
      <w:r w:rsidRPr="00D94B08">
        <w:rPr>
          <w:color w:val="000000"/>
          <w:sz w:val="22"/>
          <w:szCs w:val="22"/>
        </w:rPr>
        <w:t>IR: incidence rate; RR: rate ratio; py: person-years</w:t>
      </w:r>
    </w:p>
    <w:p w14:paraId="57278E63" w14:textId="77777777" w:rsidR="00583B86" w:rsidRPr="00D94B08" w:rsidRDefault="00583B86">
      <w:pPr>
        <w:spacing w:after="200" w:line="276" w:lineRule="auto"/>
        <w:rPr>
          <w:b/>
          <w:color w:val="000000"/>
          <w:sz w:val="20"/>
          <w:szCs w:val="18"/>
        </w:rPr>
      </w:pPr>
    </w:p>
    <w:p w14:paraId="238E5923" w14:textId="77777777" w:rsidR="00583B86" w:rsidRPr="00D94B08" w:rsidRDefault="00583B86" w:rsidP="00A15145">
      <w:pPr>
        <w:spacing w:after="200" w:line="276" w:lineRule="auto"/>
        <w:rPr>
          <w:color w:val="000000"/>
          <w:sz w:val="22"/>
          <w:szCs w:val="22"/>
        </w:rPr>
      </w:pPr>
    </w:p>
    <w:p w14:paraId="26FE6025" w14:textId="77777777" w:rsidR="00583B86" w:rsidRPr="00D94B08" w:rsidRDefault="00583B86">
      <w:pPr>
        <w:spacing w:after="200" w:line="276" w:lineRule="auto"/>
        <w:rPr>
          <w:b/>
          <w:color w:val="000000"/>
          <w:sz w:val="20"/>
          <w:szCs w:val="18"/>
        </w:rPr>
      </w:pPr>
    </w:p>
    <w:p w14:paraId="07BB2969" w14:textId="77777777" w:rsidR="00583B86" w:rsidRPr="00D94B08" w:rsidRDefault="00583B86">
      <w:pPr>
        <w:spacing w:after="200" w:line="276" w:lineRule="auto"/>
        <w:rPr>
          <w:b/>
          <w:color w:val="000000"/>
          <w:sz w:val="20"/>
          <w:szCs w:val="18"/>
        </w:rPr>
      </w:pPr>
      <w:r w:rsidRPr="00D94B08">
        <w:rPr>
          <w:b/>
          <w:color w:val="000000"/>
          <w:sz w:val="20"/>
          <w:szCs w:val="18"/>
        </w:rPr>
        <w:br w:type="page"/>
      </w:r>
    </w:p>
    <w:tbl>
      <w:tblPr>
        <w:tblW w:w="12075" w:type="dxa"/>
        <w:tblInd w:w="93" w:type="dxa"/>
        <w:tblLook w:val="00A0" w:firstRow="1" w:lastRow="0" w:firstColumn="1" w:lastColumn="0" w:noHBand="0" w:noVBand="0"/>
      </w:tblPr>
      <w:tblGrid>
        <w:gridCol w:w="3075"/>
        <w:gridCol w:w="2520"/>
        <w:gridCol w:w="2880"/>
        <w:gridCol w:w="3600"/>
      </w:tblGrid>
      <w:tr w:rsidR="00583B86" w:rsidRPr="00D94B08" w14:paraId="046A3B15" w14:textId="77777777" w:rsidTr="00B06DCB">
        <w:trPr>
          <w:trHeight w:val="300"/>
        </w:trPr>
        <w:tc>
          <w:tcPr>
            <w:tcW w:w="12075" w:type="dxa"/>
            <w:gridSpan w:val="4"/>
            <w:tcBorders>
              <w:top w:val="single" w:sz="4" w:space="0" w:color="auto"/>
              <w:left w:val="single" w:sz="4" w:space="0" w:color="auto"/>
              <w:bottom w:val="single" w:sz="4" w:space="0" w:color="auto"/>
              <w:right w:val="single" w:sz="4" w:space="0" w:color="000000"/>
            </w:tcBorders>
            <w:noWrap/>
            <w:vAlign w:val="bottom"/>
          </w:tcPr>
          <w:p w14:paraId="32305CF0" w14:textId="289F7F0D" w:rsidR="00583B86" w:rsidRPr="00D94B08" w:rsidRDefault="00583B86" w:rsidP="007650F9">
            <w:pPr>
              <w:rPr>
                <w:color w:val="000000"/>
                <w:lang w:val="en-US" w:eastAsia="en-US"/>
              </w:rPr>
            </w:pPr>
            <w:r w:rsidRPr="00D94B08">
              <w:rPr>
                <w:b/>
                <w:color w:val="000000"/>
                <w:sz w:val="22"/>
                <w:szCs w:val="22"/>
                <w:lang w:val="en-US" w:eastAsia="en-US"/>
              </w:rPr>
              <w:lastRenderedPageBreak/>
              <w:t>Table 3.</w:t>
            </w:r>
            <w:r w:rsidRPr="00D94B08">
              <w:rPr>
                <w:color w:val="000000"/>
                <w:sz w:val="22"/>
                <w:szCs w:val="22"/>
                <w:lang w:val="en-US" w:eastAsia="en-US"/>
              </w:rPr>
              <w:t xml:space="preserve"> One-year excess mortality from all causes after fracture, stratified by sex, index year, and major causes of death</w:t>
            </w:r>
            <w:r w:rsidR="00C95CB4">
              <w:rPr>
                <w:color w:val="000000"/>
                <w:sz w:val="22"/>
                <w:szCs w:val="22"/>
                <w:lang w:val="en-US" w:eastAsia="en-US"/>
              </w:rPr>
              <w:t xml:space="preserve"> (adjusted for age).</w:t>
            </w:r>
          </w:p>
        </w:tc>
      </w:tr>
      <w:tr w:rsidR="00583B86" w:rsidRPr="00D94B08" w14:paraId="4E2D36CF"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A694A93" w14:textId="77777777" w:rsidR="00583B86" w:rsidRPr="00D94B08" w:rsidRDefault="00583B86" w:rsidP="00A15145">
            <w:pPr>
              <w:rPr>
                <w:color w:val="000000"/>
                <w:lang w:val="en-US" w:eastAsia="en-US"/>
              </w:rPr>
            </w:pPr>
            <w:r w:rsidRPr="00D94B08">
              <w:rPr>
                <w:color w:val="000000"/>
                <w:sz w:val="22"/>
                <w:szCs w:val="22"/>
                <w:lang w:val="en-US" w:eastAsia="en-US"/>
              </w:rPr>
              <w:t> </w:t>
            </w:r>
          </w:p>
        </w:tc>
        <w:tc>
          <w:tcPr>
            <w:tcW w:w="2520" w:type="dxa"/>
            <w:tcBorders>
              <w:top w:val="nil"/>
              <w:left w:val="nil"/>
              <w:bottom w:val="single" w:sz="4" w:space="0" w:color="auto"/>
              <w:right w:val="single" w:sz="4" w:space="0" w:color="auto"/>
            </w:tcBorders>
            <w:noWrap/>
            <w:vAlign w:val="bottom"/>
          </w:tcPr>
          <w:p w14:paraId="345EE137" w14:textId="77777777" w:rsidR="00583B86" w:rsidRPr="00D94B08" w:rsidRDefault="00583B86" w:rsidP="00A15145">
            <w:pPr>
              <w:jc w:val="center"/>
              <w:rPr>
                <w:color w:val="000000"/>
                <w:lang w:val="en-US" w:eastAsia="en-US"/>
              </w:rPr>
            </w:pPr>
            <w:r w:rsidRPr="00D94B08">
              <w:rPr>
                <w:color w:val="000000"/>
                <w:sz w:val="22"/>
                <w:szCs w:val="22"/>
                <w:lang w:val="en-US" w:eastAsia="en-US"/>
              </w:rPr>
              <w:t>N deaths observed</w:t>
            </w:r>
          </w:p>
        </w:tc>
        <w:tc>
          <w:tcPr>
            <w:tcW w:w="2880" w:type="dxa"/>
            <w:tcBorders>
              <w:top w:val="nil"/>
              <w:left w:val="nil"/>
              <w:bottom w:val="single" w:sz="4" w:space="0" w:color="auto"/>
              <w:right w:val="single" w:sz="4" w:space="0" w:color="auto"/>
            </w:tcBorders>
            <w:noWrap/>
            <w:vAlign w:val="bottom"/>
          </w:tcPr>
          <w:p w14:paraId="36F2BF8A" w14:textId="77777777" w:rsidR="00583B86" w:rsidRPr="00D94B08" w:rsidRDefault="00583B86" w:rsidP="00A15145">
            <w:pPr>
              <w:jc w:val="center"/>
              <w:rPr>
                <w:color w:val="000000"/>
                <w:lang w:val="en-US" w:eastAsia="en-US"/>
              </w:rPr>
            </w:pPr>
            <w:r w:rsidRPr="00D94B08">
              <w:rPr>
                <w:color w:val="000000"/>
                <w:sz w:val="22"/>
                <w:szCs w:val="22"/>
                <w:lang w:val="en-US" w:eastAsia="en-US"/>
              </w:rPr>
              <w:t>N deaths expected</w:t>
            </w:r>
          </w:p>
        </w:tc>
        <w:tc>
          <w:tcPr>
            <w:tcW w:w="3600" w:type="dxa"/>
            <w:tcBorders>
              <w:top w:val="nil"/>
              <w:left w:val="nil"/>
              <w:bottom w:val="single" w:sz="4" w:space="0" w:color="auto"/>
              <w:right w:val="single" w:sz="4" w:space="0" w:color="auto"/>
            </w:tcBorders>
            <w:noWrap/>
            <w:vAlign w:val="bottom"/>
          </w:tcPr>
          <w:p w14:paraId="19AAF2B1" w14:textId="77777777" w:rsidR="00583B86" w:rsidRPr="00D94B08" w:rsidRDefault="00583B86" w:rsidP="00A15145">
            <w:pPr>
              <w:jc w:val="center"/>
              <w:rPr>
                <w:color w:val="000000"/>
                <w:lang w:val="en-US" w:eastAsia="en-US"/>
              </w:rPr>
            </w:pPr>
            <w:r w:rsidRPr="00D94B08">
              <w:rPr>
                <w:color w:val="000000"/>
                <w:sz w:val="22"/>
                <w:szCs w:val="22"/>
                <w:lang w:val="en-US" w:eastAsia="en-US"/>
              </w:rPr>
              <w:t>SMR (95% CI)</w:t>
            </w:r>
          </w:p>
        </w:tc>
      </w:tr>
      <w:tr w:rsidR="00583B86" w:rsidRPr="00D94B08" w14:paraId="11249A79"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379C7A1E" w14:textId="77777777" w:rsidR="00583B86" w:rsidRPr="00D94B08" w:rsidRDefault="00583B86" w:rsidP="00A15145">
            <w:pPr>
              <w:rPr>
                <w:color w:val="000000"/>
                <w:lang w:val="en-US" w:eastAsia="en-US"/>
              </w:rPr>
            </w:pPr>
            <w:r w:rsidRPr="00D94B08">
              <w:rPr>
                <w:color w:val="000000"/>
                <w:sz w:val="22"/>
                <w:szCs w:val="22"/>
                <w:lang w:val="en-US" w:eastAsia="en-US"/>
              </w:rPr>
              <w:t>Overall*</w:t>
            </w:r>
          </w:p>
        </w:tc>
        <w:tc>
          <w:tcPr>
            <w:tcW w:w="2520" w:type="dxa"/>
            <w:tcBorders>
              <w:top w:val="nil"/>
              <w:left w:val="nil"/>
              <w:bottom w:val="single" w:sz="4" w:space="0" w:color="auto"/>
              <w:right w:val="single" w:sz="4" w:space="0" w:color="auto"/>
            </w:tcBorders>
            <w:noWrap/>
            <w:vAlign w:val="bottom"/>
          </w:tcPr>
          <w:p w14:paraId="09059F5A" w14:textId="77777777" w:rsidR="00583B86" w:rsidRPr="00D94B08" w:rsidRDefault="00583B86" w:rsidP="00A15145">
            <w:pPr>
              <w:jc w:val="center"/>
              <w:rPr>
                <w:color w:val="000000"/>
                <w:lang w:val="en-US" w:eastAsia="en-US"/>
              </w:rPr>
            </w:pPr>
            <w:r w:rsidRPr="00D94B08">
              <w:rPr>
                <w:color w:val="000000"/>
                <w:sz w:val="22"/>
                <w:szCs w:val="22"/>
                <w:lang w:val="en-US" w:eastAsia="en-US"/>
              </w:rPr>
              <w:t>11217</w:t>
            </w:r>
          </w:p>
        </w:tc>
        <w:tc>
          <w:tcPr>
            <w:tcW w:w="2880" w:type="dxa"/>
            <w:tcBorders>
              <w:top w:val="nil"/>
              <w:left w:val="nil"/>
              <w:bottom w:val="single" w:sz="4" w:space="0" w:color="auto"/>
              <w:right w:val="single" w:sz="4" w:space="0" w:color="auto"/>
            </w:tcBorders>
            <w:noWrap/>
            <w:vAlign w:val="bottom"/>
          </w:tcPr>
          <w:p w14:paraId="37BEF9FE" w14:textId="77777777" w:rsidR="00583B86" w:rsidRPr="00D94B08" w:rsidRDefault="00583B86" w:rsidP="00A15145">
            <w:pPr>
              <w:jc w:val="center"/>
              <w:rPr>
                <w:color w:val="000000"/>
                <w:lang w:val="en-US" w:eastAsia="en-US"/>
              </w:rPr>
            </w:pPr>
            <w:r w:rsidRPr="00D94B08">
              <w:rPr>
                <w:color w:val="000000"/>
                <w:sz w:val="22"/>
                <w:szCs w:val="22"/>
                <w:lang w:val="en-US" w:eastAsia="en-US"/>
              </w:rPr>
              <w:t>3561</w:t>
            </w:r>
          </w:p>
        </w:tc>
        <w:tc>
          <w:tcPr>
            <w:tcW w:w="3600" w:type="dxa"/>
            <w:tcBorders>
              <w:top w:val="nil"/>
              <w:left w:val="nil"/>
              <w:bottom w:val="single" w:sz="4" w:space="0" w:color="auto"/>
              <w:right w:val="single" w:sz="4" w:space="0" w:color="auto"/>
            </w:tcBorders>
            <w:noWrap/>
            <w:vAlign w:val="bottom"/>
          </w:tcPr>
          <w:p w14:paraId="348944E3" w14:textId="77777777" w:rsidR="00583B86" w:rsidRPr="00D94B08" w:rsidRDefault="00583B86" w:rsidP="00A15145">
            <w:pPr>
              <w:jc w:val="center"/>
              <w:rPr>
                <w:color w:val="000000"/>
                <w:lang w:val="en-US" w:eastAsia="en-US"/>
              </w:rPr>
            </w:pPr>
            <w:r w:rsidRPr="00D94B08">
              <w:rPr>
                <w:color w:val="000000"/>
                <w:sz w:val="22"/>
                <w:szCs w:val="22"/>
                <w:lang w:val="en-US" w:eastAsia="en-US"/>
              </w:rPr>
              <w:t>3.15 (3.09 - 3.21)</w:t>
            </w:r>
          </w:p>
        </w:tc>
      </w:tr>
      <w:tr w:rsidR="00583B86" w:rsidRPr="00D94B08" w14:paraId="2A3A0BE4"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4446DDE9" w14:textId="77777777" w:rsidR="00583B86" w:rsidRPr="00D94B08" w:rsidRDefault="00583B86" w:rsidP="00A15145">
            <w:pPr>
              <w:rPr>
                <w:color w:val="000000"/>
                <w:lang w:val="en-US" w:eastAsia="en-US"/>
              </w:rPr>
            </w:pPr>
            <w:r w:rsidRPr="00D94B08">
              <w:rPr>
                <w:color w:val="000000"/>
                <w:sz w:val="22"/>
                <w:szCs w:val="22"/>
                <w:lang w:val="en-US" w:eastAsia="en-US"/>
              </w:rPr>
              <w:t>By sex**</w:t>
            </w:r>
          </w:p>
        </w:tc>
        <w:tc>
          <w:tcPr>
            <w:tcW w:w="2520" w:type="dxa"/>
            <w:tcBorders>
              <w:top w:val="nil"/>
              <w:left w:val="nil"/>
              <w:bottom w:val="single" w:sz="4" w:space="0" w:color="auto"/>
              <w:right w:val="single" w:sz="4" w:space="0" w:color="auto"/>
            </w:tcBorders>
            <w:noWrap/>
            <w:vAlign w:val="bottom"/>
          </w:tcPr>
          <w:p w14:paraId="6DBC1832"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c>
          <w:tcPr>
            <w:tcW w:w="2880" w:type="dxa"/>
            <w:tcBorders>
              <w:top w:val="nil"/>
              <w:left w:val="nil"/>
              <w:bottom w:val="single" w:sz="4" w:space="0" w:color="auto"/>
              <w:right w:val="single" w:sz="4" w:space="0" w:color="auto"/>
            </w:tcBorders>
            <w:noWrap/>
            <w:vAlign w:val="bottom"/>
          </w:tcPr>
          <w:p w14:paraId="63F92D39"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6948D5AC"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r>
      <w:tr w:rsidR="00583B86" w:rsidRPr="00D94B08" w14:paraId="67C4FCA7"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FE6EC98" w14:textId="77777777" w:rsidR="00583B86" w:rsidRPr="00D94B08" w:rsidRDefault="00583B86" w:rsidP="00A15145">
            <w:pPr>
              <w:rPr>
                <w:color w:val="000000"/>
                <w:lang w:val="en-US" w:eastAsia="en-US"/>
              </w:rPr>
            </w:pPr>
            <w:r w:rsidRPr="00D94B08">
              <w:rPr>
                <w:color w:val="000000"/>
                <w:sz w:val="22"/>
                <w:szCs w:val="22"/>
                <w:lang w:val="en-US" w:eastAsia="en-US"/>
              </w:rPr>
              <w:t xml:space="preserve">   Male</w:t>
            </w:r>
          </w:p>
        </w:tc>
        <w:tc>
          <w:tcPr>
            <w:tcW w:w="2520" w:type="dxa"/>
            <w:tcBorders>
              <w:top w:val="nil"/>
              <w:left w:val="nil"/>
              <w:bottom w:val="single" w:sz="4" w:space="0" w:color="auto"/>
              <w:right w:val="single" w:sz="4" w:space="0" w:color="auto"/>
            </w:tcBorders>
            <w:noWrap/>
            <w:vAlign w:val="bottom"/>
          </w:tcPr>
          <w:p w14:paraId="290F30A1" w14:textId="77777777" w:rsidR="00583B86" w:rsidRPr="00D94B08" w:rsidRDefault="00583B86" w:rsidP="00A15145">
            <w:pPr>
              <w:jc w:val="center"/>
              <w:rPr>
                <w:color w:val="000000"/>
                <w:lang w:val="en-US" w:eastAsia="en-US"/>
              </w:rPr>
            </w:pPr>
            <w:r w:rsidRPr="00D94B08">
              <w:rPr>
                <w:color w:val="000000"/>
                <w:sz w:val="22"/>
                <w:szCs w:val="22"/>
                <w:lang w:val="en-US" w:eastAsia="en-US"/>
              </w:rPr>
              <w:t>4078</w:t>
            </w:r>
          </w:p>
        </w:tc>
        <w:tc>
          <w:tcPr>
            <w:tcW w:w="2880" w:type="dxa"/>
            <w:tcBorders>
              <w:top w:val="nil"/>
              <w:left w:val="nil"/>
              <w:bottom w:val="single" w:sz="4" w:space="0" w:color="auto"/>
              <w:right w:val="single" w:sz="4" w:space="0" w:color="auto"/>
            </w:tcBorders>
            <w:noWrap/>
            <w:vAlign w:val="bottom"/>
          </w:tcPr>
          <w:p w14:paraId="46C946D0" w14:textId="77777777" w:rsidR="00583B86" w:rsidRPr="00D94B08" w:rsidRDefault="00583B86" w:rsidP="00A15145">
            <w:pPr>
              <w:jc w:val="center"/>
              <w:rPr>
                <w:color w:val="000000"/>
                <w:lang w:val="en-US" w:eastAsia="en-US"/>
              </w:rPr>
            </w:pPr>
            <w:r w:rsidRPr="00D94B08">
              <w:rPr>
                <w:color w:val="000000"/>
                <w:sz w:val="22"/>
                <w:szCs w:val="22"/>
                <w:lang w:val="en-US" w:eastAsia="en-US"/>
              </w:rPr>
              <w:t>943</w:t>
            </w:r>
          </w:p>
        </w:tc>
        <w:tc>
          <w:tcPr>
            <w:tcW w:w="3600" w:type="dxa"/>
            <w:tcBorders>
              <w:top w:val="nil"/>
              <w:left w:val="nil"/>
              <w:bottom w:val="single" w:sz="4" w:space="0" w:color="auto"/>
              <w:right w:val="single" w:sz="4" w:space="0" w:color="auto"/>
            </w:tcBorders>
            <w:noWrap/>
            <w:vAlign w:val="bottom"/>
          </w:tcPr>
          <w:p w14:paraId="32AE677D" w14:textId="77777777" w:rsidR="00583B86" w:rsidRPr="00D94B08" w:rsidRDefault="00583B86" w:rsidP="00A15145">
            <w:pPr>
              <w:jc w:val="center"/>
              <w:rPr>
                <w:color w:val="000000"/>
                <w:lang w:val="en-US" w:eastAsia="en-US"/>
              </w:rPr>
            </w:pPr>
            <w:r w:rsidRPr="00D94B08">
              <w:rPr>
                <w:color w:val="000000"/>
                <w:sz w:val="22"/>
                <w:szCs w:val="22"/>
                <w:lang w:val="en-US" w:eastAsia="en-US"/>
              </w:rPr>
              <w:t>4.32 (4.19 - 4.46)</w:t>
            </w:r>
          </w:p>
        </w:tc>
      </w:tr>
      <w:tr w:rsidR="00583B86" w:rsidRPr="00D94B08" w14:paraId="733FBBBF"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B1D6F22" w14:textId="77777777" w:rsidR="00583B86" w:rsidRPr="00D94B08" w:rsidRDefault="00583B86" w:rsidP="00A15145">
            <w:pPr>
              <w:rPr>
                <w:color w:val="000000"/>
                <w:lang w:val="en-US" w:eastAsia="en-US"/>
              </w:rPr>
            </w:pPr>
            <w:r w:rsidRPr="00D94B08">
              <w:rPr>
                <w:color w:val="000000"/>
                <w:sz w:val="22"/>
                <w:szCs w:val="22"/>
                <w:lang w:val="en-US" w:eastAsia="en-US"/>
              </w:rPr>
              <w:t xml:space="preserve">   Female</w:t>
            </w:r>
          </w:p>
        </w:tc>
        <w:tc>
          <w:tcPr>
            <w:tcW w:w="2520" w:type="dxa"/>
            <w:tcBorders>
              <w:top w:val="nil"/>
              <w:left w:val="nil"/>
              <w:bottom w:val="single" w:sz="4" w:space="0" w:color="auto"/>
              <w:right w:val="single" w:sz="4" w:space="0" w:color="auto"/>
            </w:tcBorders>
            <w:noWrap/>
            <w:vAlign w:val="bottom"/>
          </w:tcPr>
          <w:p w14:paraId="033D2460" w14:textId="77777777" w:rsidR="00583B86" w:rsidRPr="00D94B08" w:rsidRDefault="00583B86" w:rsidP="00A15145">
            <w:pPr>
              <w:jc w:val="center"/>
              <w:rPr>
                <w:color w:val="000000"/>
                <w:lang w:val="en-US" w:eastAsia="en-US"/>
              </w:rPr>
            </w:pPr>
            <w:r w:rsidRPr="00D94B08">
              <w:rPr>
                <w:color w:val="000000"/>
                <w:sz w:val="22"/>
                <w:szCs w:val="22"/>
                <w:lang w:val="en-US" w:eastAsia="en-US"/>
              </w:rPr>
              <w:t>7139</w:t>
            </w:r>
          </w:p>
        </w:tc>
        <w:tc>
          <w:tcPr>
            <w:tcW w:w="2880" w:type="dxa"/>
            <w:tcBorders>
              <w:top w:val="nil"/>
              <w:left w:val="nil"/>
              <w:bottom w:val="single" w:sz="4" w:space="0" w:color="auto"/>
              <w:right w:val="single" w:sz="4" w:space="0" w:color="auto"/>
            </w:tcBorders>
            <w:noWrap/>
            <w:vAlign w:val="bottom"/>
          </w:tcPr>
          <w:p w14:paraId="5BA9331E" w14:textId="77777777" w:rsidR="00583B86" w:rsidRPr="00D94B08" w:rsidRDefault="00583B86" w:rsidP="00A15145">
            <w:pPr>
              <w:jc w:val="center"/>
              <w:rPr>
                <w:color w:val="000000"/>
                <w:lang w:val="en-US" w:eastAsia="en-US"/>
              </w:rPr>
            </w:pPr>
            <w:r w:rsidRPr="00D94B08">
              <w:rPr>
                <w:color w:val="000000"/>
                <w:sz w:val="22"/>
                <w:szCs w:val="22"/>
                <w:lang w:val="en-US" w:eastAsia="en-US"/>
              </w:rPr>
              <w:t>2618</w:t>
            </w:r>
          </w:p>
        </w:tc>
        <w:tc>
          <w:tcPr>
            <w:tcW w:w="3600" w:type="dxa"/>
            <w:tcBorders>
              <w:top w:val="nil"/>
              <w:left w:val="nil"/>
              <w:bottom w:val="single" w:sz="4" w:space="0" w:color="auto"/>
              <w:right w:val="single" w:sz="4" w:space="0" w:color="auto"/>
            </w:tcBorders>
            <w:noWrap/>
            <w:vAlign w:val="bottom"/>
          </w:tcPr>
          <w:p w14:paraId="051AE13E" w14:textId="77777777" w:rsidR="00583B86" w:rsidRPr="00D94B08" w:rsidRDefault="00583B86" w:rsidP="00A15145">
            <w:pPr>
              <w:jc w:val="center"/>
              <w:rPr>
                <w:color w:val="000000"/>
                <w:lang w:val="en-US" w:eastAsia="en-US"/>
              </w:rPr>
            </w:pPr>
            <w:r w:rsidRPr="00D94B08">
              <w:rPr>
                <w:color w:val="000000"/>
                <w:sz w:val="22"/>
                <w:szCs w:val="22"/>
                <w:lang w:val="en-US" w:eastAsia="en-US"/>
              </w:rPr>
              <w:t>2.73 (2.66 - 2.79)</w:t>
            </w:r>
          </w:p>
        </w:tc>
      </w:tr>
      <w:tr w:rsidR="00583B86" w:rsidRPr="00D94B08" w14:paraId="38F51AF6"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F127F60" w14:textId="77777777" w:rsidR="00583B86" w:rsidRPr="00D94B08" w:rsidRDefault="00583B86" w:rsidP="00A15145">
            <w:pPr>
              <w:rPr>
                <w:color w:val="000000"/>
                <w:lang w:val="en-US" w:eastAsia="en-US"/>
              </w:rPr>
            </w:pPr>
            <w:r w:rsidRPr="00D94B08">
              <w:rPr>
                <w:color w:val="000000"/>
                <w:sz w:val="22"/>
                <w:szCs w:val="22"/>
                <w:lang w:val="en-US" w:eastAsia="en-US"/>
              </w:rPr>
              <w:t>By index year***</w:t>
            </w:r>
          </w:p>
        </w:tc>
        <w:tc>
          <w:tcPr>
            <w:tcW w:w="2520" w:type="dxa"/>
            <w:tcBorders>
              <w:top w:val="nil"/>
              <w:left w:val="nil"/>
              <w:bottom w:val="single" w:sz="4" w:space="0" w:color="auto"/>
              <w:right w:val="single" w:sz="4" w:space="0" w:color="auto"/>
            </w:tcBorders>
            <w:noWrap/>
            <w:vAlign w:val="bottom"/>
          </w:tcPr>
          <w:p w14:paraId="33AD82C8"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c>
          <w:tcPr>
            <w:tcW w:w="2880" w:type="dxa"/>
            <w:tcBorders>
              <w:top w:val="nil"/>
              <w:left w:val="nil"/>
              <w:bottom w:val="single" w:sz="4" w:space="0" w:color="auto"/>
              <w:right w:val="single" w:sz="4" w:space="0" w:color="auto"/>
            </w:tcBorders>
            <w:noWrap/>
            <w:vAlign w:val="bottom"/>
          </w:tcPr>
          <w:p w14:paraId="227F04B4"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7DE44341" w14:textId="77777777" w:rsidR="00583B86" w:rsidRPr="00D94B08" w:rsidRDefault="00583B86" w:rsidP="00A15145">
            <w:pPr>
              <w:jc w:val="center"/>
              <w:rPr>
                <w:color w:val="000000"/>
                <w:lang w:val="en-US" w:eastAsia="en-US"/>
              </w:rPr>
            </w:pPr>
            <w:r w:rsidRPr="00D94B08">
              <w:rPr>
                <w:color w:val="000000"/>
                <w:sz w:val="22"/>
                <w:szCs w:val="22"/>
                <w:lang w:val="en-US" w:eastAsia="en-US"/>
              </w:rPr>
              <w:t> </w:t>
            </w:r>
          </w:p>
        </w:tc>
      </w:tr>
      <w:tr w:rsidR="00583B86" w:rsidRPr="00D94B08" w14:paraId="01FCDC11"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2E181D12" w14:textId="77777777" w:rsidR="00583B86" w:rsidRPr="00D94B08" w:rsidRDefault="00583B86" w:rsidP="00A15145">
            <w:pPr>
              <w:rPr>
                <w:color w:val="000000"/>
                <w:lang w:val="en-US" w:eastAsia="en-US"/>
              </w:rPr>
            </w:pPr>
            <w:r w:rsidRPr="00D94B08">
              <w:rPr>
                <w:color w:val="000000"/>
                <w:sz w:val="22"/>
                <w:szCs w:val="22"/>
                <w:lang w:val="en-US" w:eastAsia="en-US"/>
              </w:rPr>
              <w:t>2001</w:t>
            </w:r>
          </w:p>
        </w:tc>
        <w:tc>
          <w:tcPr>
            <w:tcW w:w="2520" w:type="dxa"/>
            <w:tcBorders>
              <w:top w:val="nil"/>
              <w:left w:val="nil"/>
              <w:bottom w:val="single" w:sz="4" w:space="0" w:color="auto"/>
              <w:right w:val="single" w:sz="4" w:space="0" w:color="auto"/>
            </w:tcBorders>
            <w:noWrap/>
            <w:vAlign w:val="bottom"/>
          </w:tcPr>
          <w:p w14:paraId="6E1FFCE0" w14:textId="77777777" w:rsidR="00583B86" w:rsidRPr="00D94B08" w:rsidRDefault="00583B86" w:rsidP="00A15145">
            <w:pPr>
              <w:jc w:val="center"/>
              <w:rPr>
                <w:color w:val="000000"/>
                <w:lang w:val="en-US" w:eastAsia="en-US"/>
              </w:rPr>
            </w:pPr>
            <w:r w:rsidRPr="00D94B08">
              <w:rPr>
                <w:color w:val="000000"/>
                <w:sz w:val="22"/>
                <w:szCs w:val="22"/>
                <w:lang w:val="en-US" w:eastAsia="en-US"/>
              </w:rPr>
              <w:t>855</w:t>
            </w:r>
          </w:p>
        </w:tc>
        <w:tc>
          <w:tcPr>
            <w:tcW w:w="2880" w:type="dxa"/>
            <w:tcBorders>
              <w:top w:val="nil"/>
              <w:left w:val="nil"/>
              <w:bottom w:val="single" w:sz="4" w:space="0" w:color="auto"/>
              <w:right w:val="single" w:sz="4" w:space="0" w:color="auto"/>
            </w:tcBorders>
            <w:noWrap/>
            <w:vAlign w:val="bottom"/>
          </w:tcPr>
          <w:p w14:paraId="5C350633" w14:textId="77777777" w:rsidR="00583B86" w:rsidRPr="00D94B08" w:rsidRDefault="00583B86" w:rsidP="00A15145">
            <w:pPr>
              <w:jc w:val="center"/>
              <w:rPr>
                <w:color w:val="000000"/>
                <w:lang w:val="en-US" w:eastAsia="en-US"/>
              </w:rPr>
            </w:pPr>
            <w:r w:rsidRPr="00D94B08">
              <w:rPr>
                <w:color w:val="000000"/>
                <w:sz w:val="22"/>
                <w:szCs w:val="22"/>
                <w:lang w:val="en-US" w:eastAsia="en-US"/>
              </w:rPr>
              <w:t>297</w:t>
            </w:r>
          </w:p>
        </w:tc>
        <w:tc>
          <w:tcPr>
            <w:tcW w:w="3600" w:type="dxa"/>
            <w:tcBorders>
              <w:top w:val="nil"/>
              <w:left w:val="nil"/>
              <w:bottom w:val="single" w:sz="4" w:space="0" w:color="auto"/>
              <w:right w:val="single" w:sz="4" w:space="0" w:color="auto"/>
            </w:tcBorders>
            <w:noWrap/>
            <w:vAlign w:val="bottom"/>
          </w:tcPr>
          <w:p w14:paraId="793BB0DC" w14:textId="77777777" w:rsidR="00583B86" w:rsidRPr="00D94B08" w:rsidRDefault="00583B86" w:rsidP="00A15145">
            <w:pPr>
              <w:jc w:val="center"/>
              <w:rPr>
                <w:color w:val="000000"/>
                <w:lang w:val="en-US" w:eastAsia="en-US"/>
              </w:rPr>
            </w:pPr>
            <w:r w:rsidRPr="00D94B08">
              <w:rPr>
                <w:color w:val="000000"/>
                <w:sz w:val="22"/>
                <w:szCs w:val="22"/>
                <w:lang w:val="en-US" w:eastAsia="en-US"/>
              </w:rPr>
              <w:t>2.88 (2.68 - 3.07)</w:t>
            </w:r>
          </w:p>
        </w:tc>
      </w:tr>
      <w:tr w:rsidR="00583B86" w:rsidRPr="00D94B08" w14:paraId="1818F1DE"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5C931A44" w14:textId="77777777" w:rsidR="00583B86" w:rsidRPr="00D94B08" w:rsidRDefault="00583B86" w:rsidP="00A15145">
            <w:pPr>
              <w:rPr>
                <w:color w:val="000000"/>
                <w:lang w:val="en-US" w:eastAsia="en-US"/>
              </w:rPr>
            </w:pPr>
            <w:r w:rsidRPr="00D94B08">
              <w:rPr>
                <w:color w:val="000000"/>
                <w:sz w:val="22"/>
                <w:szCs w:val="22"/>
                <w:lang w:val="en-US" w:eastAsia="en-US"/>
              </w:rPr>
              <w:t>2002</w:t>
            </w:r>
          </w:p>
        </w:tc>
        <w:tc>
          <w:tcPr>
            <w:tcW w:w="2520" w:type="dxa"/>
            <w:tcBorders>
              <w:top w:val="nil"/>
              <w:left w:val="nil"/>
              <w:bottom w:val="single" w:sz="4" w:space="0" w:color="auto"/>
              <w:right w:val="single" w:sz="4" w:space="0" w:color="auto"/>
            </w:tcBorders>
            <w:noWrap/>
            <w:vAlign w:val="bottom"/>
          </w:tcPr>
          <w:p w14:paraId="12639559" w14:textId="77777777" w:rsidR="00583B86" w:rsidRPr="00D94B08" w:rsidRDefault="00583B86" w:rsidP="00A15145">
            <w:pPr>
              <w:jc w:val="center"/>
              <w:rPr>
                <w:color w:val="000000"/>
                <w:lang w:val="en-US" w:eastAsia="en-US"/>
              </w:rPr>
            </w:pPr>
            <w:r w:rsidRPr="00D94B08">
              <w:rPr>
                <w:color w:val="000000"/>
                <w:sz w:val="22"/>
                <w:szCs w:val="22"/>
                <w:lang w:val="en-US" w:eastAsia="en-US"/>
              </w:rPr>
              <w:t>1007</w:t>
            </w:r>
          </w:p>
        </w:tc>
        <w:tc>
          <w:tcPr>
            <w:tcW w:w="2880" w:type="dxa"/>
            <w:tcBorders>
              <w:top w:val="nil"/>
              <w:left w:val="nil"/>
              <w:bottom w:val="single" w:sz="4" w:space="0" w:color="auto"/>
              <w:right w:val="single" w:sz="4" w:space="0" w:color="auto"/>
            </w:tcBorders>
            <w:noWrap/>
            <w:vAlign w:val="bottom"/>
          </w:tcPr>
          <w:p w14:paraId="11653E5E" w14:textId="77777777" w:rsidR="00583B86" w:rsidRPr="00D94B08" w:rsidRDefault="00583B86" w:rsidP="00A15145">
            <w:pPr>
              <w:jc w:val="center"/>
              <w:rPr>
                <w:color w:val="000000"/>
                <w:lang w:val="en-US" w:eastAsia="en-US"/>
              </w:rPr>
            </w:pPr>
            <w:r w:rsidRPr="00D94B08">
              <w:rPr>
                <w:color w:val="000000"/>
                <w:sz w:val="22"/>
                <w:szCs w:val="22"/>
                <w:lang w:val="en-US" w:eastAsia="en-US"/>
              </w:rPr>
              <w:t>318</w:t>
            </w:r>
          </w:p>
        </w:tc>
        <w:tc>
          <w:tcPr>
            <w:tcW w:w="3600" w:type="dxa"/>
            <w:tcBorders>
              <w:top w:val="nil"/>
              <w:left w:val="nil"/>
              <w:bottom w:val="single" w:sz="4" w:space="0" w:color="auto"/>
              <w:right w:val="single" w:sz="4" w:space="0" w:color="auto"/>
            </w:tcBorders>
            <w:noWrap/>
            <w:vAlign w:val="bottom"/>
          </w:tcPr>
          <w:p w14:paraId="7416571D" w14:textId="77777777" w:rsidR="00583B86" w:rsidRPr="00D94B08" w:rsidRDefault="00583B86" w:rsidP="00A15145">
            <w:pPr>
              <w:jc w:val="center"/>
              <w:rPr>
                <w:color w:val="000000"/>
                <w:lang w:val="en-US" w:eastAsia="en-US"/>
              </w:rPr>
            </w:pPr>
            <w:r w:rsidRPr="00D94B08">
              <w:rPr>
                <w:color w:val="000000"/>
                <w:sz w:val="22"/>
                <w:szCs w:val="22"/>
                <w:lang w:val="en-US" w:eastAsia="en-US"/>
              </w:rPr>
              <w:t>3.17 (2.98 - 3.37)</w:t>
            </w:r>
          </w:p>
        </w:tc>
      </w:tr>
      <w:tr w:rsidR="00583B86" w:rsidRPr="00D94B08" w14:paraId="22326CED"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0038EB8" w14:textId="77777777" w:rsidR="00583B86" w:rsidRPr="00D94B08" w:rsidRDefault="00583B86" w:rsidP="00A15145">
            <w:pPr>
              <w:rPr>
                <w:color w:val="000000"/>
                <w:lang w:val="en-US" w:eastAsia="en-US"/>
              </w:rPr>
            </w:pPr>
            <w:r w:rsidRPr="00D94B08">
              <w:rPr>
                <w:color w:val="000000"/>
                <w:sz w:val="22"/>
                <w:szCs w:val="22"/>
                <w:lang w:val="en-US" w:eastAsia="en-US"/>
              </w:rPr>
              <w:t>2003</w:t>
            </w:r>
          </w:p>
        </w:tc>
        <w:tc>
          <w:tcPr>
            <w:tcW w:w="2520" w:type="dxa"/>
            <w:tcBorders>
              <w:top w:val="nil"/>
              <w:left w:val="nil"/>
              <w:bottom w:val="single" w:sz="4" w:space="0" w:color="auto"/>
              <w:right w:val="single" w:sz="4" w:space="0" w:color="auto"/>
            </w:tcBorders>
            <w:noWrap/>
            <w:vAlign w:val="bottom"/>
          </w:tcPr>
          <w:p w14:paraId="7386DDBE" w14:textId="77777777" w:rsidR="00583B86" w:rsidRPr="00D94B08" w:rsidRDefault="00583B86" w:rsidP="00A15145">
            <w:pPr>
              <w:jc w:val="center"/>
              <w:rPr>
                <w:color w:val="000000"/>
                <w:lang w:val="en-US" w:eastAsia="en-US"/>
              </w:rPr>
            </w:pPr>
            <w:r w:rsidRPr="00D94B08">
              <w:rPr>
                <w:color w:val="000000"/>
                <w:sz w:val="22"/>
                <w:szCs w:val="22"/>
                <w:lang w:val="en-US" w:eastAsia="en-US"/>
              </w:rPr>
              <w:t>1153</w:t>
            </w:r>
          </w:p>
        </w:tc>
        <w:tc>
          <w:tcPr>
            <w:tcW w:w="2880" w:type="dxa"/>
            <w:tcBorders>
              <w:top w:val="nil"/>
              <w:left w:val="nil"/>
              <w:bottom w:val="single" w:sz="4" w:space="0" w:color="auto"/>
              <w:right w:val="single" w:sz="4" w:space="0" w:color="auto"/>
            </w:tcBorders>
            <w:noWrap/>
            <w:vAlign w:val="bottom"/>
          </w:tcPr>
          <w:p w14:paraId="17F5A502" w14:textId="77777777" w:rsidR="00583B86" w:rsidRPr="00D94B08" w:rsidRDefault="00583B86" w:rsidP="00A15145">
            <w:pPr>
              <w:jc w:val="center"/>
              <w:rPr>
                <w:color w:val="000000"/>
                <w:lang w:val="en-US" w:eastAsia="en-US"/>
              </w:rPr>
            </w:pPr>
            <w:r w:rsidRPr="00D94B08">
              <w:rPr>
                <w:color w:val="000000"/>
                <w:sz w:val="22"/>
                <w:szCs w:val="22"/>
                <w:lang w:val="en-US" w:eastAsia="en-US"/>
              </w:rPr>
              <w:t>346</w:t>
            </w:r>
          </w:p>
        </w:tc>
        <w:tc>
          <w:tcPr>
            <w:tcW w:w="3600" w:type="dxa"/>
            <w:tcBorders>
              <w:top w:val="nil"/>
              <w:left w:val="nil"/>
              <w:bottom w:val="single" w:sz="4" w:space="0" w:color="auto"/>
              <w:right w:val="single" w:sz="4" w:space="0" w:color="auto"/>
            </w:tcBorders>
            <w:noWrap/>
            <w:vAlign w:val="bottom"/>
          </w:tcPr>
          <w:p w14:paraId="45C7EF41" w14:textId="77777777" w:rsidR="00583B86" w:rsidRPr="00D94B08" w:rsidRDefault="00583B86" w:rsidP="00A15145">
            <w:pPr>
              <w:jc w:val="center"/>
              <w:rPr>
                <w:color w:val="000000"/>
                <w:lang w:val="en-US" w:eastAsia="en-US"/>
              </w:rPr>
            </w:pPr>
            <w:r w:rsidRPr="00D94B08">
              <w:rPr>
                <w:color w:val="000000"/>
                <w:sz w:val="22"/>
                <w:szCs w:val="22"/>
                <w:lang w:val="en-US" w:eastAsia="en-US"/>
              </w:rPr>
              <w:t>3.34 (3.14 - 3.53)</w:t>
            </w:r>
          </w:p>
        </w:tc>
      </w:tr>
      <w:tr w:rsidR="00583B86" w:rsidRPr="00D94B08" w14:paraId="303C524F"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389918C" w14:textId="77777777" w:rsidR="00583B86" w:rsidRPr="00D94B08" w:rsidRDefault="00583B86" w:rsidP="00A15145">
            <w:pPr>
              <w:rPr>
                <w:color w:val="000000"/>
                <w:lang w:val="en-US" w:eastAsia="en-US"/>
              </w:rPr>
            </w:pPr>
            <w:r w:rsidRPr="00D94B08">
              <w:rPr>
                <w:color w:val="000000"/>
                <w:sz w:val="22"/>
                <w:szCs w:val="22"/>
                <w:lang w:val="en-US" w:eastAsia="en-US"/>
              </w:rPr>
              <w:t>2004</w:t>
            </w:r>
          </w:p>
        </w:tc>
        <w:tc>
          <w:tcPr>
            <w:tcW w:w="2520" w:type="dxa"/>
            <w:tcBorders>
              <w:top w:val="nil"/>
              <w:left w:val="nil"/>
              <w:bottom w:val="single" w:sz="4" w:space="0" w:color="auto"/>
              <w:right w:val="single" w:sz="4" w:space="0" w:color="auto"/>
            </w:tcBorders>
            <w:noWrap/>
            <w:vAlign w:val="bottom"/>
          </w:tcPr>
          <w:p w14:paraId="4FA16C58" w14:textId="77777777" w:rsidR="00583B86" w:rsidRPr="00D94B08" w:rsidRDefault="00583B86" w:rsidP="00A15145">
            <w:pPr>
              <w:jc w:val="center"/>
              <w:rPr>
                <w:color w:val="000000"/>
                <w:lang w:val="en-US" w:eastAsia="en-US"/>
              </w:rPr>
            </w:pPr>
            <w:r w:rsidRPr="00D94B08">
              <w:rPr>
                <w:color w:val="000000"/>
                <w:sz w:val="22"/>
                <w:szCs w:val="22"/>
                <w:lang w:val="en-US" w:eastAsia="en-US"/>
              </w:rPr>
              <w:t>1148</w:t>
            </w:r>
          </w:p>
        </w:tc>
        <w:tc>
          <w:tcPr>
            <w:tcW w:w="2880" w:type="dxa"/>
            <w:tcBorders>
              <w:top w:val="nil"/>
              <w:left w:val="nil"/>
              <w:bottom w:val="single" w:sz="4" w:space="0" w:color="auto"/>
              <w:right w:val="single" w:sz="4" w:space="0" w:color="auto"/>
            </w:tcBorders>
            <w:noWrap/>
            <w:vAlign w:val="bottom"/>
          </w:tcPr>
          <w:p w14:paraId="7EC6468E" w14:textId="77777777" w:rsidR="00583B86" w:rsidRPr="00D94B08" w:rsidRDefault="00583B86" w:rsidP="00A15145">
            <w:pPr>
              <w:jc w:val="center"/>
              <w:rPr>
                <w:color w:val="000000"/>
                <w:lang w:val="en-US" w:eastAsia="en-US"/>
              </w:rPr>
            </w:pPr>
            <w:r w:rsidRPr="00D94B08">
              <w:rPr>
                <w:color w:val="000000"/>
                <w:sz w:val="22"/>
                <w:szCs w:val="22"/>
                <w:lang w:val="en-US" w:eastAsia="en-US"/>
              </w:rPr>
              <w:t>342</w:t>
            </w:r>
          </w:p>
        </w:tc>
        <w:tc>
          <w:tcPr>
            <w:tcW w:w="3600" w:type="dxa"/>
            <w:tcBorders>
              <w:top w:val="nil"/>
              <w:left w:val="nil"/>
              <w:bottom w:val="single" w:sz="4" w:space="0" w:color="auto"/>
              <w:right w:val="single" w:sz="4" w:space="0" w:color="auto"/>
            </w:tcBorders>
            <w:noWrap/>
            <w:vAlign w:val="bottom"/>
          </w:tcPr>
          <w:p w14:paraId="178DA695" w14:textId="77777777" w:rsidR="00583B86" w:rsidRPr="00D94B08" w:rsidRDefault="00583B86" w:rsidP="00A15145">
            <w:pPr>
              <w:jc w:val="center"/>
              <w:rPr>
                <w:color w:val="000000"/>
                <w:lang w:val="en-US" w:eastAsia="en-US"/>
              </w:rPr>
            </w:pPr>
            <w:r w:rsidRPr="00D94B08">
              <w:rPr>
                <w:color w:val="000000"/>
                <w:sz w:val="22"/>
                <w:szCs w:val="22"/>
                <w:lang w:val="en-US" w:eastAsia="en-US"/>
              </w:rPr>
              <w:t>3.35 (3.16 - 3.55)</w:t>
            </w:r>
          </w:p>
        </w:tc>
      </w:tr>
      <w:tr w:rsidR="00583B86" w:rsidRPr="00D94B08" w14:paraId="6CDB899D"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52E72AC" w14:textId="77777777" w:rsidR="00583B86" w:rsidRPr="00D94B08" w:rsidRDefault="00583B86" w:rsidP="00A15145">
            <w:pPr>
              <w:rPr>
                <w:color w:val="000000"/>
                <w:lang w:val="en-US" w:eastAsia="en-US"/>
              </w:rPr>
            </w:pPr>
            <w:r w:rsidRPr="00D94B08">
              <w:rPr>
                <w:color w:val="000000"/>
                <w:sz w:val="22"/>
                <w:szCs w:val="22"/>
                <w:lang w:val="en-US" w:eastAsia="en-US"/>
              </w:rPr>
              <w:t>2005</w:t>
            </w:r>
          </w:p>
        </w:tc>
        <w:tc>
          <w:tcPr>
            <w:tcW w:w="2520" w:type="dxa"/>
            <w:tcBorders>
              <w:top w:val="nil"/>
              <w:left w:val="nil"/>
              <w:bottom w:val="single" w:sz="4" w:space="0" w:color="auto"/>
              <w:right w:val="single" w:sz="4" w:space="0" w:color="auto"/>
            </w:tcBorders>
            <w:noWrap/>
            <w:vAlign w:val="bottom"/>
          </w:tcPr>
          <w:p w14:paraId="31F1FF63" w14:textId="77777777" w:rsidR="00583B86" w:rsidRPr="00D94B08" w:rsidRDefault="00583B86" w:rsidP="00A15145">
            <w:pPr>
              <w:jc w:val="center"/>
              <w:rPr>
                <w:color w:val="000000"/>
                <w:lang w:val="en-US" w:eastAsia="en-US"/>
              </w:rPr>
            </w:pPr>
            <w:r w:rsidRPr="00D94B08">
              <w:rPr>
                <w:color w:val="000000"/>
                <w:sz w:val="22"/>
                <w:szCs w:val="22"/>
                <w:lang w:val="en-US" w:eastAsia="en-US"/>
              </w:rPr>
              <w:t>1061</w:t>
            </w:r>
          </w:p>
        </w:tc>
        <w:tc>
          <w:tcPr>
            <w:tcW w:w="2880" w:type="dxa"/>
            <w:tcBorders>
              <w:top w:val="nil"/>
              <w:left w:val="nil"/>
              <w:bottom w:val="single" w:sz="4" w:space="0" w:color="auto"/>
              <w:right w:val="single" w:sz="4" w:space="0" w:color="auto"/>
            </w:tcBorders>
            <w:noWrap/>
            <w:vAlign w:val="bottom"/>
          </w:tcPr>
          <w:p w14:paraId="2BDF36B5" w14:textId="77777777" w:rsidR="00583B86" w:rsidRPr="00D94B08" w:rsidRDefault="00583B86" w:rsidP="00A15145">
            <w:pPr>
              <w:jc w:val="center"/>
              <w:rPr>
                <w:color w:val="000000"/>
                <w:lang w:val="en-US" w:eastAsia="en-US"/>
              </w:rPr>
            </w:pPr>
            <w:r w:rsidRPr="00D94B08">
              <w:rPr>
                <w:color w:val="000000"/>
                <w:sz w:val="22"/>
                <w:szCs w:val="22"/>
                <w:lang w:val="en-US" w:eastAsia="en-US"/>
              </w:rPr>
              <w:t>353</w:t>
            </w:r>
          </w:p>
        </w:tc>
        <w:tc>
          <w:tcPr>
            <w:tcW w:w="3600" w:type="dxa"/>
            <w:tcBorders>
              <w:top w:val="nil"/>
              <w:left w:val="nil"/>
              <w:bottom w:val="single" w:sz="4" w:space="0" w:color="auto"/>
              <w:right w:val="single" w:sz="4" w:space="0" w:color="auto"/>
            </w:tcBorders>
            <w:noWrap/>
            <w:vAlign w:val="bottom"/>
          </w:tcPr>
          <w:p w14:paraId="2D428B02" w14:textId="77777777" w:rsidR="00583B86" w:rsidRPr="00D94B08" w:rsidRDefault="00583B86" w:rsidP="00A15145">
            <w:pPr>
              <w:jc w:val="center"/>
              <w:rPr>
                <w:color w:val="000000"/>
                <w:lang w:val="en-US" w:eastAsia="en-US"/>
              </w:rPr>
            </w:pPr>
            <w:r w:rsidRPr="00D94B08">
              <w:rPr>
                <w:color w:val="000000"/>
                <w:sz w:val="22"/>
                <w:szCs w:val="22"/>
                <w:lang w:val="en-US" w:eastAsia="en-US"/>
              </w:rPr>
              <w:t>3.01 (2.82 - 3.19)</w:t>
            </w:r>
          </w:p>
        </w:tc>
      </w:tr>
      <w:tr w:rsidR="00583B86" w:rsidRPr="00D94B08" w14:paraId="52258C58"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3D3B4D96" w14:textId="77777777" w:rsidR="00583B86" w:rsidRPr="00D94B08" w:rsidRDefault="00583B86" w:rsidP="00A15145">
            <w:pPr>
              <w:rPr>
                <w:color w:val="000000"/>
                <w:lang w:val="en-US" w:eastAsia="en-US"/>
              </w:rPr>
            </w:pPr>
            <w:r w:rsidRPr="00D94B08">
              <w:rPr>
                <w:color w:val="000000"/>
                <w:sz w:val="22"/>
                <w:szCs w:val="22"/>
                <w:lang w:val="en-US" w:eastAsia="en-US"/>
              </w:rPr>
              <w:t>2006</w:t>
            </w:r>
          </w:p>
        </w:tc>
        <w:tc>
          <w:tcPr>
            <w:tcW w:w="2520" w:type="dxa"/>
            <w:tcBorders>
              <w:top w:val="nil"/>
              <w:left w:val="nil"/>
              <w:bottom w:val="single" w:sz="4" w:space="0" w:color="auto"/>
              <w:right w:val="single" w:sz="4" w:space="0" w:color="auto"/>
            </w:tcBorders>
            <w:noWrap/>
            <w:vAlign w:val="bottom"/>
          </w:tcPr>
          <w:p w14:paraId="271C4F95" w14:textId="77777777" w:rsidR="00583B86" w:rsidRPr="00D94B08" w:rsidRDefault="00583B86" w:rsidP="00A15145">
            <w:pPr>
              <w:jc w:val="center"/>
              <w:rPr>
                <w:color w:val="000000"/>
                <w:lang w:val="en-US" w:eastAsia="en-US"/>
              </w:rPr>
            </w:pPr>
            <w:r w:rsidRPr="00D94B08">
              <w:rPr>
                <w:color w:val="000000"/>
                <w:sz w:val="22"/>
                <w:szCs w:val="22"/>
                <w:lang w:val="en-US" w:eastAsia="en-US"/>
              </w:rPr>
              <w:t>1075</w:t>
            </w:r>
          </w:p>
        </w:tc>
        <w:tc>
          <w:tcPr>
            <w:tcW w:w="2880" w:type="dxa"/>
            <w:tcBorders>
              <w:top w:val="nil"/>
              <w:left w:val="nil"/>
              <w:bottom w:val="single" w:sz="4" w:space="0" w:color="auto"/>
              <w:right w:val="single" w:sz="4" w:space="0" w:color="auto"/>
            </w:tcBorders>
            <w:noWrap/>
            <w:vAlign w:val="bottom"/>
          </w:tcPr>
          <w:p w14:paraId="0425C3AD" w14:textId="77777777" w:rsidR="00583B86" w:rsidRPr="00D94B08" w:rsidRDefault="00583B86" w:rsidP="00A15145">
            <w:pPr>
              <w:jc w:val="center"/>
              <w:rPr>
                <w:color w:val="000000"/>
                <w:lang w:val="en-US" w:eastAsia="en-US"/>
              </w:rPr>
            </w:pPr>
            <w:r w:rsidRPr="00D94B08">
              <w:rPr>
                <w:color w:val="000000"/>
                <w:sz w:val="22"/>
                <w:szCs w:val="22"/>
                <w:lang w:val="en-US" w:eastAsia="en-US"/>
              </w:rPr>
              <w:t>333</w:t>
            </w:r>
          </w:p>
        </w:tc>
        <w:tc>
          <w:tcPr>
            <w:tcW w:w="3600" w:type="dxa"/>
            <w:tcBorders>
              <w:top w:val="nil"/>
              <w:left w:val="nil"/>
              <w:bottom w:val="single" w:sz="4" w:space="0" w:color="auto"/>
              <w:right w:val="single" w:sz="4" w:space="0" w:color="auto"/>
            </w:tcBorders>
            <w:noWrap/>
            <w:vAlign w:val="bottom"/>
          </w:tcPr>
          <w:p w14:paraId="37D06E55" w14:textId="77777777" w:rsidR="00583B86" w:rsidRPr="00D94B08" w:rsidRDefault="00583B86" w:rsidP="00A15145">
            <w:pPr>
              <w:jc w:val="center"/>
              <w:rPr>
                <w:color w:val="000000"/>
                <w:lang w:val="en-US" w:eastAsia="en-US"/>
              </w:rPr>
            </w:pPr>
            <w:r w:rsidRPr="00D94B08">
              <w:rPr>
                <w:color w:val="000000"/>
                <w:sz w:val="22"/>
                <w:szCs w:val="22"/>
                <w:lang w:val="en-US" w:eastAsia="en-US"/>
              </w:rPr>
              <w:t>3.23 (3.04 - 3.42)</w:t>
            </w:r>
          </w:p>
        </w:tc>
      </w:tr>
      <w:tr w:rsidR="00583B86" w:rsidRPr="00D94B08" w14:paraId="7089ECAF"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585E12B" w14:textId="77777777" w:rsidR="00583B86" w:rsidRPr="00D94B08" w:rsidRDefault="00583B86" w:rsidP="00A15145">
            <w:pPr>
              <w:rPr>
                <w:color w:val="000000"/>
                <w:lang w:val="en-US" w:eastAsia="en-US"/>
              </w:rPr>
            </w:pPr>
            <w:r w:rsidRPr="00D94B08">
              <w:rPr>
                <w:color w:val="000000"/>
                <w:sz w:val="22"/>
                <w:szCs w:val="22"/>
                <w:lang w:val="en-US" w:eastAsia="en-US"/>
              </w:rPr>
              <w:t>2007</w:t>
            </w:r>
          </w:p>
        </w:tc>
        <w:tc>
          <w:tcPr>
            <w:tcW w:w="2520" w:type="dxa"/>
            <w:tcBorders>
              <w:top w:val="nil"/>
              <w:left w:val="nil"/>
              <w:bottom w:val="single" w:sz="4" w:space="0" w:color="auto"/>
              <w:right w:val="single" w:sz="4" w:space="0" w:color="auto"/>
            </w:tcBorders>
            <w:noWrap/>
            <w:vAlign w:val="bottom"/>
          </w:tcPr>
          <w:p w14:paraId="7C1BCFE3" w14:textId="77777777" w:rsidR="00583B86" w:rsidRPr="00D94B08" w:rsidRDefault="00583B86" w:rsidP="00A15145">
            <w:pPr>
              <w:jc w:val="center"/>
              <w:rPr>
                <w:color w:val="000000"/>
                <w:lang w:val="en-US" w:eastAsia="en-US"/>
              </w:rPr>
            </w:pPr>
            <w:r w:rsidRPr="00D94B08">
              <w:rPr>
                <w:color w:val="000000"/>
                <w:sz w:val="22"/>
                <w:szCs w:val="22"/>
                <w:lang w:val="en-US" w:eastAsia="en-US"/>
              </w:rPr>
              <w:t>1133</w:t>
            </w:r>
          </w:p>
        </w:tc>
        <w:tc>
          <w:tcPr>
            <w:tcW w:w="2880" w:type="dxa"/>
            <w:tcBorders>
              <w:top w:val="nil"/>
              <w:left w:val="nil"/>
              <w:bottom w:val="single" w:sz="4" w:space="0" w:color="auto"/>
              <w:right w:val="single" w:sz="4" w:space="0" w:color="auto"/>
            </w:tcBorders>
            <w:noWrap/>
            <w:vAlign w:val="bottom"/>
          </w:tcPr>
          <w:p w14:paraId="52032A2E" w14:textId="77777777" w:rsidR="00583B86" w:rsidRPr="00D94B08" w:rsidRDefault="00583B86" w:rsidP="00A15145">
            <w:pPr>
              <w:jc w:val="center"/>
              <w:rPr>
                <w:color w:val="000000"/>
                <w:lang w:val="en-US" w:eastAsia="en-US"/>
              </w:rPr>
            </w:pPr>
            <w:r w:rsidRPr="00D94B08">
              <w:rPr>
                <w:color w:val="000000"/>
                <w:sz w:val="22"/>
                <w:szCs w:val="22"/>
                <w:lang w:val="en-US" w:eastAsia="en-US"/>
              </w:rPr>
              <w:t>348</w:t>
            </w:r>
          </w:p>
        </w:tc>
        <w:tc>
          <w:tcPr>
            <w:tcW w:w="3600" w:type="dxa"/>
            <w:tcBorders>
              <w:top w:val="nil"/>
              <w:left w:val="nil"/>
              <w:bottom w:val="single" w:sz="4" w:space="0" w:color="auto"/>
              <w:right w:val="single" w:sz="4" w:space="0" w:color="auto"/>
            </w:tcBorders>
            <w:noWrap/>
            <w:vAlign w:val="bottom"/>
          </w:tcPr>
          <w:p w14:paraId="5E760425" w14:textId="77777777" w:rsidR="00583B86" w:rsidRPr="00D94B08" w:rsidRDefault="00583B86" w:rsidP="00A15145">
            <w:pPr>
              <w:jc w:val="center"/>
              <w:rPr>
                <w:color w:val="000000"/>
                <w:lang w:val="en-US" w:eastAsia="en-US"/>
              </w:rPr>
            </w:pPr>
            <w:r w:rsidRPr="00D94B08">
              <w:rPr>
                <w:color w:val="000000"/>
                <w:sz w:val="22"/>
                <w:szCs w:val="22"/>
                <w:lang w:val="en-US" w:eastAsia="en-US"/>
              </w:rPr>
              <w:t>3.26 (3.07 - 3.45)</w:t>
            </w:r>
          </w:p>
        </w:tc>
      </w:tr>
      <w:tr w:rsidR="00583B86" w:rsidRPr="00D94B08" w14:paraId="70836785"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649EF54" w14:textId="77777777" w:rsidR="00583B86" w:rsidRPr="00D94B08" w:rsidRDefault="00583B86" w:rsidP="00A15145">
            <w:pPr>
              <w:rPr>
                <w:color w:val="000000"/>
                <w:lang w:val="en-US" w:eastAsia="en-US"/>
              </w:rPr>
            </w:pPr>
            <w:r w:rsidRPr="00D94B08">
              <w:rPr>
                <w:color w:val="000000"/>
                <w:sz w:val="22"/>
                <w:szCs w:val="22"/>
                <w:lang w:val="en-US" w:eastAsia="en-US"/>
              </w:rPr>
              <w:t>2008</w:t>
            </w:r>
          </w:p>
        </w:tc>
        <w:tc>
          <w:tcPr>
            <w:tcW w:w="2520" w:type="dxa"/>
            <w:tcBorders>
              <w:top w:val="nil"/>
              <w:left w:val="nil"/>
              <w:bottom w:val="single" w:sz="4" w:space="0" w:color="auto"/>
              <w:right w:val="single" w:sz="4" w:space="0" w:color="auto"/>
            </w:tcBorders>
            <w:noWrap/>
            <w:vAlign w:val="bottom"/>
          </w:tcPr>
          <w:p w14:paraId="0D6F702A" w14:textId="77777777" w:rsidR="00583B86" w:rsidRPr="00D94B08" w:rsidRDefault="00583B86" w:rsidP="00A15145">
            <w:pPr>
              <w:jc w:val="center"/>
              <w:rPr>
                <w:color w:val="000000"/>
                <w:lang w:val="en-US" w:eastAsia="en-US"/>
              </w:rPr>
            </w:pPr>
            <w:r w:rsidRPr="00D94B08">
              <w:rPr>
                <w:color w:val="000000"/>
                <w:sz w:val="22"/>
                <w:szCs w:val="22"/>
                <w:lang w:val="en-US" w:eastAsia="en-US"/>
              </w:rPr>
              <w:t>1122</w:t>
            </w:r>
          </w:p>
        </w:tc>
        <w:tc>
          <w:tcPr>
            <w:tcW w:w="2880" w:type="dxa"/>
            <w:tcBorders>
              <w:top w:val="nil"/>
              <w:left w:val="nil"/>
              <w:bottom w:val="single" w:sz="4" w:space="0" w:color="auto"/>
              <w:right w:val="single" w:sz="4" w:space="0" w:color="auto"/>
            </w:tcBorders>
            <w:noWrap/>
            <w:vAlign w:val="bottom"/>
          </w:tcPr>
          <w:p w14:paraId="072EBE79" w14:textId="77777777" w:rsidR="00583B86" w:rsidRPr="00D94B08" w:rsidRDefault="00583B86" w:rsidP="00A15145">
            <w:pPr>
              <w:jc w:val="center"/>
              <w:rPr>
                <w:color w:val="000000"/>
                <w:lang w:val="en-US" w:eastAsia="en-US"/>
              </w:rPr>
            </w:pPr>
            <w:r w:rsidRPr="00D94B08">
              <w:rPr>
                <w:color w:val="000000"/>
                <w:sz w:val="22"/>
                <w:szCs w:val="22"/>
                <w:lang w:val="en-US" w:eastAsia="en-US"/>
              </w:rPr>
              <w:t>347</w:t>
            </w:r>
          </w:p>
        </w:tc>
        <w:tc>
          <w:tcPr>
            <w:tcW w:w="3600" w:type="dxa"/>
            <w:tcBorders>
              <w:top w:val="nil"/>
              <w:left w:val="nil"/>
              <w:bottom w:val="single" w:sz="4" w:space="0" w:color="auto"/>
              <w:right w:val="single" w:sz="4" w:space="0" w:color="auto"/>
            </w:tcBorders>
            <w:noWrap/>
            <w:vAlign w:val="bottom"/>
          </w:tcPr>
          <w:p w14:paraId="274DD8D0" w14:textId="77777777" w:rsidR="00583B86" w:rsidRPr="00D94B08" w:rsidRDefault="00583B86" w:rsidP="00A15145">
            <w:pPr>
              <w:jc w:val="center"/>
              <w:rPr>
                <w:color w:val="000000"/>
                <w:lang w:val="en-US" w:eastAsia="en-US"/>
              </w:rPr>
            </w:pPr>
            <w:r w:rsidRPr="00D94B08">
              <w:rPr>
                <w:color w:val="000000"/>
                <w:sz w:val="22"/>
                <w:szCs w:val="22"/>
                <w:lang w:val="en-US" w:eastAsia="en-US"/>
              </w:rPr>
              <w:t>3.23 (3.04 - 3.42)</w:t>
            </w:r>
          </w:p>
        </w:tc>
      </w:tr>
      <w:tr w:rsidR="00583B86" w:rsidRPr="00D94B08" w14:paraId="5A6B6AF9"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C274FDA" w14:textId="77777777" w:rsidR="00583B86" w:rsidRPr="00D94B08" w:rsidRDefault="00583B86" w:rsidP="00A15145">
            <w:pPr>
              <w:rPr>
                <w:color w:val="000000"/>
                <w:lang w:val="en-US" w:eastAsia="en-US"/>
              </w:rPr>
            </w:pPr>
            <w:r w:rsidRPr="00D94B08">
              <w:rPr>
                <w:color w:val="000000"/>
                <w:sz w:val="22"/>
                <w:szCs w:val="22"/>
                <w:lang w:val="en-US" w:eastAsia="en-US"/>
              </w:rPr>
              <w:t>2009</w:t>
            </w:r>
          </w:p>
        </w:tc>
        <w:tc>
          <w:tcPr>
            <w:tcW w:w="2520" w:type="dxa"/>
            <w:tcBorders>
              <w:top w:val="nil"/>
              <w:left w:val="nil"/>
              <w:bottom w:val="single" w:sz="4" w:space="0" w:color="auto"/>
              <w:right w:val="single" w:sz="4" w:space="0" w:color="auto"/>
            </w:tcBorders>
            <w:noWrap/>
            <w:vAlign w:val="bottom"/>
          </w:tcPr>
          <w:p w14:paraId="0B2F45D3" w14:textId="77777777" w:rsidR="00583B86" w:rsidRPr="00D94B08" w:rsidRDefault="00583B86" w:rsidP="00A15145">
            <w:pPr>
              <w:jc w:val="center"/>
              <w:rPr>
                <w:color w:val="000000"/>
                <w:lang w:val="en-US" w:eastAsia="en-US"/>
              </w:rPr>
            </w:pPr>
            <w:r w:rsidRPr="00D94B08">
              <w:rPr>
                <w:color w:val="000000"/>
                <w:sz w:val="22"/>
                <w:szCs w:val="22"/>
                <w:lang w:val="en-US" w:eastAsia="en-US"/>
              </w:rPr>
              <w:t>1006</w:t>
            </w:r>
          </w:p>
        </w:tc>
        <w:tc>
          <w:tcPr>
            <w:tcW w:w="2880" w:type="dxa"/>
            <w:tcBorders>
              <w:top w:val="nil"/>
              <w:left w:val="nil"/>
              <w:bottom w:val="single" w:sz="4" w:space="0" w:color="auto"/>
              <w:right w:val="single" w:sz="4" w:space="0" w:color="auto"/>
            </w:tcBorders>
            <w:noWrap/>
            <w:vAlign w:val="bottom"/>
          </w:tcPr>
          <w:p w14:paraId="2F966B39" w14:textId="77777777" w:rsidR="00583B86" w:rsidRPr="00D94B08" w:rsidRDefault="00583B86" w:rsidP="00A15145">
            <w:pPr>
              <w:jc w:val="center"/>
              <w:rPr>
                <w:color w:val="000000"/>
                <w:lang w:val="en-US" w:eastAsia="en-US"/>
              </w:rPr>
            </w:pPr>
            <w:r w:rsidRPr="00D94B08">
              <w:rPr>
                <w:color w:val="000000"/>
                <w:sz w:val="22"/>
                <w:szCs w:val="22"/>
                <w:lang w:val="en-US" w:eastAsia="en-US"/>
              </w:rPr>
              <w:t>358</w:t>
            </w:r>
          </w:p>
        </w:tc>
        <w:tc>
          <w:tcPr>
            <w:tcW w:w="3600" w:type="dxa"/>
            <w:tcBorders>
              <w:top w:val="nil"/>
              <w:left w:val="nil"/>
              <w:bottom w:val="single" w:sz="4" w:space="0" w:color="auto"/>
              <w:right w:val="single" w:sz="4" w:space="0" w:color="auto"/>
            </w:tcBorders>
            <w:noWrap/>
            <w:vAlign w:val="bottom"/>
          </w:tcPr>
          <w:p w14:paraId="389C2CB2" w14:textId="77777777" w:rsidR="00583B86" w:rsidRPr="00D94B08" w:rsidRDefault="00583B86" w:rsidP="00A15145">
            <w:pPr>
              <w:jc w:val="center"/>
              <w:rPr>
                <w:color w:val="000000"/>
                <w:lang w:val="en-US" w:eastAsia="en-US"/>
              </w:rPr>
            </w:pPr>
            <w:r w:rsidRPr="00D94B08">
              <w:rPr>
                <w:color w:val="000000"/>
                <w:sz w:val="22"/>
                <w:szCs w:val="22"/>
                <w:lang w:val="en-US" w:eastAsia="en-US"/>
              </w:rPr>
              <w:t>2.81 (2.64 - 2.98)</w:t>
            </w:r>
          </w:p>
        </w:tc>
      </w:tr>
      <w:tr w:rsidR="00583B86" w:rsidRPr="00D94B08" w14:paraId="2DFA71CF"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5F3C924" w14:textId="77777777" w:rsidR="00583B86" w:rsidRPr="00D94B08" w:rsidRDefault="00583B86" w:rsidP="00A15145">
            <w:pPr>
              <w:rPr>
                <w:color w:val="000000"/>
                <w:lang w:val="en-US" w:eastAsia="en-US"/>
              </w:rPr>
            </w:pPr>
            <w:r w:rsidRPr="00D94B08">
              <w:rPr>
                <w:color w:val="000000"/>
                <w:sz w:val="22"/>
                <w:szCs w:val="22"/>
                <w:lang w:val="en-US" w:eastAsia="en-US"/>
              </w:rPr>
              <w:t>2010</w:t>
            </w:r>
          </w:p>
        </w:tc>
        <w:tc>
          <w:tcPr>
            <w:tcW w:w="2520" w:type="dxa"/>
            <w:tcBorders>
              <w:top w:val="nil"/>
              <w:left w:val="nil"/>
              <w:bottom w:val="single" w:sz="4" w:space="0" w:color="auto"/>
              <w:right w:val="single" w:sz="4" w:space="0" w:color="auto"/>
            </w:tcBorders>
            <w:noWrap/>
            <w:vAlign w:val="bottom"/>
          </w:tcPr>
          <w:p w14:paraId="54785F7D" w14:textId="77777777" w:rsidR="00583B86" w:rsidRPr="00D94B08" w:rsidRDefault="00583B86" w:rsidP="00A15145">
            <w:pPr>
              <w:jc w:val="center"/>
              <w:rPr>
                <w:color w:val="000000"/>
                <w:lang w:val="en-US" w:eastAsia="en-US"/>
              </w:rPr>
            </w:pPr>
            <w:r w:rsidRPr="00D94B08">
              <w:rPr>
                <w:color w:val="000000"/>
                <w:sz w:val="22"/>
                <w:szCs w:val="22"/>
                <w:lang w:val="en-US" w:eastAsia="en-US"/>
              </w:rPr>
              <w:t>1022</w:t>
            </w:r>
          </w:p>
        </w:tc>
        <w:tc>
          <w:tcPr>
            <w:tcW w:w="2880" w:type="dxa"/>
            <w:tcBorders>
              <w:top w:val="nil"/>
              <w:left w:val="nil"/>
              <w:bottom w:val="single" w:sz="4" w:space="0" w:color="auto"/>
              <w:right w:val="single" w:sz="4" w:space="0" w:color="auto"/>
            </w:tcBorders>
            <w:noWrap/>
            <w:vAlign w:val="bottom"/>
          </w:tcPr>
          <w:p w14:paraId="28F43074" w14:textId="77777777" w:rsidR="00583B86" w:rsidRPr="00D94B08" w:rsidRDefault="00583B86" w:rsidP="00A15145">
            <w:pPr>
              <w:jc w:val="center"/>
              <w:rPr>
                <w:color w:val="000000"/>
                <w:lang w:val="en-US" w:eastAsia="en-US"/>
              </w:rPr>
            </w:pPr>
            <w:r w:rsidRPr="00D94B08">
              <w:rPr>
                <w:color w:val="000000"/>
                <w:sz w:val="22"/>
                <w:szCs w:val="22"/>
                <w:lang w:val="en-US" w:eastAsia="en-US"/>
              </w:rPr>
              <w:t>349</w:t>
            </w:r>
          </w:p>
        </w:tc>
        <w:tc>
          <w:tcPr>
            <w:tcW w:w="3600" w:type="dxa"/>
            <w:tcBorders>
              <w:top w:val="nil"/>
              <w:left w:val="nil"/>
              <w:bottom w:val="single" w:sz="4" w:space="0" w:color="auto"/>
              <w:right w:val="single" w:sz="4" w:space="0" w:color="auto"/>
            </w:tcBorders>
            <w:noWrap/>
            <w:vAlign w:val="bottom"/>
          </w:tcPr>
          <w:p w14:paraId="3AF39726" w14:textId="77777777" w:rsidR="00583B86" w:rsidRPr="00D94B08" w:rsidRDefault="00583B86" w:rsidP="00A15145">
            <w:pPr>
              <w:jc w:val="center"/>
              <w:rPr>
                <w:color w:val="000000"/>
                <w:lang w:val="en-US" w:eastAsia="en-US"/>
              </w:rPr>
            </w:pPr>
            <w:r w:rsidRPr="00D94B08">
              <w:rPr>
                <w:color w:val="000000"/>
                <w:sz w:val="22"/>
                <w:szCs w:val="22"/>
                <w:lang w:val="en-US" w:eastAsia="en-US"/>
              </w:rPr>
              <w:t>2.93 (2.75 - 3.11)</w:t>
            </w:r>
          </w:p>
        </w:tc>
      </w:tr>
      <w:tr w:rsidR="00583B86" w:rsidRPr="00D94B08" w14:paraId="7AC5EC99"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BECE657" w14:textId="77777777" w:rsidR="00583B86" w:rsidRPr="00D94B08" w:rsidRDefault="00583B86" w:rsidP="00912A9E">
            <w:pPr>
              <w:rPr>
                <w:color w:val="000000"/>
                <w:lang w:val="en-US" w:eastAsia="en-US"/>
              </w:rPr>
            </w:pPr>
            <w:r w:rsidRPr="00D94B08">
              <w:rPr>
                <w:color w:val="000000"/>
                <w:sz w:val="22"/>
                <w:szCs w:val="22"/>
                <w:lang w:val="en-US" w:eastAsia="en-US"/>
              </w:rPr>
              <w:t>2011</w:t>
            </w:r>
          </w:p>
        </w:tc>
        <w:tc>
          <w:tcPr>
            <w:tcW w:w="2520" w:type="dxa"/>
            <w:tcBorders>
              <w:top w:val="nil"/>
              <w:left w:val="nil"/>
              <w:bottom w:val="single" w:sz="4" w:space="0" w:color="auto"/>
              <w:right w:val="single" w:sz="4" w:space="0" w:color="auto"/>
            </w:tcBorders>
            <w:noWrap/>
            <w:vAlign w:val="bottom"/>
          </w:tcPr>
          <w:p w14:paraId="4A4D9722" w14:textId="77777777" w:rsidR="00583B86" w:rsidRPr="00D94B08" w:rsidRDefault="00583B86" w:rsidP="00912A9E">
            <w:pPr>
              <w:jc w:val="center"/>
              <w:rPr>
                <w:color w:val="000000"/>
                <w:lang w:val="en-US" w:eastAsia="en-US"/>
              </w:rPr>
            </w:pPr>
            <w:r w:rsidRPr="00D94B08">
              <w:rPr>
                <w:color w:val="000000"/>
                <w:sz w:val="22"/>
                <w:szCs w:val="22"/>
                <w:lang w:val="en-US" w:eastAsia="en-US"/>
              </w:rPr>
              <w:t>635</w:t>
            </w:r>
          </w:p>
        </w:tc>
        <w:tc>
          <w:tcPr>
            <w:tcW w:w="2880" w:type="dxa"/>
            <w:tcBorders>
              <w:top w:val="nil"/>
              <w:left w:val="nil"/>
              <w:bottom w:val="single" w:sz="4" w:space="0" w:color="auto"/>
              <w:right w:val="single" w:sz="4" w:space="0" w:color="auto"/>
            </w:tcBorders>
            <w:noWrap/>
            <w:vAlign w:val="bottom"/>
          </w:tcPr>
          <w:p w14:paraId="1DABD330" w14:textId="77777777" w:rsidR="00583B86" w:rsidRPr="00D94B08" w:rsidRDefault="00583B86" w:rsidP="00912A9E">
            <w:pPr>
              <w:jc w:val="center"/>
              <w:rPr>
                <w:color w:val="000000"/>
                <w:lang w:val="en-US" w:eastAsia="en-US"/>
              </w:rPr>
            </w:pPr>
            <w:r w:rsidRPr="00D94B08">
              <w:rPr>
                <w:color w:val="000000"/>
                <w:sz w:val="22"/>
                <w:szCs w:val="22"/>
                <w:lang w:val="en-US" w:eastAsia="en-US"/>
              </w:rPr>
              <w:t>171</w:t>
            </w:r>
          </w:p>
        </w:tc>
        <w:tc>
          <w:tcPr>
            <w:tcW w:w="3600" w:type="dxa"/>
            <w:tcBorders>
              <w:top w:val="nil"/>
              <w:left w:val="nil"/>
              <w:bottom w:val="single" w:sz="4" w:space="0" w:color="auto"/>
              <w:right w:val="single" w:sz="4" w:space="0" w:color="auto"/>
            </w:tcBorders>
            <w:noWrap/>
            <w:vAlign w:val="bottom"/>
          </w:tcPr>
          <w:p w14:paraId="63D19820" w14:textId="77777777" w:rsidR="00583B86" w:rsidRPr="00D94B08" w:rsidRDefault="00583B86" w:rsidP="00912A9E">
            <w:pPr>
              <w:jc w:val="center"/>
              <w:rPr>
                <w:color w:val="000000"/>
                <w:lang w:val="en-US" w:eastAsia="en-US"/>
              </w:rPr>
            </w:pPr>
            <w:r w:rsidRPr="00D94B08">
              <w:rPr>
                <w:color w:val="000000"/>
                <w:sz w:val="22"/>
                <w:szCs w:val="22"/>
                <w:lang w:val="en-US" w:eastAsia="en-US"/>
              </w:rPr>
              <w:t>3.72 (3.43 - 4.01)</w:t>
            </w:r>
          </w:p>
        </w:tc>
      </w:tr>
      <w:tr w:rsidR="00583B86" w:rsidRPr="00D94B08" w14:paraId="33C02B46"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61295C8" w14:textId="77777777" w:rsidR="00583B86" w:rsidRPr="00583B86" w:rsidRDefault="00583B86" w:rsidP="00912A9E">
            <w:pPr>
              <w:rPr>
                <w:color w:val="000000"/>
                <w:lang w:val="en-US" w:eastAsia="en-US"/>
              </w:rPr>
            </w:pPr>
            <w:r w:rsidRPr="00920D71">
              <w:rPr>
                <w:color w:val="000000"/>
                <w:sz w:val="22"/>
                <w:szCs w:val="22"/>
                <w:lang w:val="en-US" w:eastAsia="en-US"/>
              </w:rPr>
              <w:t>By ethnicity*</w:t>
            </w:r>
            <w:r>
              <w:rPr>
                <w:color w:val="000000"/>
                <w:sz w:val="22"/>
                <w:szCs w:val="22"/>
                <w:lang w:val="en-US" w:eastAsia="en-US"/>
              </w:rPr>
              <w:t>‡</w:t>
            </w:r>
          </w:p>
        </w:tc>
        <w:tc>
          <w:tcPr>
            <w:tcW w:w="2520" w:type="dxa"/>
            <w:tcBorders>
              <w:top w:val="nil"/>
              <w:left w:val="single" w:sz="4" w:space="0" w:color="auto"/>
              <w:bottom w:val="single" w:sz="4" w:space="0" w:color="auto"/>
              <w:right w:val="single" w:sz="4" w:space="0" w:color="auto"/>
            </w:tcBorders>
            <w:vAlign w:val="bottom"/>
          </w:tcPr>
          <w:p w14:paraId="6208D838" w14:textId="77777777" w:rsidR="00583B86" w:rsidRPr="00583B86" w:rsidRDefault="00583B86" w:rsidP="00912A9E">
            <w:pPr>
              <w:rPr>
                <w:color w:val="000000"/>
                <w:lang w:val="en-US" w:eastAsia="en-US"/>
              </w:rPr>
            </w:pPr>
          </w:p>
        </w:tc>
        <w:tc>
          <w:tcPr>
            <w:tcW w:w="2880" w:type="dxa"/>
            <w:tcBorders>
              <w:top w:val="nil"/>
              <w:left w:val="single" w:sz="4" w:space="0" w:color="auto"/>
              <w:bottom w:val="single" w:sz="4" w:space="0" w:color="auto"/>
              <w:right w:val="single" w:sz="4" w:space="0" w:color="auto"/>
            </w:tcBorders>
            <w:vAlign w:val="bottom"/>
          </w:tcPr>
          <w:p w14:paraId="085BCFE3" w14:textId="77777777" w:rsidR="00583B86" w:rsidRPr="00583B86" w:rsidRDefault="00583B86" w:rsidP="00912A9E">
            <w:pPr>
              <w:rPr>
                <w:color w:val="000000"/>
                <w:lang w:val="en-US" w:eastAsia="en-US"/>
              </w:rPr>
            </w:pPr>
          </w:p>
        </w:tc>
        <w:tc>
          <w:tcPr>
            <w:tcW w:w="3600" w:type="dxa"/>
            <w:tcBorders>
              <w:top w:val="nil"/>
              <w:left w:val="single" w:sz="4" w:space="0" w:color="auto"/>
              <w:bottom w:val="single" w:sz="4" w:space="0" w:color="auto"/>
              <w:right w:val="single" w:sz="4" w:space="0" w:color="auto"/>
            </w:tcBorders>
            <w:vAlign w:val="bottom"/>
          </w:tcPr>
          <w:p w14:paraId="4542EE63" w14:textId="77777777" w:rsidR="00583B86" w:rsidRPr="00583B86" w:rsidRDefault="00583B86" w:rsidP="00912A9E">
            <w:pPr>
              <w:rPr>
                <w:color w:val="000000"/>
                <w:lang w:val="en-US" w:eastAsia="en-US"/>
              </w:rPr>
            </w:pPr>
          </w:p>
        </w:tc>
      </w:tr>
      <w:tr w:rsidR="00583B86" w:rsidRPr="00D94B08" w14:paraId="63BC330D"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E48F811" w14:textId="77777777" w:rsidR="00583B86" w:rsidRPr="00583B86" w:rsidRDefault="00583B86" w:rsidP="00912A9E">
            <w:pPr>
              <w:rPr>
                <w:color w:val="000000"/>
                <w:lang w:val="en-US" w:eastAsia="en-US"/>
              </w:rPr>
            </w:pPr>
            <w:r w:rsidRPr="00920D71">
              <w:rPr>
                <w:color w:val="000000"/>
                <w:sz w:val="22"/>
                <w:szCs w:val="22"/>
                <w:lang w:val="en-US" w:eastAsia="en-US"/>
              </w:rPr>
              <w:t xml:space="preserve">   White</w:t>
            </w:r>
          </w:p>
        </w:tc>
        <w:tc>
          <w:tcPr>
            <w:tcW w:w="2520" w:type="dxa"/>
            <w:tcBorders>
              <w:top w:val="nil"/>
              <w:left w:val="nil"/>
              <w:bottom w:val="single" w:sz="4" w:space="0" w:color="auto"/>
              <w:right w:val="single" w:sz="4" w:space="0" w:color="auto"/>
            </w:tcBorders>
            <w:noWrap/>
            <w:vAlign w:val="bottom"/>
          </w:tcPr>
          <w:p w14:paraId="006183A3" w14:textId="77777777" w:rsidR="00583B86" w:rsidRPr="00583B86" w:rsidRDefault="00583B86" w:rsidP="00912A9E">
            <w:pPr>
              <w:jc w:val="center"/>
              <w:rPr>
                <w:color w:val="000000"/>
              </w:rPr>
            </w:pPr>
            <w:r>
              <w:rPr>
                <w:color w:val="000000"/>
                <w:sz w:val="22"/>
                <w:szCs w:val="22"/>
              </w:rPr>
              <w:t>8911</w:t>
            </w:r>
          </w:p>
        </w:tc>
        <w:tc>
          <w:tcPr>
            <w:tcW w:w="2880" w:type="dxa"/>
            <w:tcBorders>
              <w:top w:val="nil"/>
              <w:left w:val="nil"/>
              <w:bottom w:val="single" w:sz="4" w:space="0" w:color="auto"/>
              <w:right w:val="single" w:sz="4" w:space="0" w:color="auto"/>
            </w:tcBorders>
            <w:noWrap/>
            <w:vAlign w:val="bottom"/>
          </w:tcPr>
          <w:p w14:paraId="3803C794" w14:textId="77777777" w:rsidR="00583B86" w:rsidRPr="00583B86" w:rsidRDefault="00583B86" w:rsidP="00912A9E">
            <w:pPr>
              <w:jc w:val="center"/>
              <w:rPr>
                <w:color w:val="000000"/>
              </w:rPr>
            </w:pPr>
            <w:r>
              <w:rPr>
                <w:color w:val="000000"/>
                <w:sz w:val="22"/>
                <w:szCs w:val="22"/>
              </w:rPr>
              <w:t>3075</w:t>
            </w:r>
          </w:p>
        </w:tc>
        <w:tc>
          <w:tcPr>
            <w:tcW w:w="3600" w:type="dxa"/>
            <w:tcBorders>
              <w:top w:val="nil"/>
              <w:left w:val="nil"/>
              <w:bottom w:val="single" w:sz="4" w:space="0" w:color="auto"/>
              <w:right w:val="single" w:sz="4" w:space="0" w:color="auto"/>
            </w:tcBorders>
            <w:noWrap/>
            <w:vAlign w:val="bottom"/>
          </w:tcPr>
          <w:p w14:paraId="040C3790" w14:textId="77777777" w:rsidR="00583B86" w:rsidRPr="00583B86" w:rsidRDefault="00583B86" w:rsidP="00912A9E">
            <w:pPr>
              <w:jc w:val="center"/>
              <w:rPr>
                <w:color w:val="000000"/>
              </w:rPr>
            </w:pPr>
            <w:r w:rsidRPr="00D25B08">
              <w:rPr>
                <w:color w:val="000000"/>
                <w:sz w:val="22"/>
                <w:szCs w:val="22"/>
              </w:rPr>
              <w:t>2.</w:t>
            </w:r>
            <w:r>
              <w:rPr>
                <w:color w:val="000000"/>
                <w:sz w:val="22"/>
                <w:szCs w:val="22"/>
              </w:rPr>
              <w:t>90 (</w:t>
            </w:r>
            <w:r w:rsidRPr="00D25B08">
              <w:rPr>
                <w:color w:val="000000"/>
                <w:sz w:val="22"/>
                <w:szCs w:val="22"/>
              </w:rPr>
              <w:t>2.84 -</w:t>
            </w:r>
            <w:r>
              <w:rPr>
                <w:color w:val="000000"/>
                <w:sz w:val="22"/>
                <w:szCs w:val="22"/>
              </w:rPr>
              <w:t xml:space="preserve"> </w:t>
            </w:r>
            <w:r w:rsidRPr="00D25B08">
              <w:rPr>
                <w:color w:val="000000"/>
                <w:sz w:val="22"/>
                <w:szCs w:val="22"/>
              </w:rPr>
              <w:t>2.96</w:t>
            </w:r>
            <w:r>
              <w:rPr>
                <w:color w:val="000000"/>
                <w:sz w:val="22"/>
                <w:szCs w:val="22"/>
              </w:rPr>
              <w:t>)</w:t>
            </w:r>
          </w:p>
        </w:tc>
      </w:tr>
      <w:tr w:rsidR="00583B86" w:rsidRPr="00D94B08" w14:paraId="3F20FF67"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45FF6C37" w14:textId="77777777" w:rsidR="00583B86" w:rsidRPr="00583B86" w:rsidRDefault="00583B86" w:rsidP="00912A9E">
            <w:pPr>
              <w:rPr>
                <w:bCs/>
                <w:color w:val="000000"/>
                <w:lang w:eastAsia="nl-NL"/>
              </w:rPr>
            </w:pPr>
            <w:r w:rsidRPr="00920D71">
              <w:rPr>
                <w:bCs/>
                <w:color w:val="000000"/>
                <w:sz w:val="22"/>
                <w:szCs w:val="22"/>
                <w:lang w:eastAsia="nl-NL"/>
              </w:rPr>
              <w:t xml:space="preserve">   Unknown </w:t>
            </w:r>
          </w:p>
        </w:tc>
        <w:tc>
          <w:tcPr>
            <w:tcW w:w="2520" w:type="dxa"/>
            <w:tcBorders>
              <w:top w:val="nil"/>
              <w:left w:val="nil"/>
              <w:bottom w:val="single" w:sz="4" w:space="0" w:color="auto"/>
              <w:right w:val="single" w:sz="4" w:space="0" w:color="auto"/>
            </w:tcBorders>
            <w:noWrap/>
            <w:vAlign w:val="bottom"/>
          </w:tcPr>
          <w:p w14:paraId="72E7426F" w14:textId="77777777" w:rsidR="00583B86" w:rsidRPr="00583B86" w:rsidRDefault="00583B86" w:rsidP="00912A9E">
            <w:pPr>
              <w:jc w:val="center"/>
              <w:rPr>
                <w:color w:val="000000"/>
              </w:rPr>
            </w:pPr>
            <w:r>
              <w:rPr>
                <w:color w:val="000000"/>
                <w:sz w:val="22"/>
                <w:szCs w:val="22"/>
              </w:rPr>
              <w:t>2170</w:t>
            </w:r>
          </w:p>
        </w:tc>
        <w:tc>
          <w:tcPr>
            <w:tcW w:w="2880" w:type="dxa"/>
            <w:tcBorders>
              <w:top w:val="nil"/>
              <w:left w:val="nil"/>
              <w:bottom w:val="single" w:sz="4" w:space="0" w:color="auto"/>
              <w:right w:val="single" w:sz="4" w:space="0" w:color="auto"/>
            </w:tcBorders>
            <w:noWrap/>
            <w:vAlign w:val="bottom"/>
          </w:tcPr>
          <w:p w14:paraId="2CEC8EF7" w14:textId="77777777" w:rsidR="00583B86" w:rsidRPr="00583B86" w:rsidRDefault="00583B86" w:rsidP="00912A9E">
            <w:pPr>
              <w:jc w:val="center"/>
              <w:rPr>
                <w:color w:val="000000"/>
              </w:rPr>
            </w:pPr>
            <w:r>
              <w:rPr>
                <w:color w:val="000000"/>
                <w:sz w:val="22"/>
                <w:szCs w:val="22"/>
              </w:rPr>
              <w:t>453</w:t>
            </w:r>
          </w:p>
        </w:tc>
        <w:tc>
          <w:tcPr>
            <w:tcW w:w="3600" w:type="dxa"/>
            <w:tcBorders>
              <w:top w:val="nil"/>
              <w:left w:val="nil"/>
              <w:bottom w:val="single" w:sz="4" w:space="0" w:color="auto"/>
              <w:right w:val="single" w:sz="4" w:space="0" w:color="auto"/>
            </w:tcBorders>
            <w:noWrap/>
            <w:vAlign w:val="bottom"/>
          </w:tcPr>
          <w:p w14:paraId="0A357047" w14:textId="77777777" w:rsidR="00583B86" w:rsidRPr="00583B86" w:rsidRDefault="00583B86" w:rsidP="00912A9E">
            <w:pPr>
              <w:jc w:val="center"/>
              <w:rPr>
                <w:color w:val="000000"/>
              </w:rPr>
            </w:pPr>
            <w:r w:rsidRPr="00D25B08">
              <w:rPr>
                <w:color w:val="000000"/>
                <w:sz w:val="22"/>
                <w:szCs w:val="22"/>
              </w:rPr>
              <w:t>4.79</w:t>
            </w:r>
            <w:r>
              <w:rPr>
                <w:color w:val="000000"/>
                <w:sz w:val="22"/>
                <w:szCs w:val="22"/>
              </w:rPr>
              <w:t xml:space="preserve"> (</w:t>
            </w:r>
            <w:r w:rsidRPr="00D25B08">
              <w:rPr>
                <w:color w:val="000000"/>
                <w:sz w:val="22"/>
                <w:szCs w:val="22"/>
              </w:rPr>
              <w:t>4.59 -</w:t>
            </w:r>
            <w:r>
              <w:rPr>
                <w:color w:val="000000"/>
                <w:sz w:val="22"/>
                <w:szCs w:val="22"/>
              </w:rPr>
              <w:t xml:space="preserve"> </w:t>
            </w:r>
            <w:r w:rsidRPr="00D25B08">
              <w:rPr>
                <w:color w:val="000000"/>
                <w:sz w:val="22"/>
                <w:szCs w:val="22"/>
              </w:rPr>
              <w:t>4.99</w:t>
            </w:r>
            <w:r>
              <w:rPr>
                <w:color w:val="000000"/>
                <w:sz w:val="22"/>
                <w:szCs w:val="22"/>
              </w:rPr>
              <w:t>)</w:t>
            </w:r>
          </w:p>
        </w:tc>
      </w:tr>
      <w:tr w:rsidR="00583B86" w:rsidRPr="00D94B08" w14:paraId="543AEAB5" w14:textId="77777777" w:rsidTr="00D25B08">
        <w:trPr>
          <w:trHeight w:val="300"/>
        </w:trPr>
        <w:tc>
          <w:tcPr>
            <w:tcW w:w="3075" w:type="dxa"/>
            <w:tcBorders>
              <w:top w:val="nil"/>
              <w:left w:val="single" w:sz="4" w:space="0" w:color="auto"/>
              <w:bottom w:val="nil"/>
              <w:right w:val="single" w:sz="4" w:space="0" w:color="auto"/>
            </w:tcBorders>
            <w:noWrap/>
            <w:vAlign w:val="bottom"/>
          </w:tcPr>
          <w:p w14:paraId="6FF2E151" w14:textId="77777777" w:rsidR="00583B86" w:rsidRPr="00583B86" w:rsidRDefault="00583B86" w:rsidP="00912A9E">
            <w:pPr>
              <w:rPr>
                <w:bCs/>
                <w:color w:val="000000"/>
                <w:lang w:eastAsia="nl-NL"/>
              </w:rPr>
            </w:pPr>
            <w:r>
              <w:rPr>
                <w:bCs/>
                <w:color w:val="000000"/>
                <w:sz w:val="22"/>
                <w:szCs w:val="22"/>
                <w:lang w:eastAsia="nl-NL"/>
              </w:rPr>
              <w:t>By region *</w:t>
            </w:r>
            <w:r>
              <w:rPr>
                <w:color w:val="000000"/>
                <w:sz w:val="22"/>
                <w:szCs w:val="22"/>
                <w:lang w:val="en-US" w:eastAsia="en-US"/>
              </w:rPr>
              <w:t>‡</w:t>
            </w:r>
          </w:p>
        </w:tc>
        <w:tc>
          <w:tcPr>
            <w:tcW w:w="2520" w:type="dxa"/>
            <w:tcBorders>
              <w:top w:val="nil"/>
              <w:left w:val="nil"/>
              <w:bottom w:val="nil"/>
              <w:right w:val="single" w:sz="4" w:space="0" w:color="auto"/>
            </w:tcBorders>
            <w:noWrap/>
            <w:vAlign w:val="bottom"/>
          </w:tcPr>
          <w:p w14:paraId="53BAC487" w14:textId="77777777" w:rsidR="00583B86" w:rsidRPr="00583B86" w:rsidRDefault="00583B86" w:rsidP="00912A9E">
            <w:pPr>
              <w:jc w:val="center"/>
              <w:rPr>
                <w:color w:val="000000"/>
              </w:rPr>
            </w:pPr>
          </w:p>
        </w:tc>
        <w:tc>
          <w:tcPr>
            <w:tcW w:w="2880" w:type="dxa"/>
            <w:tcBorders>
              <w:top w:val="nil"/>
              <w:left w:val="nil"/>
              <w:bottom w:val="nil"/>
              <w:right w:val="single" w:sz="4" w:space="0" w:color="auto"/>
            </w:tcBorders>
            <w:noWrap/>
            <w:vAlign w:val="bottom"/>
          </w:tcPr>
          <w:p w14:paraId="3F1262A8" w14:textId="77777777" w:rsidR="00583B86" w:rsidRPr="00583B86" w:rsidRDefault="00583B86" w:rsidP="00912A9E">
            <w:pPr>
              <w:jc w:val="center"/>
              <w:rPr>
                <w:color w:val="000000"/>
              </w:rPr>
            </w:pPr>
          </w:p>
        </w:tc>
        <w:tc>
          <w:tcPr>
            <w:tcW w:w="3600" w:type="dxa"/>
            <w:tcBorders>
              <w:top w:val="nil"/>
              <w:left w:val="nil"/>
              <w:bottom w:val="nil"/>
              <w:right w:val="single" w:sz="4" w:space="0" w:color="auto"/>
            </w:tcBorders>
            <w:noWrap/>
            <w:vAlign w:val="bottom"/>
          </w:tcPr>
          <w:p w14:paraId="3F5FAB49" w14:textId="77777777" w:rsidR="00583B86" w:rsidRPr="00583B86" w:rsidRDefault="00583B86" w:rsidP="00912A9E">
            <w:pPr>
              <w:jc w:val="center"/>
              <w:rPr>
                <w:color w:val="000000"/>
              </w:rPr>
            </w:pPr>
          </w:p>
        </w:tc>
      </w:tr>
      <w:tr w:rsidR="00583B86" w:rsidRPr="00D94B08" w14:paraId="1944AD63" w14:textId="77777777" w:rsidTr="00D25B08">
        <w:trPr>
          <w:trHeight w:val="300"/>
        </w:trPr>
        <w:tc>
          <w:tcPr>
            <w:tcW w:w="3075" w:type="dxa"/>
            <w:tcBorders>
              <w:top w:val="nil"/>
              <w:left w:val="single" w:sz="4" w:space="0" w:color="auto"/>
              <w:bottom w:val="nil"/>
              <w:right w:val="single" w:sz="4" w:space="0" w:color="auto"/>
            </w:tcBorders>
            <w:noWrap/>
            <w:vAlign w:val="bottom"/>
          </w:tcPr>
          <w:p w14:paraId="734AFDC3" w14:textId="77777777" w:rsidR="00583B86" w:rsidRPr="00D25B08" w:rsidRDefault="00583B86" w:rsidP="00912A9E">
            <w:pPr>
              <w:rPr>
                <w:bCs/>
                <w:color w:val="000000"/>
                <w:lang w:eastAsia="nl-NL"/>
              </w:rPr>
            </w:pPr>
            <w:r w:rsidRPr="00D94B08">
              <w:rPr>
                <w:color w:val="000000"/>
                <w:sz w:val="22"/>
                <w:szCs w:val="22"/>
                <w:lang w:val="en-US" w:eastAsia="en-US"/>
              </w:rPr>
              <w:t xml:space="preserve">   London</w:t>
            </w:r>
          </w:p>
        </w:tc>
        <w:tc>
          <w:tcPr>
            <w:tcW w:w="2520" w:type="dxa"/>
            <w:tcBorders>
              <w:top w:val="nil"/>
              <w:left w:val="nil"/>
              <w:bottom w:val="nil"/>
              <w:right w:val="single" w:sz="4" w:space="0" w:color="auto"/>
            </w:tcBorders>
            <w:noWrap/>
            <w:vAlign w:val="bottom"/>
          </w:tcPr>
          <w:p w14:paraId="1EF62424" w14:textId="77777777" w:rsidR="00583B86" w:rsidRPr="00D25B08" w:rsidRDefault="00583B86" w:rsidP="00912A9E">
            <w:pPr>
              <w:jc w:val="center"/>
              <w:rPr>
                <w:color w:val="000000"/>
              </w:rPr>
            </w:pPr>
            <w:r>
              <w:rPr>
                <w:color w:val="000000"/>
                <w:sz w:val="22"/>
                <w:szCs w:val="22"/>
              </w:rPr>
              <w:t>1032</w:t>
            </w:r>
          </w:p>
        </w:tc>
        <w:tc>
          <w:tcPr>
            <w:tcW w:w="2880" w:type="dxa"/>
            <w:tcBorders>
              <w:top w:val="nil"/>
              <w:left w:val="nil"/>
              <w:bottom w:val="nil"/>
              <w:right w:val="single" w:sz="4" w:space="0" w:color="auto"/>
            </w:tcBorders>
            <w:noWrap/>
            <w:vAlign w:val="bottom"/>
          </w:tcPr>
          <w:p w14:paraId="63D54E1F" w14:textId="77777777" w:rsidR="00583B86" w:rsidRPr="00D25B08" w:rsidRDefault="00583B86" w:rsidP="00912A9E">
            <w:pPr>
              <w:jc w:val="center"/>
              <w:rPr>
                <w:color w:val="000000"/>
              </w:rPr>
            </w:pPr>
            <w:r>
              <w:rPr>
                <w:color w:val="000000"/>
                <w:sz w:val="22"/>
                <w:szCs w:val="22"/>
              </w:rPr>
              <w:t>377</w:t>
            </w:r>
          </w:p>
        </w:tc>
        <w:tc>
          <w:tcPr>
            <w:tcW w:w="3600" w:type="dxa"/>
            <w:tcBorders>
              <w:top w:val="nil"/>
              <w:left w:val="nil"/>
              <w:bottom w:val="nil"/>
              <w:right w:val="single" w:sz="4" w:space="0" w:color="auto"/>
            </w:tcBorders>
            <w:noWrap/>
            <w:vAlign w:val="bottom"/>
          </w:tcPr>
          <w:p w14:paraId="0922DB53" w14:textId="77777777" w:rsidR="00583B86" w:rsidRPr="002739D3" w:rsidRDefault="00583B86" w:rsidP="00912A9E">
            <w:pPr>
              <w:jc w:val="center"/>
              <w:rPr>
                <w:color w:val="000000"/>
              </w:rPr>
            </w:pPr>
            <w:r>
              <w:rPr>
                <w:color w:val="000000"/>
                <w:sz w:val="22"/>
                <w:szCs w:val="22"/>
              </w:rPr>
              <w:t>2.87</w:t>
            </w:r>
            <w:r w:rsidRPr="002739D3">
              <w:rPr>
                <w:color w:val="000000"/>
                <w:sz w:val="22"/>
                <w:szCs w:val="22"/>
              </w:rPr>
              <w:t xml:space="preserve"> (2.7</w:t>
            </w:r>
            <w:r>
              <w:rPr>
                <w:color w:val="000000"/>
                <w:sz w:val="22"/>
                <w:szCs w:val="22"/>
              </w:rPr>
              <w:t>0</w:t>
            </w:r>
            <w:r w:rsidRPr="002739D3">
              <w:rPr>
                <w:color w:val="000000"/>
                <w:sz w:val="22"/>
                <w:szCs w:val="22"/>
              </w:rPr>
              <w:t xml:space="preserve"> -</w:t>
            </w:r>
            <w:r>
              <w:rPr>
                <w:color w:val="000000"/>
                <w:sz w:val="22"/>
                <w:szCs w:val="22"/>
              </w:rPr>
              <w:t xml:space="preserve"> </w:t>
            </w:r>
            <w:r w:rsidRPr="002739D3">
              <w:rPr>
                <w:color w:val="000000"/>
                <w:sz w:val="22"/>
                <w:szCs w:val="22"/>
              </w:rPr>
              <w:t>3.05</w:t>
            </w:r>
            <w:r>
              <w:rPr>
                <w:color w:val="000000"/>
                <w:sz w:val="22"/>
                <w:szCs w:val="22"/>
              </w:rPr>
              <w:t>)</w:t>
            </w:r>
          </w:p>
        </w:tc>
      </w:tr>
      <w:tr w:rsidR="00583B86" w:rsidRPr="00D94B08" w14:paraId="21E1AE7F" w14:textId="77777777" w:rsidTr="00D25B08">
        <w:trPr>
          <w:trHeight w:val="300"/>
        </w:trPr>
        <w:tc>
          <w:tcPr>
            <w:tcW w:w="3075" w:type="dxa"/>
            <w:tcBorders>
              <w:top w:val="nil"/>
              <w:left w:val="single" w:sz="4" w:space="0" w:color="auto"/>
              <w:bottom w:val="nil"/>
              <w:right w:val="single" w:sz="4" w:space="0" w:color="auto"/>
            </w:tcBorders>
            <w:noWrap/>
            <w:vAlign w:val="bottom"/>
          </w:tcPr>
          <w:p w14:paraId="7ABC6536" w14:textId="77777777" w:rsidR="00583B86" w:rsidRPr="00D25B08" w:rsidRDefault="00583B86" w:rsidP="00912A9E">
            <w:pPr>
              <w:rPr>
                <w:bCs/>
                <w:color w:val="000000"/>
                <w:lang w:eastAsia="nl-NL"/>
              </w:rPr>
            </w:pPr>
            <w:r w:rsidRPr="00D94B08">
              <w:rPr>
                <w:color w:val="000000"/>
                <w:sz w:val="22"/>
                <w:szCs w:val="22"/>
                <w:lang w:val="en-US" w:eastAsia="en-US"/>
              </w:rPr>
              <w:t xml:space="preserve">   East of England</w:t>
            </w:r>
          </w:p>
        </w:tc>
        <w:tc>
          <w:tcPr>
            <w:tcW w:w="2520" w:type="dxa"/>
            <w:tcBorders>
              <w:top w:val="nil"/>
              <w:left w:val="nil"/>
              <w:bottom w:val="nil"/>
              <w:right w:val="single" w:sz="4" w:space="0" w:color="auto"/>
            </w:tcBorders>
            <w:noWrap/>
            <w:vAlign w:val="bottom"/>
          </w:tcPr>
          <w:p w14:paraId="2883B5F0" w14:textId="77777777" w:rsidR="00583B86" w:rsidRPr="00D25B08" w:rsidRDefault="00583B86" w:rsidP="00912A9E">
            <w:pPr>
              <w:jc w:val="center"/>
              <w:rPr>
                <w:color w:val="000000"/>
              </w:rPr>
            </w:pPr>
            <w:r>
              <w:rPr>
                <w:color w:val="000000"/>
                <w:sz w:val="22"/>
                <w:szCs w:val="22"/>
              </w:rPr>
              <w:t>1362</w:t>
            </w:r>
          </w:p>
        </w:tc>
        <w:tc>
          <w:tcPr>
            <w:tcW w:w="2880" w:type="dxa"/>
            <w:tcBorders>
              <w:top w:val="nil"/>
              <w:left w:val="nil"/>
              <w:bottom w:val="nil"/>
              <w:right w:val="single" w:sz="4" w:space="0" w:color="auto"/>
            </w:tcBorders>
            <w:noWrap/>
            <w:vAlign w:val="bottom"/>
          </w:tcPr>
          <w:p w14:paraId="5FE792A0" w14:textId="77777777" w:rsidR="00583B86" w:rsidRPr="00D25B08" w:rsidRDefault="00583B86" w:rsidP="00912A9E">
            <w:pPr>
              <w:jc w:val="center"/>
              <w:rPr>
                <w:color w:val="000000"/>
              </w:rPr>
            </w:pPr>
            <w:r>
              <w:rPr>
                <w:color w:val="000000"/>
                <w:sz w:val="22"/>
                <w:szCs w:val="22"/>
              </w:rPr>
              <w:t>418</w:t>
            </w:r>
          </w:p>
        </w:tc>
        <w:tc>
          <w:tcPr>
            <w:tcW w:w="3600" w:type="dxa"/>
            <w:tcBorders>
              <w:top w:val="nil"/>
              <w:left w:val="nil"/>
              <w:bottom w:val="nil"/>
              <w:right w:val="single" w:sz="4" w:space="0" w:color="auto"/>
            </w:tcBorders>
            <w:noWrap/>
            <w:vAlign w:val="bottom"/>
          </w:tcPr>
          <w:p w14:paraId="51F0E72E" w14:textId="77777777" w:rsidR="00583B86" w:rsidRPr="00902C0C" w:rsidRDefault="00583B86" w:rsidP="00912A9E">
            <w:pPr>
              <w:jc w:val="center"/>
              <w:rPr>
                <w:color w:val="000000"/>
              </w:rPr>
            </w:pPr>
            <w:r>
              <w:rPr>
                <w:color w:val="000000"/>
                <w:sz w:val="22"/>
                <w:szCs w:val="22"/>
              </w:rPr>
              <w:t xml:space="preserve">3.26 </w:t>
            </w:r>
            <w:r w:rsidRPr="00902C0C">
              <w:rPr>
                <w:color w:val="000000"/>
                <w:sz w:val="22"/>
                <w:szCs w:val="22"/>
              </w:rPr>
              <w:t>(3.09 -</w:t>
            </w:r>
            <w:r>
              <w:rPr>
                <w:color w:val="000000"/>
                <w:sz w:val="22"/>
                <w:szCs w:val="22"/>
              </w:rPr>
              <w:t xml:space="preserve"> </w:t>
            </w:r>
            <w:r w:rsidRPr="00902C0C">
              <w:rPr>
                <w:color w:val="000000"/>
                <w:sz w:val="22"/>
                <w:szCs w:val="22"/>
              </w:rPr>
              <w:t>3.43</w:t>
            </w:r>
            <w:r>
              <w:rPr>
                <w:color w:val="000000"/>
                <w:sz w:val="22"/>
                <w:szCs w:val="22"/>
              </w:rPr>
              <w:t>)</w:t>
            </w:r>
          </w:p>
        </w:tc>
      </w:tr>
      <w:tr w:rsidR="00583B86" w:rsidRPr="00D94B08" w14:paraId="28FCB85E" w14:textId="77777777" w:rsidTr="00D25B08">
        <w:trPr>
          <w:trHeight w:val="300"/>
        </w:trPr>
        <w:tc>
          <w:tcPr>
            <w:tcW w:w="3075" w:type="dxa"/>
            <w:tcBorders>
              <w:top w:val="nil"/>
              <w:left w:val="single" w:sz="4" w:space="0" w:color="auto"/>
              <w:bottom w:val="nil"/>
              <w:right w:val="single" w:sz="4" w:space="0" w:color="auto"/>
            </w:tcBorders>
            <w:noWrap/>
            <w:vAlign w:val="bottom"/>
          </w:tcPr>
          <w:p w14:paraId="69F00F5B" w14:textId="77777777" w:rsidR="00583B86" w:rsidRPr="00D94B08" w:rsidRDefault="00583B86" w:rsidP="00912A9E">
            <w:pPr>
              <w:rPr>
                <w:bCs/>
                <w:color w:val="000000"/>
                <w:lang w:eastAsia="nl-NL"/>
              </w:rPr>
            </w:pPr>
            <w:r w:rsidRPr="00D94B08">
              <w:rPr>
                <w:color w:val="000000"/>
                <w:sz w:val="22"/>
                <w:szCs w:val="22"/>
                <w:lang w:val="en-US" w:eastAsia="en-US"/>
              </w:rPr>
              <w:t xml:space="preserve">   North West</w:t>
            </w:r>
          </w:p>
        </w:tc>
        <w:tc>
          <w:tcPr>
            <w:tcW w:w="2520" w:type="dxa"/>
            <w:tcBorders>
              <w:top w:val="nil"/>
              <w:left w:val="nil"/>
              <w:bottom w:val="nil"/>
              <w:right w:val="single" w:sz="4" w:space="0" w:color="auto"/>
            </w:tcBorders>
            <w:noWrap/>
            <w:vAlign w:val="bottom"/>
          </w:tcPr>
          <w:p w14:paraId="398A125E" w14:textId="77777777" w:rsidR="00583B86" w:rsidRPr="00D94B08" w:rsidRDefault="00583B86" w:rsidP="00912A9E">
            <w:pPr>
              <w:jc w:val="center"/>
              <w:rPr>
                <w:color w:val="000000"/>
              </w:rPr>
            </w:pPr>
            <w:r>
              <w:rPr>
                <w:color w:val="000000"/>
                <w:sz w:val="22"/>
                <w:szCs w:val="22"/>
              </w:rPr>
              <w:t>2015</w:t>
            </w:r>
          </w:p>
        </w:tc>
        <w:tc>
          <w:tcPr>
            <w:tcW w:w="2880" w:type="dxa"/>
            <w:tcBorders>
              <w:top w:val="nil"/>
              <w:left w:val="nil"/>
              <w:bottom w:val="nil"/>
              <w:right w:val="single" w:sz="4" w:space="0" w:color="auto"/>
            </w:tcBorders>
            <w:noWrap/>
            <w:vAlign w:val="bottom"/>
          </w:tcPr>
          <w:p w14:paraId="00EF60BE" w14:textId="77777777" w:rsidR="00583B86" w:rsidRPr="00D94B08" w:rsidRDefault="00583B86" w:rsidP="00912A9E">
            <w:pPr>
              <w:jc w:val="center"/>
              <w:rPr>
                <w:color w:val="000000"/>
              </w:rPr>
            </w:pPr>
            <w:r>
              <w:rPr>
                <w:color w:val="000000"/>
                <w:sz w:val="22"/>
                <w:szCs w:val="22"/>
              </w:rPr>
              <w:t>582</w:t>
            </w:r>
          </w:p>
        </w:tc>
        <w:tc>
          <w:tcPr>
            <w:tcW w:w="3600" w:type="dxa"/>
            <w:tcBorders>
              <w:top w:val="nil"/>
              <w:left w:val="nil"/>
              <w:bottom w:val="nil"/>
              <w:right w:val="single" w:sz="4" w:space="0" w:color="auto"/>
            </w:tcBorders>
            <w:noWrap/>
            <w:vAlign w:val="bottom"/>
          </w:tcPr>
          <w:p w14:paraId="7A5EFC29" w14:textId="77777777" w:rsidR="00583B86" w:rsidRPr="00902C0C" w:rsidRDefault="00583B86" w:rsidP="00912A9E">
            <w:pPr>
              <w:jc w:val="center"/>
              <w:rPr>
                <w:color w:val="000000"/>
              </w:rPr>
            </w:pPr>
            <w:r w:rsidRPr="00902C0C">
              <w:rPr>
                <w:color w:val="000000"/>
                <w:sz w:val="22"/>
                <w:szCs w:val="22"/>
              </w:rPr>
              <w:t>3.46 (3.31 -</w:t>
            </w:r>
            <w:r>
              <w:rPr>
                <w:color w:val="000000"/>
                <w:sz w:val="22"/>
                <w:szCs w:val="22"/>
              </w:rPr>
              <w:t xml:space="preserve"> </w:t>
            </w:r>
            <w:r w:rsidRPr="00902C0C">
              <w:rPr>
                <w:color w:val="000000"/>
                <w:sz w:val="22"/>
                <w:szCs w:val="22"/>
              </w:rPr>
              <w:t>3.61</w:t>
            </w:r>
            <w:r>
              <w:rPr>
                <w:color w:val="000000"/>
                <w:sz w:val="22"/>
                <w:szCs w:val="22"/>
              </w:rPr>
              <w:t>)</w:t>
            </w:r>
          </w:p>
        </w:tc>
      </w:tr>
      <w:tr w:rsidR="00583B86" w:rsidRPr="00D94B08" w14:paraId="084BA633" w14:textId="77777777" w:rsidTr="00D25B08">
        <w:trPr>
          <w:trHeight w:val="300"/>
        </w:trPr>
        <w:tc>
          <w:tcPr>
            <w:tcW w:w="3075" w:type="dxa"/>
            <w:tcBorders>
              <w:top w:val="nil"/>
              <w:left w:val="single" w:sz="4" w:space="0" w:color="auto"/>
              <w:bottom w:val="nil"/>
              <w:right w:val="single" w:sz="4" w:space="0" w:color="auto"/>
            </w:tcBorders>
            <w:noWrap/>
            <w:vAlign w:val="bottom"/>
          </w:tcPr>
          <w:p w14:paraId="0239BCC1" w14:textId="77777777" w:rsidR="00583B86" w:rsidRPr="00D94B08" w:rsidRDefault="00583B86" w:rsidP="00912A9E">
            <w:pPr>
              <w:rPr>
                <w:bCs/>
                <w:color w:val="000000"/>
                <w:lang w:eastAsia="nl-NL"/>
              </w:rPr>
            </w:pPr>
            <w:r w:rsidRPr="00D94B08">
              <w:rPr>
                <w:color w:val="000000"/>
                <w:sz w:val="22"/>
                <w:szCs w:val="22"/>
                <w:lang w:val="en-US" w:eastAsia="en-US"/>
              </w:rPr>
              <w:t xml:space="preserve">   South Central</w:t>
            </w:r>
          </w:p>
        </w:tc>
        <w:tc>
          <w:tcPr>
            <w:tcW w:w="2520" w:type="dxa"/>
            <w:tcBorders>
              <w:top w:val="nil"/>
              <w:left w:val="nil"/>
              <w:bottom w:val="nil"/>
              <w:right w:val="single" w:sz="4" w:space="0" w:color="auto"/>
            </w:tcBorders>
            <w:noWrap/>
            <w:vAlign w:val="bottom"/>
          </w:tcPr>
          <w:p w14:paraId="7C0AD9FA" w14:textId="77777777" w:rsidR="00583B86" w:rsidRPr="00D94B08" w:rsidRDefault="00583B86" w:rsidP="00912A9E">
            <w:pPr>
              <w:jc w:val="center"/>
              <w:rPr>
                <w:color w:val="000000"/>
              </w:rPr>
            </w:pPr>
            <w:r>
              <w:rPr>
                <w:color w:val="000000"/>
              </w:rPr>
              <w:t>1452</w:t>
            </w:r>
          </w:p>
        </w:tc>
        <w:tc>
          <w:tcPr>
            <w:tcW w:w="2880" w:type="dxa"/>
            <w:tcBorders>
              <w:top w:val="nil"/>
              <w:left w:val="nil"/>
              <w:bottom w:val="nil"/>
              <w:right w:val="single" w:sz="4" w:space="0" w:color="auto"/>
            </w:tcBorders>
            <w:noWrap/>
            <w:vAlign w:val="bottom"/>
          </w:tcPr>
          <w:p w14:paraId="47594FEC" w14:textId="77777777" w:rsidR="00583B86" w:rsidRPr="00D94B08" w:rsidRDefault="00583B86" w:rsidP="00912A9E">
            <w:pPr>
              <w:jc w:val="center"/>
              <w:rPr>
                <w:color w:val="000000"/>
              </w:rPr>
            </w:pPr>
            <w:r>
              <w:rPr>
                <w:color w:val="000000"/>
              </w:rPr>
              <w:t>464</w:t>
            </w:r>
          </w:p>
        </w:tc>
        <w:tc>
          <w:tcPr>
            <w:tcW w:w="3600" w:type="dxa"/>
            <w:tcBorders>
              <w:top w:val="nil"/>
              <w:left w:val="nil"/>
              <w:bottom w:val="nil"/>
              <w:right w:val="single" w:sz="4" w:space="0" w:color="auto"/>
            </w:tcBorders>
            <w:noWrap/>
            <w:vAlign w:val="bottom"/>
          </w:tcPr>
          <w:p w14:paraId="485BE421" w14:textId="77777777" w:rsidR="00583B86" w:rsidRPr="00583B86" w:rsidRDefault="00583B86" w:rsidP="00912A9E">
            <w:pPr>
              <w:jc w:val="center"/>
              <w:rPr>
                <w:color w:val="000000"/>
              </w:rPr>
            </w:pPr>
            <w:r w:rsidRPr="00920D71">
              <w:rPr>
                <w:color w:val="000000"/>
                <w:sz w:val="22"/>
                <w:szCs w:val="22"/>
              </w:rPr>
              <w:t>3.13 (2.97 - 3.29)</w:t>
            </w:r>
          </w:p>
        </w:tc>
      </w:tr>
      <w:tr w:rsidR="00583B86" w:rsidRPr="00D94B08" w14:paraId="14CAD352" w14:textId="77777777" w:rsidTr="00D25B08">
        <w:trPr>
          <w:trHeight w:val="300"/>
        </w:trPr>
        <w:tc>
          <w:tcPr>
            <w:tcW w:w="3075" w:type="dxa"/>
            <w:tcBorders>
              <w:top w:val="nil"/>
              <w:left w:val="single" w:sz="4" w:space="0" w:color="auto"/>
              <w:bottom w:val="nil"/>
              <w:right w:val="single" w:sz="4" w:space="0" w:color="auto"/>
            </w:tcBorders>
            <w:noWrap/>
            <w:vAlign w:val="bottom"/>
          </w:tcPr>
          <w:p w14:paraId="5933AEB2" w14:textId="77777777" w:rsidR="00583B86" w:rsidRPr="00D94B08" w:rsidRDefault="00583B86" w:rsidP="00912A9E">
            <w:pPr>
              <w:rPr>
                <w:bCs/>
                <w:color w:val="000000"/>
                <w:lang w:eastAsia="nl-NL"/>
              </w:rPr>
            </w:pPr>
            <w:r w:rsidRPr="00D94B08">
              <w:rPr>
                <w:color w:val="000000"/>
                <w:sz w:val="22"/>
                <w:szCs w:val="22"/>
                <w:lang w:val="en-US" w:eastAsia="en-US"/>
              </w:rPr>
              <w:t xml:space="preserve">   South East Coast</w:t>
            </w:r>
          </w:p>
        </w:tc>
        <w:tc>
          <w:tcPr>
            <w:tcW w:w="2520" w:type="dxa"/>
            <w:tcBorders>
              <w:top w:val="nil"/>
              <w:left w:val="nil"/>
              <w:bottom w:val="nil"/>
              <w:right w:val="single" w:sz="4" w:space="0" w:color="auto"/>
            </w:tcBorders>
            <w:noWrap/>
            <w:vAlign w:val="bottom"/>
          </w:tcPr>
          <w:p w14:paraId="2EC1B709" w14:textId="77777777" w:rsidR="00583B86" w:rsidRPr="00D94B08" w:rsidRDefault="00583B86" w:rsidP="00912A9E">
            <w:pPr>
              <w:jc w:val="center"/>
              <w:rPr>
                <w:color w:val="000000"/>
              </w:rPr>
            </w:pPr>
            <w:r>
              <w:rPr>
                <w:color w:val="000000"/>
                <w:sz w:val="22"/>
                <w:szCs w:val="22"/>
              </w:rPr>
              <w:t>1363</w:t>
            </w:r>
          </w:p>
        </w:tc>
        <w:tc>
          <w:tcPr>
            <w:tcW w:w="2880" w:type="dxa"/>
            <w:tcBorders>
              <w:top w:val="nil"/>
              <w:left w:val="nil"/>
              <w:bottom w:val="nil"/>
              <w:right w:val="single" w:sz="4" w:space="0" w:color="auto"/>
            </w:tcBorders>
            <w:noWrap/>
            <w:vAlign w:val="bottom"/>
          </w:tcPr>
          <w:p w14:paraId="58979BFA" w14:textId="77777777" w:rsidR="00583B86" w:rsidRPr="00D94B08" w:rsidRDefault="00583B86" w:rsidP="00912A9E">
            <w:pPr>
              <w:jc w:val="center"/>
              <w:rPr>
                <w:color w:val="000000"/>
              </w:rPr>
            </w:pPr>
            <w:r>
              <w:rPr>
                <w:color w:val="000000"/>
                <w:sz w:val="22"/>
                <w:szCs w:val="22"/>
              </w:rPr>
              <w:t>458</w:t>
            </w:r>
          </w:p>
        </w:tc>
        <w:tc>
          <w:tcPr>
            <w:tcW w:w="3600" w:type="dxa"/>
            <w:tcBorders>
              <w:top w:val="nil"/>
              <w:left w:val="nil"/>
              <w:bottom w:val="nil"/>
              <w:right w:val="single" w:sz="4" w:space="0" w:color="auto"/>
            </w:tcBorders>
            <w:noWrap/>
            <w:vAlign w:val="bottom"/>
          </w:tcPr>
          <w:p w14:paraId="4B479924" w14:textId="77777777" w:rsidR="00583B86" w:rsidRPr="00902C0C" w:rsidRDefault="00583B86" w:rsidP="00912A9E">
            <w:pPr>
              <w:jc w:val="center"/>
              <w:rPr>
                <w:color w:val="000000"/>
              </w:rPr>
            </w:pPr>
            <w:r>
              <w:rPr>
                <w:color w:val="000000"/>
                <w:sz w:val="22"/>
                <w:szCs w:val="22"/>
              </w:rPr>
              <w:t>2.97</w:t>
            </w:r>
            <w:r w:rsidRPr="00902C0C">
              <w:rPr>
                <w:color w:val="000000"/>
                <w:sz w:val="22"/>
                <w:szCs w:val="22"/>
              </w:rPr>
              <w:t xml:space="preserve"> (2.82 -</w:t>
            </w:r>
            <w:r>
              <w:rPr>
                <w:color w:val="000000"/>
                <w:sz w:val="22"/>
                <w:szCs w:val="22"/>
              </w:rPr>
              <w:t xml:space="preserve"> </w:t>
            </w:r>
            <w:r w:rsidRPr="00902C0C">
              <w:rPr>
                <w:color w:val="000000"/>
                <w:sz w:val="22"/>
                <w:szCs w:val="22"/>
              </w:rPr>
              <w:t>3.13</w:t>
            </w:r>
            <w:r>
              <w:rPr>
                <w:color w:val="000000"/>
                <w:sz w:val="22"/>
                <w:szCs w:val="22"/>
              </w:rPr>
              <w:t>)</w:t>
            </w:r>
          </w:p>
        </w:tc>
      </w:tr>
      <w:tr w:rsidR="00583B86" w:rsidRPr="00D94B08" w14:paraId="024AA251" w14:textId="77777777" w:rsidTr="00FA73A8">
        <w:trPr>
          <w:trHeight w:val="300"/>
        </w:trPr>
        <w:tc>
          <w:tcPr>
            <w:tcW w:w="3075" w:type="dxa"/>
            <w:tcBorders>
              <w:bottom w:val="nil"/>
            </w:tcBorders>
            <w:noWrap/>
          </w:tcPr>
          <w:p w14:paraId="4419B114" w14:textId="77777777" w:rsidR="00583B86" w:rsidRPr="00D94B08" w:rsidRDefault="00583B86" w:rsidP="00912A9E">
            <w:pPr>
              <w:rPr>
                <w:bCs/>
                <w:color w:val="000000"/>
                <w:lang w:eastAsia="nl-NL"/>
              </w:rPr>
            </w:pPr>
            <w:r w:rsidRPr="00D94B08">
              <w:rPr>
                <w:color w:val="000000"/>
                <w:sz w:val="22"/>
                <w:szCs w:val="22"/>
                <w:lang w:val="en-US" w:eastAsia="en-US"/>
              </w:rPr>
              <w:t xml:space="preserve">   South West</w:t>
            </w:r>
          </w:p>
        </w:tc>
        <w:tc>
          <w:tcPr>
            <w:tcW w:w="2520" w:type="dxa"/>
            <w:tcBorders>
              <w:bottom w:val="nil"/>
            </w:tcBorders>
            <w:noWrap/>
          </w:tcPr>
          <w:p w14:paraId="28AB2043" w14:textId="77777777" w:rsidR="00583B86" w:rsidRPr="00D94B08" w:rsidRDefault="00583B86" w:rsidP="00912A9E">
            <w:pPr>
              <w:jc w:val="center"/>
              <w:rPr>
                <w:color w:val="000000"/>
              </w:rPr>
            </w:pPr>
            <w:r>
              <w:rPr>
                <w:color w:val="000000"/>
                <w:sz w:val="22"/>
                <w:szCs w:val="22"/>
              </w:rPr>
              <w:t>1543</w:t>
            </w:r>
          </w:p>
        </w:tc>
        <w:tc>
          <w:tcPr>
            <w:tcW w:w="2880" w:type="dxa"/>
            <w:tcBorders>
              <w:bottom w:val="nil"/>
            </w:tcBorders>
            <w:noWrap/>
          </w:tcPr>
          <w:p w14:paraId="48017591" w14:textId="77777777" w:rsidR="00583B86" w:rsidRPr="00D94B08" w:rsidRDefault="00583B86" w:rsidP="00912A9E">
            <w:pPr>
              <w:jc w:val="center"/>
              <w:rPr>
                <w:color w:val="000000"/>
              </w:rPr>
            </w:pPr>
            <w:r>
              <w:rPr>
                <w:color w:val="000000"/>
                <w:sz w:val="22"/>
                <w:szCs w:val="22"/>
              </w:rPr>
              <w:t>538</w:t>
            </w:r>
          </w:p>
        </w:tc>
        <w:tc>
          <w:tcPr>
            <w:tcW w:w="3600" w:type="dxa"/>
            <w:tcBorders>
              <w:bottom w:val="nil"/>
            </w:tcBorders>
            <w:noWrap/>
          </w:tcPr>
          <w:p w14:paraId="7B082399" w14:textId="77777777" w:rsidR="00583B86" w:rsidRPr="00902C0C" w:rsidRDefault="00583B86" w:rsidP="00912A9E">
            <w:pPr>
              <w:jc w:val="center"/>
              <w:rPr>
                <w:color w:val="000000"/>
              </w:rPr>
            </w:pPr>
            <w:r>
              <w:rPr>
                <w:color w:val="000000"/>
                <w:sz w:val="22"/>
                <w:szCs w:val="22"/>
              </w:rPr>
              <w:t>2.87</w:t>
            </w:r>
            <w:r w:rsidRPr="00902C0C">
              <w:rPr>
                <w:color w:val="000000"/>
                <w:sz w:val="22"/>
                <w:szCs w:val="22"/>
              </w:rPr>
              <w:t xml:space="preserve"> (2.73 -</w:t>
            </w:r>
            <w:r>
              <w:rPr>
                <w:color w:val="000000"/>
                <w:sz w:val="22"/>
                <w:szCs w:val="22"/>
              </w:rPr>
              <w:t xml:space="preserve"> </w:t>
            </w:r>
            <w:r w:rsidRPr="00902C0C">
              <w:rPr>
                <w:color w:val="000000"/>
                <w:sz w:val="22"/>
                <w:szCs w:val="22"/>
              </w:rPr>
              <w:t>3.01</w:t>
            </w:r>
            <w:r>
              <w:rPr>
                <w:color w:val="000000"/>
                <w:sz w:val="22"/>
                <w:szCs w:val="22"/>
              </w:rPr>
              <w:t>)</w:t>
            </w:r>
          </w:p>
        </w:tc>
      </w:tr>
      <w:tr w:rsidR="00583B86" w:rsidRPr="00D94B08" w14:paraId="3FD24928" w14:textId="77777777" w:rsidTr="00FA73A8">
        <w:trPr>
          <w:trHeight w:val="300"/>
        </w:trPr>
        <w:tc>
          <w:tcPr>
            <w:tcW w:w="3075" w:type="dxa"/>
            <w:tcBorders>
              <w:bottom w:val="nil"/>
            </w:tcBorders>
            <w:noWrap/>
          </w:tcPr>
          <w:p w14:paraId="0441A91D" w14:textId="77777777" w:rsidR="00583B86" w:rsidRPr="00D94B08" w:rsidRDefault="00583B86" w:rsidP="00912A9E">
            <w:pPr>
              <w:rPr>
                <w:bCs/>
                <w:color w:val="000000"/>
                <w:lang w:eastAsia="nl-NL"/>
              </w:rPr>
            </w:pPr>
            <w:r w:rsidRPr="00D94B08">
              <w:rPr>
                <w:color w:val="000000"/>
                <w:sz w:val="22"/>
                <w:szCs w:val="22"/>
                <w:lang w:val="en-US" w:eastAsia="en-US"/>
              </w:rPr>
              <w:t xml:space="preserve">   West Midlands</w:t>
            </w:r>
          </w:p>
        </w:tc>
        <w:tc>
          <w:tcPr>
            <w:tcW w:w="2520" w:type="dxa"/>
            <w:tcBorders>
              <w:bottom w:val="nil"/>
            </w:tcBorders>
            <w:noWrap/>
          </w:tcPr>
          <w:p w14:paraId="66016D0A" w14:textId="77777777" w:rsidR="00583B86" w:rsidRPr="00D94B08" w:rsidRDefault="00583B86" w:rsidP="00912A9E">
            <w:pPr>
              <w:jc w:val="center"/>
              <w:rPr>
                <w:color w:val="000000"/>
              </w:rPr>
            </w:pPr>
            <w:r>
              <w:rPr>
                <w:color w:val="000000"/>
                <w:sz w:val="22"/>
                <w:szCs w:val="22"/>
              </w:rPr>
              <w:t>1241</w:t>
            </w:r>
          </w:p>
        </w:tc>
        <w:tc>
          <w:tcPr>
            <w:tcW w:w="2880" w:type="dxa"/>
            <w:tcBorders>
              <w:bottom w:val="nil"/>
            </w:tcBorders>
            <w:noWrap/>
          </w:tcPr>
          <w:p w14:paraId="5FC10F9C" w14:textId="77777777" w:rsidR="00583B86" w:rsidRPr="00D94B08" w:rsidRDefault="00583B86" w:rsidP="00912A9E">
            <w:pPr>
              <w:jc w:val="center"/>
              <w:rPr>
                <w:color w:val="000000"/>
              </w:rPr>
            </w:pPr>
            <w:r>
              <w:rPr>
                <w:color w:val="000000"/>
                <w:sz w:val="22"/>
                <w:szCs w:val="22"/>
              </w:rPr>
              <w:t>386</w:t>
            </w:r>
          </w:p>
        </w:tc>
        <w:tc>
          <w:tcPr>
            <w:tcW w:w="3600" w:type="dxa"/>
            <w:tcBorders>
              <w:bottom w:val="nil"/>
            </w:tcBorders>
            <w:noWrap/>
          </w:tcPr>
          <w:p w14:paraId="0C80AF50" w14:textId="77777777" w:rsidR="00583B86" w:rsidRPr="00902C0C" w:rsidRDefault="00583B86" w:rsidP="00912A9E">
            <w:pPr>
              <w:jc w:val="center"/>
              <w:rPr>
                <w:color w:val="000000"/>
              </w:rPr>
            </w:pPr>
            <w:r>
              <w:rPr>
                <w:color w:val="000000"/>
                <w:sz w:val="22"/>
                <w:szCs w:val="22"/>
              </w:rPr>
              <w:t>3.22</w:t>
            </w:r>
            <w:r w:rsidRPr="00902C0C">
              <w:rPr>
                <w:color w:val="000000"/>
                <w:sz w:val="22"/>
                <w:szCs w:val="22"/>
              </w:rPr>
              <w:t xml:space="preserve"> (3.04 -</w:t>
            </w:r>
            <w:r>
              <w:rPr>
                <w:color w:val="000000"/>
                <w:sz w:val="22"/>
                <w:szCs w:val="22"/>
              </w:rPr>
              <w:t xml:space="preserve"> </w:t>
            </w:r>
            <w:r w:rsidRPr="00902C0C">
              <w:rPr>
                <w:color w:val="000000"/>
                <w:sz w:val="22"/>
                <w:szCs w:val="22"/>
              </w:rPr>
              <w:t>3.39</w:t>
            </w:r>
            <w:r>
              <w:rPr>
                <w:color w:val="000000"/>
                <w:sz w:val="22"/>
                <w:szCs w:val="22"/>
              </w:rPr>
              <w:t>)</w:t>
            </w:r>
          </w:p>
        </w:tc>
      </w:tr>
      <w:tr w:rsidR="00583B86" w:rsidRPr="00D94B08" w14:paraId="0618A9EF" w14:textId="77777777" w:rsidTr="00FA73A8">
        <w:trPr>
          <w:trHeight w:val="300"/>
        </w:trPr>
        <w:tc>
          <w:tcPr>
            <w:tcW w:w="3075" w:type="dxa"/>
            <w:tcBorders>
              <w:bottom w:val="nil"/>
            </w:tcBorders>
            <w:noWrap/>
          </w:tcPr>
          <w:p w14:paraId="014D6D1C" w14:textId="77777777" w:rsidR="00583B86" w:rsidRPr="00D94B08" w:rsidRDefault="00583B86" w:rsidP="00912A9E">
            <w:pPr>
              <w:rPr>
                <w:bCs/>
                <w:color w:val="000000"/>
                <w:lang w:eastAsia="nl-NL"/>
              </w:rPr>
            </w:pPr>
            <w:r w:rsidRPr="00D94B08">
              <w:rPr>
                <w:color w:val="000000"/>
                <w:sz w:val="22"/>
                <w:szCs w:val="22"/>
                <w:lang w:val="en-US" w:eastAsia="en-US"/>
              </w:rPr>
              <w:lastRenderedPageBreak/>
              <w:t>By cause of death*</w:t>
            </w:r>
          </w:p>
        </w:tc>
        <w:tc>
          <w:tcPr>
            <w:tcW w:w="2520" w:type="dxa"/>
            <w:tcBorders>
              <w:bottom w:val="nil"/>
            </w:tcBorders>
            <w:noWrap/>
          </w:tcPr>
          <w:p w14:paraId="125F7C07" w14:textId="77777777" w:rsidR="00583B86" w:rsidRPr="00D94B08" w:rsidRDefault="00583B86" w:rsidP="00912A9E">
            <w:pPr>
              <w:jc w:val="center"/>
              <w:rPr>
                <w:color w:val="000000"/>
              </w:rPr>
            </w:pPr>
          </w:p>
        </w:tc>
        <w:tc>
          <w:tcPr>
            <w:tcW w:w="2880" w:type="dxa"/>
            <w:tcBorders>
              <w:bottom w:val="nil"/>
            </w:tcBorders>
            <w:noWrap/>
          </w:tcPr>
          <w:p w14:paraId="7425DC80" w14:textId="77777777" w:rsidR="00583B86" w:rsidRPr="00D94B08" w:rsidRDefault="00583B86" w:rsidP="00912A9E">
            <w:pPr>
              <w:jc w:val="center"/>
              <w:rPr>
                <w:color w:val="000000"/>
              </w:rPr>
            </w:pPr>
          </w:p>
        </w:tc>
        <w:tc>
          <w:tcPr>
            <w:tcW w:w="3600" w:type="dxa"/>
            <w:tcBorders>
              <w:bottom w:val="nil"/>
            </w:tcBorders>
            <w:noWrap/>
          </w:tcPr>
          <w:p w14:paraId="6B891C89" w14:textId="77777777" w:rsidR="00583B86" w:rsidRPr="00D94B08" w:rsidRDefault="00583B86" w:rsidP="00912A9E">
            <w:pPr>
              <w:jc w:val="center"/>
              <w:rPr>
                <w:color w:val="000000"/>
              </w:rPr>
            </w:pPr>
          </w:p>
        </w:tc>
      </w:tr>
      <w:tr w:rsidR="00583B86" w:rsidRPr="00D94B08" w14:paraId="53BD4094" w14:textId="77777777" w:rsidTr="00FA73A8">
        <w:trPr>
          <w:trHeight w:val="300"/>
        </w:trPr>
        <w:tc>
          <w:tcPr>
            <w:tcW w:w="3075" w:type="dxa"/>
            <w:tcBorders>
              <w:bottom w:val="nil"/>
            </w:tcBorders>
            <w:noWrap/>
          </w:tcPr>
          <w:p w14:paraId="7B3BFA88" w14:textId="77777777" w:rsidR="00583B86" w:rsidRPr="00D94B08" w:rsidRDefault="00583B86" w:rsidP="00912A9E">
            <w:pPr>
              <w:rPr>
                <w:bCs/>
                <w:color w:val="000000"/>
                <w:lang w:eastAsia="nl-NL"/>
              </w:rPr>
            </w:pPr>
            <w:r>
              <w:rPr>
                <w:color w:val="000000"/>
                <w:sz w:val="22"/>
                <w:szCs w:val="22"/>
                <w:lang w:val="en-US" w:eastAsia="en-US"/>
              </w:rPr>
              <w:t xml:space="preserve">   </w:t>
            </w:r>
            <w:r w:rsidRPr="00D94B08">
              <w:rPr>
                <w:color w:val="000000"/>
                <w:sz w:val="22"/>
                <w:szCs w:val="22"/>
                <w:lang w:val="en-US" w:eastAsia="en-US"/>
              </w:rPr>
              <w:t>Neoplasms</w:t>
            </w:r>
          </w:p>
        </w:tc>
        <w:tc>
          <w:tcPr>
            <w:tcW w:w="2520" w:type="dxa"/>
            <w:tcBorders>
              <w:bottom w:val="nil"/>
            </w:tcBorders>
            <w:noWrap/>
          </w:tcPr>
          <w:p w14:paraId="470722E6" w14:textId="77777777" w:rsidR="00583B86" w:rsidRPr="00D94B08" w:rsidRDefault="00583B86" w:rsidP="00912A9E">
            <w:pPr>
              <w:jc w:val="center"/>
              <w:rPr>
                <w:color w:val="000000"/>
              </w:rPr>
            </w:pPr>
            <w:r w:rsidRPr="00D94B08">
              <w:rPr>
                <w:color w:val="000000"/>
                <w:sz w:val="22"/>
                <w:szCs w:val="22"/>
              </w:rPr>
              <w:t>2044</w:t>
            </w:r>
          </w:p>
        </w:tc>
        <w:tc>
          <w:tcPr>
            <w:tcW w:w="2880" w:type="dxa"/>
            <w:tcBorders>
              <w:bottom w:val="nil"/>
            </w:tcBorders>
            <w:noWrap/>
          </w:tcPr>
          <w:p w14:paraId="77D2B62E" w14:textId="77777777" w:rsidR="00583B86" w:rsidRPr="00D94B08" w:rsidRDefault="00583B86" w:rsidP="00912A9E">
            <w:pPr>
              <w:jc w:val="center"/>
              <w:rPr>
                <w:color w:val="000000"/>
              </w:rPr>
            </w:pPr>
            <w:r w:rsidRPr="00D94B08">
              <w:rPr>
                <w:color w:val="000000"/>
                <w:sz w:val="22"/>
                <w:szCs w:val="22"/>
              </w:rPr>
              <w:t>737.9</w:t>
            </w:r>
          </w:p>
        </w:tc>
        <w:tc>
          <w:tcPr>
            <w:tcW w:w="3600" w:type="dxa"/>
            <w:tcBorders>
              <w:bottom w:val="nil"/>
            </w:tcBorders>
            <w:noWrap/>
          </w:tcPr>
          <w:p w14:paraId="69A400BD" w14:textId="77777777" w:rsidR="00583B86" w:rsidRPr="00D94B08" w:rsidRDefault="00583B86" w:rsidP="00912A9E">
            <w:pPr>
              <w:jc w:val="center"/>
              <w:rPr>
                <w:color w:val="000000"/>
              </w:rPr>
            </w:pPr>
            <w:r w:rsidRPr="00D94B08">
              <w:rPr>
                <w:color w:val="000000"/>
                <w:sz w:val="22"/>
                <w:szCs w:val="22"/>
              </w:rPr>
              <w:t>2.77 (2.65 - 2.89)</w:t>
            </w:r>
          </w:p>
        </w:tc>
      </w:tr>
      <w:tr w:rsidR="00583B86" w:rsidRPr="00D94B08" w14:paraId="05AD8A25" w14:textId="77777777" w:rsidTr="00FA73A8">
        <w:trPr>
          <w:trHeight w:val="300"/>
        </w:trPr>
        <w:tc>
          <w:tcPr>
            <w:tcW w:w="3075" w:type="dxa"/>
            <w:tcBorders>
              <w:bottom w:val="nil"/>
            </w:tcBorders>
            <w:noWrap/>
          </w:tcPr>
          <w:p w14:paraId="1E635984" w14:textId="77777777" w:rsidR="00583B86" w:rsidRDefault="00583B86" w:rsidP="00912A9E">
            <w:pPr>
              <w:rPr>
                <w:bCs/>
                <w:color w:val="000000"/>
                <w:lang w:eastAsia="nl-NL"/>
              </w:rPr>
            </w:pPr>
            <w:r>
              <w:rPr>
                <w:bCs/>
                <w:color w:val="000000"/>
                <w:sz w:val="22"/>
                <w:szCs w:val="22"/>
                <w:lang w:eastAsia="nl-NL"/>
              </w:rPr>
              <w:t xml:space="preserve">   </w:t>
            </w:r>
            <w:r w:rsidRPr="00D94B08">
              <w:rPr>
                <w:bCs/>
                <w:color w:val="000000"/>
                <w:sz w:val="22"/>
                <w:szCs w:val="22"/>
                <w:lang w:eastAsia="nl-NL"/>
              </w:rPr>
              <w:t xml:space="preserve">Diseases of the respiratory </w:t>
            </w:r>
            <w:r>
              <w:rPr>
                <w:bCs/>
                <w:color w:val="000000"/>
                <w:sz w:val="22"/>
                <w:szCs w:val="22"/>
                <w:lang w:eastAsia="nl-NL"/>
              </w:rPr>
              <w:t xml:space="preserve">  </w:t>
            </w:r>
          </w:p>
          <w:p w14:paraId="646DD812" w14:textId="77777777" w:rsidR="00583B86" w:rsidRPr="00D94B08" w:rsidRDefault="00583B86" w:rsidP="00912A9E">
            <w:pPr>
              <w:rPr>
                <w:bCs/>
                <w:color w:val="000000"/>
                <w:lang w:eastAsia="nl-NL"/>
              </w:rPr>
            </w:pPr>
            <w:r>
              <w:rPr>
                <w:bCs/>
                <w:color w:val="000000"/>
                <w:sz w:val="22"/>
                <w:szCs w:val="22"/>
                <w:lang w:eastAsia="nl-NL"/>
              </w:rPr>
              <w:t xml:space="preserve">   </w:t>
            </w:r>
            <w:r w:rsidRPr="00D94B08">
              <w:rPr>
                <w:bCs/>
                <w:color w:val="000000"/>
                <w:sz w:val="22"/>
                <w:szCs w:val="22"/>
                <w:lang w:eastAsia="nl-NL"/>
              </w:rPr>
              <w:t>system</w:t>
            </w:r>
          </w:p>
        </w:tc>
        <w:tc>
          <w:tcPr>
            <w:tcW w:w="2520" w:type="dxa"/>
            <w:tcBorders>
              <w:bottom w:val="nil"/>
            </w:tcBorders>
            <w:noWrap/>
          </w:tcPr>
          <w:p w14:paraId="65071071" w14:textId="77777777" w:rsidR="00583B86" w:rsidRPr="00D94B08" w:rsidRDefault="00583B86" w:rsidP="00912A9E">
            <w:pPr>
              <w:jc w:val="center"/>
              <w:rPr>
                <w:color w:val="000000"/>
              </w:rPr>
            </w:pPr>
            <w:r w:rsidRPr="00D94B08">
              <w:rPr>
                <w:color w:val="000000"/>
                <w:sz w:val="22"/>
                <w:szCs w:val="22"/>
              </w:rPr>
              <w:t>1694</w:t>
            </w:r>
          </w:p>
        </w:tc>
        <w:tc>
          <w:tcPr>
            <w:tcW w:w="2880" w:type="dxa"/>
            <w:tcBorders>
              <w:bottom w:val="nil"/>
            </w:tcBorders>
            <w:noWrap/>
          </w:tcPr>
          <w:p w14:paraId="5B0E9A16" w14:textId="77777777" w:rsidR="00583B86" w:rsidRPr="00D94B08" w:rsidRDefault="00583B86" w:rsidP="00912A9E">
            <w:pPr>
              <w:jc w:val="center"/>
              <w:rPr>
                <w:color w:val="000000"/>
              </w:rPr>
            </w:pPr>
            <w:r w:rsidRPr="00D94B08">
              <w:rPr>
                <w:color w:val="000000"/>
                <w:sz w:val="22"/>
                <w:szCs w:val="22"/>
              </w:rPr>
              <w:t>565.4</w:t>
            </w:r>
          </w:p>
        </w:tc>
        <w:tc>
          <w:tcPr>
            <w:tcW w:w="3600" w:type="dxa"/>
            <w:tcBorders>
              <w:bottom w:val="nil"/>
            </w:tcBorders>
            <w:noWrap/>
          </w:tcPr>
          <w:p w14:paraId="5A3A326E" w14:textId="77777777" w:rsidR="00583B86" w:rsidRPr="00D94B08" w:rsidRDefault="00583B86" w:rsidP="00912A9E">
            <w:pPr>
              <w:jc w:val="center"/>
              <w:rPr>
                <w:color w:val="000000"/>
              </w:rPr>
            </w:pPr>
            <w:r w:rsidRPr="00D94B08">
              <w:rPr>
                <w:color w:val="000000"/>
                <w:sz w:val="22"/>
                <w:szCs w:val="22"/>
              </w:rPr>
              <w:t>3.00 (2.85 - 3.14)</w:t>
            </w:r>
          </w:p>
        </w:tc>
      </w:tr>
      <w:tr w:rsidR="00583B86" w:rsidRPr="00D94B08" w14:paraId="4F97F8C8"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D995B4C" w14:textId="77777777" w:rsidR="00583B86" w:rsidRDefault="00583B86" w:rsidP="00912A9E">
            <w:pPr>
              <w:rPr>
                <w:bCs/>
                <w:color w:val="000000"/>
                <w:lang w:eastAsia="nl-NL"/>
              </w:rPr>
            </w:pPr>
            <w:r>
              <w:rPr>
                <w:bCs/>
                <w:color w:val="000000"/>
                <w:sz w:val="22"/>
                <w:szCs w:val="22"/>
                <w:lang w:eastAsia="nl-NL"/>
              </w:rPr>
              <w:t xml:space="preserve">   </w:t>
            </w:r>
            <w:r w:rsidRPr="00D94B08">
              <w:rPr>
                <w:bCs/>
                <w:color w:val="000000"/>
                <w:sz w:val="22"/>
                <w:szCs w:val="22"/>
                <w:lang w:eastAsia="nl-NL"/>
              </w:rPr>
              <w:t xml:space="preserve">Diseases of the circulatory </w:t>
            </w:r>
          </w:p>
          <w:p w14:paraId="2F5052BE" w14:textId="77777777" w:rsidR="00583B86" w:rsidRPr="00D94B08" w:rsidRDefault="00583B86" w:rsidP="00912A9E">
            <w:pPr>
              <w:rPr>
                <w:bCs/>
                <w:color w:val="000000"/>
                <w:lang w:eastAsia="nl-NL"/>
              </w:rPr>
            </w:pPr>
            <w:r>
              <w:rPr>
                <w:bCs/>
                <w:color w:val="000000"/>
                <w:sz w:val="22"/>
                <w:szCs w:val="22"/>
                <w:lang w:eastAsia="nl-NL"/>
              </w:rPr>
              <w:t xml:space="preserve">   </w:t>
            </w:r>
            <w:r w:rsidRPr="00D94B08">
              <w:rPr>
                <w:bCs/>
                <w:color w:val="000000"/>
                <w:sz w:val="22"/>
                <w:szCs w:val="22"/>
                <w:lang w:eastAsia="nl-NL"/>
              </w:rPr>
              <w:t>system</w:t>
            </w:r>
          </w:p>
        </w:tc>
        <w:tc>
          <w:tcPr>
            <w:tcW w:w="2520" w:type="dxa"/>
            <w:tcBorders>
              <w:top w:val="nil"/>
              <w:left w:val="nil"/>
              <w:bottom w:val="single" w:sz="4" w:space="0" w:color="auto"/>
              <w:right w:val="single" w:sz="4" w:space="0" w:color="auto"/>
            </w:tcBorders>
            <w:noWrap/>
            <w:vAlign w:val="bottom"/>
          </w:tcPr>
          <w:p w14:paraId="37831EA9" w14:textId="77777777" w:rsidR="00583B86" w:rsidRPr="00D94B08" w:rsidRDefault="00583B86" w:rsidP="00912A9E">
            <w:pPr>
              <w:jc w:val="center"/>
              <w:rPr>
                <w:color w:val="000000"/>
              </w:rPr>
            </w:pPr>
            <w:r w:rsidRPr="00D94B08">
              <w:rPr>
                <w:color w:val="000000"/>
                <w:sz w:val="22"/>
                <w:szCs w:val="22"/>
              </w:rPr>
              <w:t>3449</w:t>
            </w:r>
          </w:p>
        </w:tc>
        <w:tc>
          <w:tcPr>
            <w:tcW w:w="2880" w:type="dxa"/>
            <w:tcBorders>
              <w:top w:val="nil"/>
              <w:left w:val="nil"/>
              <w:bottom w:val="single" w:sz="4" w:space="0" w:color="auto"/>
              <w:right w:val="single" w:sz="4" w:space="0" w:color="auto"/>
            </w:tcBorders>
            <w:noWrap/>
            <w:vAlign w:val="bottom"/>
          </w:tcPr>
          <w:p w14:paraId="3C3C18DB" w14:textId="77777777" w:rsidR="00583B86" w:rsidRPr="00D94B08" w:rsidRDefault="00583B86" w:rsidP="00912A9E">
            <w:pPr>
              <w:jc w:val="center"/>
              <w:rPr>
                <w:color w:val="000000"/>
              </w:rPr>
            </w:pPr>
            <w:r w:rsidRPr="00D94B08">
              <w:rPr>
                <w:color w:val="000000"/>
                <w:sz w:val="22"/>
                <w:szCs w:val="22"/>
              </w:rPr>
              <w:t>1371.5</w:t>
            </w:r>
          </w:p>
        </w:tc>
        <w:tc>
          <w:tcPr>
            <w:tcW w:w="3600" w:type="dxa"/>
            <w:tcBorders>
              <w:top w:val="nil"/>
              <w:left w:val="nil"/>
              <w:bottom w:val="single" w:sz="4" w:space="0" w:color="auto"/>
              <w:right w:val="single" w:sz="4" w:space="0" w:color="auto"/>
            </w:tcBorders>
            <w:noWrap/>
            <w:vAlign w:val="bottom"/>
          </w:tcPr>
          <w:p w14:paraId="68924CC4" w14:textId="77777777" w:rsidR="00583B86" w:rsidRPr="00D94B08" w:rsidRDefault="00583B86" w:rsidP="00912A9E">
            <w:pPr>
              <w:jc w:val="center"/>
              <w:rPr>
                <w:color w:val="000000"/>
              </w:rPr>
            </w:pPr>
            <w:r w:rsidRPr="00D94B08">
              <w:rPr>
                <w:color w:val="000000"/>
                <w:sz w:val="22"/>
                <w:szCs w:val="22"/>
              </w:rPr>
              <w:t>2.51 (2.43 - 2.60)</w:t>
            </w:r>
          </w:p>
        </w:tc>
      </w:tr>
    </w:tbl>
    <w:p w14:paraId="142FFAFC" w14:textId="77777777" w:rsidR="00583B86" w:rsidRPr="00D94B08" w:rsidRDefault="00583B86" w:rsidP="00A15145">
      <w:pPr>
        <w:spacing w:after="120"/>
        <w:jc w:val="both"/>
        <w:rPr>
          <w:color w:val="000000"/>
          <w:sz w:val="22"/>
          <w:szCs w:val="22"/>
        </w:rPr>
      </w:pPr>
      <w:r w:rsidRPr="00D94B08">
        <w:rPr>
          <w:color w:val="000000"/>
          <w:sz w:val="22"/>
          <w:szCs w:val="22"/>
        </w:rPr>
        <w:t>SMR; standardized mortality ratio, 95% CI; 95% Confidence Interval</w:t>
      </w:r>
    </w:p>
    <w:p w14:paraId="0FBC3F5C" w14:textId="77777777" w:rsidR="00583B86" w:rsidRPr="00D94B08" w:rsidRDefault="00583B86" w:rsidP="00A15145">
      <w:pPr>
        <w:spacing w:after="120"/>
        <w:jc w:val="both"/>
        <w:rPr>
          <w:color w:val="000000"/>
          <w:sz w:val="22"/>
          <w:szCs w:val="22"/>
        </w:rPr>
      </w:pPr>
      <w:r w:rsidRPr="00D94B08">
        <w:rPr>
          <w:color w:val="000000"/>
          <w:sz w:val="22"/>
          <w:szCs w:val="22"/>
        </w:rPr>
        <w:t>*Adjusted for age, sex, index year; ** Adjusted for age, index year; *** Adjusted for age, sex</w:t>
      </w:r>
      <w:r>
        <w:rPr>
          <w:color w:val="000000"/>
          <w:sz w:val="22"/>
          <w:szCs w:val="22"/>
        </w:rPr>
        <w:br/>
      </w:r>
      <w:r>
        <w:rPr>
          <w:color w:val="000000"/>
          <w:sz w:val="22"/>
          <w:szCs w:val="22"/>
          <w:lang w:val="en-US" w:eastAsia="en-US"/>
        </w:rPr>
        <w:t>‡ Not all categories are included due to a too low number of events in the missing categories</w:t>
      </w:r>
    </w:p>
    <w:p w14:paraId="43D76D89" w14:textId="77777777" w:rsidR="00583B86" w:rsidRPr="00D94B08" w:rsidRDefault="00583B86" w:rsidP="00A15145">
      <w:pPr>
        <w:spacing w:after="120"/>
        <w:jc w:val="both"/>
        <w:rPr>
          <w:color w:val="000000"/>
          <w:sz w:val="22"/>
          <w:szCs w:val="22"/>
        </w:rPr>
      </w:pPr>
    </w:p>
    <w:p w14:paraId="3A91F4B1" w14:textId="77777777" w:rsidR="00583B86" w:rsidRPr="00D94B08" w:rsidRDefault="00583B86" w:rsidP="00A15145">
      <w:pPr>
        <w:spacing w:after="120"/>
        <w:jc w:val="both"/>
        <w:rPr>
          <w:color w:val="000000"/>
          <w:sz w:val="22"/>
          <w:szCs w:val="22"/>
        </w:rPr>
      </w:pPr>
    </w:p>
    <w:p w14:paraId="0C64EE90" w14:textId="09D9E467" w:rsidR="00583B86" w:rsidRPr="00D94B08" w:rsidRDefault="00583B86" w:rsidP="00231E35">
      <w:pPr>
        <w:spacing w:after="200" w:line="276" w:lineRule="auto"/>
        <w:rPr>
          <w:b/>
          <w:color w:val="000000"/>
          <w:sz w:val="22"/>
          <w:szCs w:val="22"/>
        </w:rPr>
      </w:pPr>
      <w:r>
        <w:rPr>
          <w:b/>
          <w:color w:val="000000"/>
          <w:sz w:val="22"/>
          <w:szCs w:val="22"/>
        </w:rPr>
        <w:br w:type="page"/>
      </w:r>
      <w:r w:rsidRPr="00D94B08">
        <w:rPr>
          <w:b/>
          <w:color w:val="000000"/>
          <w:sz w:val="22"/>
          <w:szCs w:val="22"/>
        </w:rPr>
        <w:lastRenderedPageBreak/>
        <w:t xml:space="preserve">Figure 1. </w:t>
      </w:r>
      <w:r w:rsidRPr="00D94B08">
        <w:rPr>
          <w:color w:val="000000"/>
          <w:sz w:val="22"/>
          <w:szCs w:val="22"/>
        </w:rPr>
        <w:t>Age-specific one-year mortality rates after fracture in men, by cause of death</w:t>
      </w:r>
    </w:p>
    <w:p w14:paraId="1720D000" w14:textId="6679EF55" w:rsidR="00583B86" w:rsidRPr="00D94B08" w:rsidRDefault="0002045D" w:rsidP="00231E35">
      <w:pPr>
        <w:spacing w:after="200" w:line="276" w:lineRule="auto"/>
        <w:rPr>
          <w:b/>
          <w:color w:val="000000"/>
          <w:sz w:val="20"/>
          <w:szCs w:val="18"/>
        </w:rPr>
      </w:pPr>
      <w:r>
        <w:rPr>
          <w:b/>
          <w:noProof/>
          <w:color w:val="000000"/>
          <w:sz w:val="20"/>
          <w:szCs w:val="18"/>
        </w:rPr>
        <w:drawing>
          <wp:inline distT="0" distB="0" distL="0" distR="0" wp14:anchorId="2657F0EC" wp14:editId="4AADF39F">
            <wp:extent cx="5943600" cy="2477135"/>
            <wp:effectExtent l="0" t="0" r="0" b="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943600" cy="2477135"/>
                    </a:xfrm>
                    <a:prstGeom prst="rect">
                      <a:avLst/>
                    </a:prstGeom>
                    <a:noFill/>
                    <a:ln>
                      <a:noFill/>
                    </a:ln>
                  </pic:spPr>
                </pic:pic>
              </a:graphicData>
            </a:graphic>
          </wp:inline>
        </w:drawing>
      </w:r>
      <w:r w:rsidR="00583B86" w:rsidRPr="00D94B08">
        <w:rPr>
          <w:b/>
          <w:color w:val="000000"/>
          <w:sz w:val="20"/>
          <w:szCs w:val="18"/>
        </w:rPr>
        <w:br w:type="textWrapping" w:clear="all"/>
      </w:r>
    </w:p>
    <w:p w14:paraId="60D840A0" w14:textId="071BEC42" w:rsidR="00583B86" w:rsidRPr="00D94B08" w:rsidRDefault="00583B86" w:rsidP="00231E35">
      <w:pPr>
        <w:spacing w:after="200" w:line="276" w:lineRule="auto"/>
        <w:rPr>
          <w:b/>
          <w:color w:val="000000"/>
          <w:sz w:val="20"/>
          <w:szCs w:val="18"/>
        </w:rPr>
      </w:pPr>
      <w:r w:rsidRPr="00D94B08">
        <w:rPr>
          <w:b/>
          <w:color w:val="000000"/>
          <w:sz w:val="20"/>
          <w:szCs w:val="18"/>
        </w:rPr>
        <w:br w:type="page"/>
      </w:r>
      <w:r w:rsidRPr="00D94B08">
        <w:rPr>
          <w:b/>
          <w:color w:val="000000"/>
          <w:sz w:val="22"/>
          <w:szCs w:val="22"/>
        </w:rPr>
        <w:lastRenderedPageBreak/>
        <w:t xml:space="preserve">Figure 2. </w:t>
      </w:r>
      <w:r w:rsidRPr="00D94B08">
        <w:rPr>
          <w:color w:val="000000"/>
          <w:sz w:val="22"/>
          <w:szCs w:val="22"/>
        </w:rPr>
        <w:t>Age-specific one-year mortality rates after fracture in women, by cause of death</w:t>
      </w:r>
    </w:p>
    <w:p w14:paraId="633435E8" w14:textId="17E7C9E1" w:rsidR="00583B86" w:rsidRPr="00D94B08" w:rsidRDefault="0002045D" w:rsidP="00231E35">
      <w:pPr>
        <w:spacing w:after="200" w:line="276" w:lineRule="auto"/>
        <w:rPr>
          <w:b/>
          <w:color w:val="000000"/>
          <w:sz w:val="20"/>
          <w:szCs w:val="18"/>
        </w:rPr>
      </w:pPr>
      <w:r>
        <w:rPr>
          <w:b/>
          <w:noProof/>
          <w:color w:val="000000"/>
          <w:sz w:val="20"/>
          <w:szCs w:val="18"/>
        </w:rPr>
        <w:drawing>
          <wp:inline distT="0" distB="0" distL="0" distR="0" wp14:anchorId="16C25A50" wp14:editId="442574DE">
            <wp:extent cx="5954395" cy="2445385"/>
            <wp:effectExtent l="0" t="0" r="8255"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954395" cy="2445385"/>
                    </a:xfrm>
                    <a:prstGeom prst="rect">
                      <a:avLst/>
                    </a:prstGeom>
                    <a:noFill/>
                    <a:ln>
                      <a:noFill/>
                    </a:ln>
                  </pic:spPr>
                </pic:pic>
              </a:graphicData>
            </a:graphic>
          </wp:inline>
        </w:drawing>
      </w:r>
    </w:p>
    <w:p w14:paraId="6504E1D1" w14:textId="77777777" w:rsidR="00583B86" w:rsidRPr="00D94B08" w:rsidRDefault="00583B86" w:rsidP="00231E35">
      <w:pPr>
        <w:spacing w:after="120"/>
        <w:jc w:val="both"/>
        <w:rPr>
          <w:b/>
          <w:color w:val="000000"/>
          <w:sz w:val="20"/>
          <w:szCs w:val="18"/>
        </w:rPr>
      </w:pPr>
      <w:r w:rsidRPr="00D94B08">
        <w:rPr>
          <w:b/>
          <w:color w:val="000000"/>
          <w:sz w:val="20"/>
          <w:szCs w:val="18"/>
        </w:rPr>
        <w:br w:type="column"/>
      </w:r>
    </w:p>
    <w:tbl>
      <w:tblPr>
        <w:tblW w:w="12075" w:type="dxa"/>
        <w:tblInd w:w="93" w:type="dxa"/>
        <w:tblLook w:val="00A0" w:firstRow="1" w:lastRow="0" w:firstColumn="1" w:lastColumn="0" w:noHBand="0" w:noVBand="0"/>
      </w:tblPr>
      <w:tblGrid>
        <w:gridCol w:w="2355"/>
        <w:gridCol w:w="1620"/>
        <w:gridCol w:w="2160"/>
        <w:gridCol w:w="1080"/>
        <w:gridCol w:w="1260"/>
        <w:gridCol w:w="3600"/>
      </w:tblGrid>
      <w:tr w:rsidR="00583B86" w:rsidRPr="00D94B08" w14:paraId="54698347" w14:textId="77777777" w:rsidTr="00FB265E">
        <w:trPr>
          <w:trHeight w:val="300"/>
        </w:trPr>
        <w:tc>
          <w:tcPr>
            <w:tcW w:w="12075" w:type="dxa"/>
            <w:gridSpan w:val="6"/>
            <w:tcBorders>
              <w:top w:val="single" w:sz="4" w:space="0" w:color="auto"/>
              <w:left w:val="single" w:sz="4" w:space="0" w:color="auto"/>
              <w:bottom w:val="single" w:sz="4" w:space="0" w:color="auto"/>
              <w:right w:val="single" w:sz="4" w:space="0" w:color="000000"/>
            </w:tcBorders>
            <w:noWrap/>
            <w:vAlign w:val="bottom"/>
          </w:tcPr>
          <w:p w14:paraId="0757F548" w14:textId="5543533A" w:rsidR="00583B86" w:rsidRPr="00D94B08" w:rsidRDefault="00583B86" w:rsidP="00FB265E">
            <w:pPr>
              <w:rPr>
                <w:color w:val="000000"/>
                <w:lang w:val="en-US" w:eastAsia="en-US"/>
              </w:rPr>
            </w:pPr>
            <w:r w:rsidRPr="00D94B08">
              <w:rPr>
                <w:b/>
                <w:color w:val="000000"/>
                <w:sz w:val="22"/>
                <w:szCs w:val="22"/>
                <w:lang w:eastAsia="en-US"/>
              </w:rPr>
              <w:t xml:space="preserve">Supplementary </w:t>
            </w:r>
            <w:r w:rsidRPr="00D94B08">
              <w:rPr>
                <w:b/>
                <w:color w:val="000000"/>
                <w:sz w:val="22"/>
                <w:szCs w:val="22"/>
                <w:lang w:val="en-US" w:eastAsia="en-US"/>
              </w:rPr>
              <w:t>Table 1.</w:t>
            </w:r>
            <w:r w:rsidRPr="00D94B08">
              <w:rPr>
                <w:color w:val="000000"/>
                <w:sz w:val="22"/>
                <w:szCs w:val="22"/>
                <w:lang w:val="en-US" w:eastAsia="en-US"/>
              </w:rPr>
              <w:t xml:space="preserve"> One-year all-cause mortality after fracture (FRAX definition) for males stratified by age, ethnicity, socioeconomic status, and region</w:t>
            </w:r>
          </w:p>
        </w:tc>
      </w:tr>
      <w:tr w:rsidR="00583B86" w:rsidRPr="00D94B08" w14:paraId="5580DFEB"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EDE1681"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tcPr>
          <w:p w14:paraId="5912394A" w14:textId="77777777" w:rsidR="00583B86" w:rsidRPr="00D94B08" w:rsidRDefault="00583B86" w:rsidP="00FB265E">
            <w:pPr>
              <w:jc w:val="center"/>
              <w:rPr>
                <w:color w:val="000000"/>
                <w:lang w:val="en-US" w:eastAsia="en-US"/>
              </w:rPr>
            </w:pPr>
            <w:r w:rsidRPr="00D94B08">
              <w:rPr>
                <w:color w:val="000000"/>
                <w:sz w:val="22"/>
                <w:szCs w:val="22"/>
                <w:lang w:val="en-US" w:eastAsia="en-US"/>
              </w:rPr>
              <w:t>N deaths</w:t>
            </w:r>
          </w:p>
        </w:tc>
        <w:tc>
          <w:tcPr>
            <w:tcW w:w="2160" w:type="dxa"/>
            <w:tcBorders>
              <w:top w:val="nil"/>
              <w:left w:val="nil"/>
              <w:bottom w:val="single" w:sz="4" w:space="0" w:color="auto"/>
              <w:right w:val="single" w:sz="4" w:space="0" w:color="auto"/>
            </w:tcBorders>
            <w:noWrap/>
            <w:vAlign w:val="bottom"/>
          </w:tcPr>
          <w:p w14:paraId="2B2CB16A" w14:textId="77777777" w:rsidR="00583B86" w:rsidRPr="00D94B08" w:rsidRDefault="00583B86" w:rsidP="00FB265E">
            <w:pPr>
              <w:jc w:val="center"/>
              <w:rPr>
                <w:color w:val="000000"/>
                <w:lang w:val="en-US" w:eastAsia="en-US"/>
              </w:rPr>
            </w:pPr>
            <w:r w:rsidRPr="00D94B08">
              <w:rPr>
                <w:color w:val="000000"/>
                <w:sz w:val="22"/>
                <w:szCs w:val="22"/>
                <w:lang w:val="en-US" w:eastAsia="en-US"/>
              </w:rPr>
              <w:t>IR (per 100 py)</w:t>
            </w:r>
          </w:p>
        </w:tc>
        <w:tc>
          <w:tcPr>
            <w:tcW w:w="2340" w:type="dxa"/>
            <w:gridSpan w:val="2"/>
            <w:tcBorders>
              <w:top w:val="single" w:sz="4" w:space="0" w:color="auto"/>
              <w:left w:val="nil"/>
              <w:bottom w:val="single" w:sz="4" w:space="0" w:color="auto"/>
              <w:right w:val="single" w:sz="4" w:space="0" w:color="000000"/>
            </w:tcBorders>
            <w:noWrap/>
            <w:vAlign w:val="bottom"/>
          </w:tcPr>
          <w:p w14:paraId="6C9EE7B4" w14:textId="77777777" w:rsidR="00583B86" w:rsidRPr="00D94B08" w:rsidRDefault="00583B86" w:rsidP="00FB265E">
            <w:pPr>
              <w:jc w:val="center"/>
              <w:rPr>
                <w:color w:val="000000"/>
                <w:lang w:val="en-US" w:eastAsia="en-US"/>
              </w:rPr>
            </w:pPr>
            <w:r w:rsidRPr="00D94B08">
              <w:rPr>
                <w:color w:val="000000"/>
                <w:sz w:val="22"/>
                <w:szCs w:val="22"/>
                <w:lang w:val="en-US" w:eastAsia="en-US"/>
              </w:rPr>
              <w:t>IR 95% CI</w:t>
            </w:r>
          </w:p>
        </w:tc>
        <w:tc>
          <w:tcPr>
            <w:tcW w:w="3600" w:type="dxa"/>
            <w:tcBorders>
              <w:top w:val="nil"/>
              <w:left w:val="nil"/>
              <w:bottom w:val="single" w:sz="4" w:space="0" w:color="auto"/>
              <w:right w:val="single" w:sz="4" w:space="0" w:color="auto"/>
            </w:tcBorders>
            <w:noWrap/>
            <w:vAlign w:val="bottom"/>
          </w:tcPr>
          <w:p w14:paraId="272BC713" w14:textId="77777777" w:rsidR="00583B86" w:rsidRPr="00D94B08" w:rsidRDefault="00583B86" w:rsidP="00FB265E">
            <w:pPr>
              <w:jc w:val="center"/>
              <w:rPr>
                <w:color w:val="000000"/>
                <w:lang w:val="en-US" w:eastAsia="en-US"/>
              </w:rPr>
            </w:pPr>
            <w:r w:rsidRPr="00D94B08">
              <w:rPr>
                <w:color w:val="000000"/>
                <w:sz w:val="22"/>
                <w:szCs w:val="22"/>
                <w:lang w:val="en-US" w:eastAsia="en-US"/>
              </w:rPr>
              <w:t>RR (95% CI)</w:t>
            </w:r>
          </w:p>
        </w:tc>
      </w:tr>
      <w:tr w:rsidR="00583B86" w:rsidRPr="00D94B08" w14:paraId="4673C899"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4C1B272B" w14:textId="77777777" w:rsidR="00583B86" w:rsidRPr="00D94B08" w:rsidRDefault="00583B86" w:rsidP="00FB265E">
            <w:pPr>
              <w:rPr>
                <w:color w:val="000000"/>
                <w:lang w:val="en-US" w:eastAsia="en-US"/>
              </w:rPr>
            </w:pPr>
            <w:r w:rsidRPr="00D94B08">
              <w:rPr>
                <w:color w:val="000000"/>
                <w:sz w:val="22"/>
                <w:szCs w:val="22"/>
                <w:lang w:eastAsia="en-US"/>
              </w:rPr>
              <w:t>By age categories</w:t>
            </w:r>
          </w:p>
        </w:tc>
        <w:tc>
          <w:tcPr>
            <w:tcW w:w="1620" w:type="dxa"/>
            <w:tcBorders>
              <w:top w:val="nil"/>
              <w:left w:val="nil"/>
              <w:bottom w:val="single" w:sz="4" w:space="0" w:color="auto"/>
              <w:right w:val="single" w:sz="4" w:space="0" w:color="auto"/>
            </w:tcBorders>
            <w:noWrap/>
            <w:vAlign w:val="bottom"/>
          </w:tcPr>
          <w:p w14:paraId="48BA6C92"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32E3EF9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6D6C13F4"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66466123"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35097254"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24D01519"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62E36561" w14:textId="77777777" w:rsidR="00583B86" w:rsidRPr="00D94B08" w:rsidRDefault="00583B86" w:rsidP="00FB265E">
            <w:pPr>
              <w:rPr>
                <w:color w:val="000000"/>
                <w:lang w:val="en-US" w:eastAsia="en-US"/>
              </w:rPr>
            </w:pPr>
            <w:r w:rsidRPr="00D94B08">
              <w:rPr>
                <w:color w:val="000000"/>
                <w:sz w:val="22"/>
                <w:szCs w:val="18"/>
                <w:lang w:eastAsia="en-US"/>
              </w:rPr>
              <w:t xml:space="preserve">   50 – 54 </w:t>
            </w:r>
          </w:p>
        </w:tc>
        <w:tc>
          <w:tcPr>
            <w:tcW w:w="1620" w:type="dxa"/>
            <w:tcBorders>
              <w:top w:val="nil"/>
              <w:left w:val="nil"/>
              <w:bottom w:val="single" w:sz="4" w:space="0" w:color="auto"/>
              <w:right w:val="single" w:sz="4" w:space="0" w:color="auto"/>
            </w:tcBorders>
            <w:noWrap/>
            <w:vAlign w:val="bottom"/>
          </w:tcPr>
          <w:p w14:paraId="48B5253C" w14:textId="77777777" w:rsidR="00583B86" w:rsidRPr="00D94B08" w:rsidRDefault="00583B86" w:rsidP="00FB265E">
            <w:pPr>
              <w:jc w:val="center"/>
              <w:rPr>
                <w:color w:val="000000"/>
                <w:lang w:val="en-US" w:eastAsia="en-US"/>
              </w:rPr>
            </w:pPr>
            <w:r w:rsidRPr="00D94B08">
              <w:rPr>
                <w:color w:val="000000"/>
                <w:sz w:val="22"/>
                <w:szCs w:val="22"/>
                <w:lang w:val="en-US" w:eastAsia="en-US"/>
              </w:rPr>
              <w:t>32</w:t>
            </w:r>
          </w:p>
        </w:tc>
        <w:tc>
          <w:tcPr>
            <w:tcW w:w="2160" w:type="dxa"/>
            <w:tcBorders>
              <w:top w:val="nil"/>
              <w:left w:val="nil"/>
              <w:bottom w:val="single" w:sz="4" w:space="0" w:color="auto"/>
              <w:right w:val="single" w:sz="4" w:space="0" w:color="auto"/>
            </w:tcBorders>
            <w:noWrap/>
            <w:vAlign w:val="bottom"/>
          </w:tcPr>
          <w:p w14:paraId="68625752" w14:textId="77777777" w:rsidR="00583B86" w:rsidRPr="00D94B08" w:rsidRDefault="00583B86" w:rsidP="00FB265E">
            <w:pPr>
              <w:jc w:val="center"/>
              <w:rPr>
                <w:color w:val="000000"/>
                <w:lang w:val="en-US" w:eastAsia="en-US"/>
              </w:rPr>
            </w:pPr>
            <w:r w:rsidRPr="00D94B08">
              <w:rPr>
                <w:color w:val="000000"/>
                <w:sz w:val="22"/>
                <w:szCs w:val="22"/>
                <w:lang w:val="en-US" w:eastAsia="en-US"/>
              </w:rPr>
              <w:t>2.4</w:t>
            </w:r>
          </w:p>
        </w:tc>
        <w:tc>
          <w:tcPr>
            <w:tcW w:w="1080" w:type="dxa"/>
            <w:tcBorders>
              <w:top w:val="nil"/>
              <w:left w:val="nil"/>
              <w:bottom w:val="single" w:sz="4" w:space="0" w:color="auto"/>
              <w:right w:val="single" w:sz="4" w:space="0" w:color="auto"/>
            </w:tcBorders>
            <w:noWrap/>
            <w:vAlign w:val="bottom"/>
          </w:tcPr>
          <w:p w14:paraId="1FBCCD8B" w14:textId="77777777" w:rsidR="00583B86" w:rsidRPr="00D94B08" w:rsidRDefault="00583B86" w:rsidP="00FB265E">
            <w:pPr>
              <w:jc w:val="center"/>
              <w:rPr>
                <w:color w:val="000000"/>
                <w:lang w:val="en-US" w:eastAsia="en-US"/>
              </w:rPr>
            </w:pPr>
            <w:r w:rsidRPr="00D94B08">
              <w:rPr>
                <w:color w:val="000000"/>
                <w:sz w:val="22"/>
                <w:szCs w:val="22"/>
                <w:lang w:val="en-US" w:eastAsia="en-US"/>
              </w:rPr>
              <w:t>1.6</w:t>
            </w:r>
          </w:p>
        </w:tc>
        <w:tc>
          <w:tcPr>
            <w:tcW w:w="1260" w:type="dxa"/>
            <w:tcBorders>
              <w:top w:val="nil"/>
              <w:left w:val="nil"/>
              <w:bottom w:val="single" w:sz="4" w:space="0" w:color="auto"/>
              <w:right w:val="single" w:sz="4" w:space="0" w:color="auto"/>
            </w:tcBorders>
            <w:noWrap/>
            <w:vAlign w:val="bottom"/>
          </w:tcPr>
          <w:p w14:paraId="2925FE6D" w14:textId="77777777" w:rsidR="00583B86" w:rsidRPr="00D94B08" w:rsidRDefault="00583B86" w:rsidP="00FB265E">
            <w:pPr>
              <w:jc w:val="center"/>
              <w:rPr>
                <w:color w:val="000000"/>
                <w:lang w:val="en-US" w:eastAsia="en-US"/>
              </w:rPr>
            </w:pPr>
            <w:r w:rsidRPr="00D94B08">
              <w:rPr>
                <w:color w:val="000000"/>
                <w:sz w:val="22"/>
                <w:szCs w:val="22"/>
                <w:lang w:val="en-US" w:eastAsia="en-US"/>
              </w:rPr>
              <w:t>3.2</w:t>
            </w:r>
          </w:p>
        </w:tc>
        <w:tc>
          <w:tcPr>
            <w:tcW w:w="3600" w:type="dxa"/>
            <w:tcBorders>
              <w:top w:val="nil"/>
              <w:left w:val="nil"/>
              <w:bottom w:val="single" w:sz="4" w:space="0" w:color="auto"/>
              <w:right w:val="single" w:sz="4" w:space="0" w:color="auto"/>
            </w:tcBorders>
            <w:noWrap/>
            <w:vAlign w:val="bottom"/>
          </w:tcPr>
          <w:p w14:paraId="319E6687" w14:textId="77777777" w:rsidR="00583B86" w:rsidRPr="00D94B08" w:rsidRDefault="00583B86" w:rsidP="00FB265E">
            <w:pPr>
              <w:jc w:val="center"/>
              <w:rPr>
                <w:color w:val="000000"/>
                <w:lang w:val="en-US" w:eastAsia="en-US"/>
              </w:rPr>
            </w:pPr>
            <w:r w:rsidRPr="00D94B08">
              <w:rPr>
                <w:color w:val="000000"/>
                <w:sz w:val="22"/>
                <w:szCs w:val="22"/>
                <w:lang w:val="en-US" w:eastAsia="en-US"/>
              </w:rPr>
              <w:t> Reference</w:t>
            </w:r>
          </w:p>
        </w:tc>
      </w:tr>
      <w:tr w:rsidR="00583B86" w:rsidRPr="00D94B08" w14:paraId="49827E18"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5DC62191" w14:textId="77777777" w:rsidR="00583B86" w:rsidRPr="00D94B08" w:rsidRDefault="00583B86" w:rsidP="00FB265E">
            <w:pPr>
              <w:rPr>
                <w:color w:val="000000"/>
                <w:lang w:val="en-US" w:eastAsia="en-US"/>
              </w:rPr>
            </w:pPr>
            <w:r w:rsidRPr="00D94B08">
              <w:rPr>
                <w:color w:val="000000"/>
                <w:sz w:val="22"/>
                <w:szCs w:val="18"/>
                <w:lang w:eastAsia="en-US"/>
              </w:rPr>
              <w:t xml:space="preserve">   55 – 59 </w:t>
            </w:r>
          </w:p>
        </w:tc>
        <w:tc>
          <w:tcPr>
            <w:tcW w:w="1620" w:type="dxa"/>
            <w:tcBorders>
              <w:top w:val="nil"/>
              <w:left w:val="nil"/>
              <w:bottom w:val="single" w:sz="4" w:space="0" w:color="auto"/>
              <w:right w:val="single" w:sz="4" w:space="0" w:color="auto"/>
            </w:tcBorders>
            <w:noWrap/>
            <w:vAlign w:val="bottom"/>
          </w:tcPr>
          <w:p w14:paraId="1502AE71" w14:textId="77777777" w:rsidR="00583B86" w:rsidRPr="00D94B08" w:rsidRDefault="00583B86" w:rsidP="00FB265E">
            <w:pPr>
              <w:jc w:val="center"/>
              <w:rPr>
                <w:color w:val="000000"/>
                <w:lang w:val="en-US" w:eastAsia="en-US"/>
              </w:rPr>
            </w:pPr>
            <w:r w:rsidRPr="00D94B08">
              <w:rPr>
                <w:color w:val="000000"/>
                <w:sz w:val="22"/>
                <w:szCs w:val="22"/>
                <w:lang w:val="en-US" w:eastAsia="en-US"/>
              </w:rPr>
              <w:t>63</w:t>
            </w:r>
          </w:p>
        </w:tc>
        <w:tc>
          <w:tcPr>
            <w:tcW w:w="2160" w:type="dxa"/>
            <w:tcBorders>
              <w:top w:val="nil"/>
              <w:left w:val="nil"/>
              <w:bottom w:val="single" w:sz="4" w:space="0" w:color="auto"/>
              <w:right w:val="single" w:sz="4" w:space="0" w:color="auto"/>
            </w:tcBorders>
            <w:noWrap/>
            <w:vAlign w:val="bottom"/>
          </w:tcPr>
          <w:p w14:paraId="22EAD4B5" w14:textId="77777777" w:rsidR="00583B86" w:rsidRPr="00D94B08" w:rsidRDefault="00583B86" w:rsidP="00FB265E">
            <w:pPr>
              <w:jc w:val="center"/>
              <w:rPr>
                <w:color w:val="000000"/>
                <w:lang w:val="en-US" w:eastAsia="en-US"/>
              </w:rPr>
            </w:pPr>
            <w:r w:rsidRPr="00D94B08">
              <w:rPr>
                <w:color w:val="000000"/>
                <w:sz w:val="22"/>
                <w:szCs w:val="22"/>
                <w:lang w:val="en-US" w:eastAsia="en-US"/>
              </w:rPr>
              <w:t>3.8</w:t>
            </w:r>
          </w:p>
        </w:tc>
        <w:tc>
          <w:tcPr>
            <w:tcW w:w="1080" w:type="dxa"/>
            <w:tcBorders>
              <w:top w:val="nil"/>
              <w:left w:val="nil"/>
              <w:bottom w:val="single" w:sz="4" w:space="0" w:color="auto"/>
              <w:right w:val="single" w:sz="4" w:space="0" w:color="auto"/>
            </w:tcBorders>
            <w:noWrap/>
            <w:vAlign w:val="bottom"/>
          </w:tcPr>
          <w:p w14:paraId="25EEEB50" w14:textId="77777777" w:rsidR="00583B86" w:rsidRPr="00D94B08" w:rsidRDefault="00583B86" w:rsidP="00FB265E">
            <w:pPr>
              <w:jc w:val="center"/>
              <w:rPr>
                <w:color w:val="000000"/>
                <w:lang w:val="en-US" w:eastAsia="en-US"/>
              </w:rPr>
            </w:pPr>
            <w:r w:rsidRPr="00D94B08">
              <w:rPr>
                <w:color w:val="000000"/>
                <w:sz w:val="22"/>
                <w:szCs w:val="22"/>
                <w:lang w:val="en-US" w:eastAsia="en-US"/>
              </w:rPr>
              <w:t>2.8</w:t>
            </w:r>
          </w:p>
        </w:tc>
        <w:tc>
          <w:tcPr>
            <w:tcW w:w="1260" w:type="dxa"/>
            <w:tcBorders>
              <w:top w:val="nil"/>
              <w:left w:val="nil"/>
              <w:bottom w:val="single" w:sz="4" w:space="0" w:color="auto"/>
              <w:right w:val="single" w:sz="4" w:space="0" w:color="auto"/>
            </w:tcBorders>
            <w:noWrap/>
            <w:vAlign w:val="bottom"/>
          </w:tcPr>
          <w:p w14:paraId="59C62172" w14:textId="77777777" w:rsidR="00583B86" w:rsidRPr="00D94B08" w:rsidRDefault="00583B86" w:rsidP="00FB265E">
            <w:pPr>
              <w:jc w:val="center"/>
              <w:rPr>
                <w:color w:val="000000"/>
                <w:lang w:val="en-US" w:eastAsia="en-US"/>
              </w:rPr>
            </w:pPr>
            <w:r w:rsidRPr="00D94B08">
              <w:rPr>
                <w:color w:val="000000"/>
                <w:sz w:val="22"/>
                <w:szCs w:val="22"/>
                <w:lang w:val="en-US" w:eastAsia="en-US"/>
              </w:rPr>
              <w:t>4.7</w:t>
            </w:r>
          </w:p>
        </w:tc>
        <w:tc>
          <w:tcPr>
            <w:tcW w:w="3600" w:type="dxa"/>
            <w:tcBorders>
              <w:top w:val="nil"/>
              <w:left w:val="nil"/>
              <w:bottom w:val="single" w:sz="4" w:space="0" w:color="auto"/>
              <w:right w:val="single" w:sz="4" w:space="0" w:color="auto"/>
            </w:tcBorders>
            <w:noWrap/>
            <w:vAlign w:val="bottom"/>
          </w:tcPr>
          <w:p w14:paraId="20FDF3E6" w14:textId="77777777" w:rsidR="00583B86" w:rsidRPr="00D94B08" w:rsidRDefault="00583B86" w:rsidP="00FB265E">
            <w:pPr>
              <w:jc w:val="center"/>
              <w:rPr>
                <w:color w:val="000000"/>
                <w:lang w:val="en-US" w:eastAsia="en-US"/>
              </w:rPr>
            </w:pPr>
            <w:r w:rsidRPr="00D94B08">
              <w:rPr>
                <w:color w:val="000000"/>
                <w:sz w:val="22"/>
                <w:szCs w:val="22"/>
                <w:lang w:val="en-US" w:eastAsia="en-US"/>
              </w:rPr>
              <w:t>1.58 (1.03 - 2.42)</w:t>
            </w:r>
          </w:p>
        </w:tc>
      </w:tr>
      <w:tr w:rsidR="00583B86" w:rsidRPr="00D94B08" w14:paraId="26FC10E3"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E2C39C2" w14:textId="77777777" w:rsidR="00583B86" w:rsidRPr="00D94B08" w:rsidRDefault="00583B86" w:rsidP="00FB265E">
            <w:pPr>
              <w:rPr>
                <w:color w:val="000000"/>
                <w:lang w:val="en-US" w:eastAsia="en-US"/>
              </w:rPr>
            </w:pPr>
            <w:r w:rsidRPr="00D94B08">
              <w:rPr>
                <w:color w:val="000000"/>
                <w:sz w:val="22"/>
                <w:szCs w:val="18"/>
                <w:lang w:eastAsia="en-US"/>
              </w:rPr>
              <w:t xml:space="preserve">   60 – 64 </w:t>
            </w:r>
          </w:p>
        </w:tc>
        <w:tc>
          <w:tcPr>
            <w:tcW w:w="1620" w:type="dxa"/>
            <w:tcBorders>
              <w:top w:val="nil"/>
              <w:left w:val="nil"/>
              <w:bottom w:val="single" w:sz="4" w:space="0" w:color="auto"/>
              <w:right w:val="single" w:sz="4" w:space="0" w:color="auto"/>
            </w:tcBorders>
            <w:noWrap/>
            <w:vAlign w:val="bottom"/>
          </w:tcPr>
          <w:p w14:paraId="71B0958D" w14:textId="77777777" w:rsidR="00583B86" w:rsidRPr="00D94B08" w:rsidRDefault="00583B86" w:rsidP="00FB265E">
            <w:pPr>
              <w:jc w:val="center"/>
              <w:rPr>
                <w:color w:val="000000"/>
                <w:lang w:val="en-US" w:eastAsia="en-US"/>
              </w:rPr>
            </w:pPr>
            <w:r w:rsidRPr="00D94B08">
              <w:rPr>
                <w:color w:val="000000"/>
                <w:sz w:val="22"/>
                <w:szCs w:val="22"/>
                <w:lang w:val="en-US" w:eastAsia="en-US"/>
              </w:rPr>
              <w:t>103</w:t>
            </w:r>
          </w:p>
        </w:tc>
        <w:tc>
          <w:tcPr>
            <w:tcW w:w="2160" w:type="dxa"/>
            <w:tcBorders>
              <w:top w:val="nil"/>
              <w:left w:val="nil"/>
              <w:bottom w:val="single" w:sz="4" w:space="0" w:color="auto"/>
              <w:right w:val="single" w:sz="4" w:space="0" w:color="auto"/>
            </w:tcBorders>
            <w:noWrap/>
            <w:vAlign w:val="bottom"/>
          </w:tcPr>
          <w:p w14:paraId="1E662667" w14:textId="77777777" w:rsidR="00583B86" w:rsidRPr="00D94B08" w:rsidRDefault="00583B86" w:rsidP="00FB265E">
            <w:pPr>
              <w:jc w:val="center"/>
              <w:rPr>
                <w:color w:val="000000"/>
                <w:lang w:val="en-US" w:eastAsia="en-US"/>
              </w:rPr>
            </w:pPr>
            <w:r w:rsidRPr="00D94B08">
              <w:rPr>
                <w:color w:val="000000"/>
                <w:sz w:val="22"/>
                <w:szCs w:val="22"/>
                <w:lang w:val="en-US" w:eastAsia="en-US"/>
              </w:rPr>
              <w:t>6.1</w:t>
            </w:r>
          </w:p>
        </w:tc>
        <w:tc>
          <w:tcPr>
            <w:tcW w:w="1080" w:type="dxa"/>
            <w:tcBorders>
              <w:top w:val="nil"/>
              <w:left w:val="nil"/>
              <w:bottom w:val="single" w:sz="4" w:space="0" w:color="auto"/>
              <w:right w:val="single" w:sz="4" w:space="0" w:color="auto"/>
            </w:tcBorders>
            <w:noWrap/>
            <w:vAlign w:val="bottom"/>
          </w:tcPr>
          <w:p w14:paraId="4FDC11B6" w14:textId="77777777" w:rsidR="00583B86" w:rsidRPr="00D94B08" w:rsidRDefault="00583B86" w:rsidP="00FB265E">
            <w:pPr>
              <w:jc w:val="center"/>
              <w:rPr>
                <w:color w:val="000000"/>
                <w:lang w:val="en-US" w:eastAsia="en-US"/>
              </w:rPr>
            </w:pPr>
            <w:r w:rsidRPr="00D94B08">
              <w:rPr>
                <w:color w:val="000000"/>
                <w:sz w:val="22"/>
                <w:szCs w:val="22"/>
                <w:lang w:val="en-US" w:eastAsia="en-US"/>
              </w:rPr>
              <w:t>4.9</w:t>
            </w:r>
          </w:p>
        </w:tc>
        <w:tc>
          <w:tcPr>
            <w:tcW w:w="1260" w:type="dxa"/>
            <w:tcBorders>
              <w:top w:val="nil"/>
              <w:left w:val="nil"/>
              <w:bottom w:val="single" w:sz="4" w:space="0" w:color="auto"/>
              <w:right w:val="single" w:sz="4" w:space="0" w:color="auto"/>
            </w:tcBorders>
            <w:noWrap/>
            <w:vAlign w:val="bottom"/>
          </w:tcPr>
          <w:p w14:paraId="48A05A38" w14:textId="77777777" w:rsidR="00583B86" w:rsidRPr="00D94B08" w:rsidRDefault="00583B86" w:rsidP="00FB265E">
            <w:pPr>
              <w:jc w:val="center"/>
              <w:rPr>
                <w:color w:val="000000"/>
                <w:lang w:val="en-US" w:eastAsia="en-US"/>
              </w:rPr>
            </w:pPr>
            <w:r w:rsidRPr="00D94B08">
              <w:rPr>
                <w:color w:val="000000"/>
                <w:sz w:val="22"/>
                <w:szCs w:val="22"/>
                <w:lang w:val="en-US" w:eastAsia="en-US"/>
              </w:rPr>
              <w:t>7.3</w:t>
            </w:r>
          </w:p>
        </w:tc>
        <w:tc>
          <w:tcPr>
            <w:tcW w:w="3600" w:type="dxa"/>
            <w:tcBorders>
              <w:top w:val="nil"/>
              <w:left w:val="nil"/>
              <w:bottom w:val="single" w:sz="4" w:space="0" w:color="auto"/>
              <w:right w:val="single" w:sz="4" w:space="0" w:color="auto"/>
            </w:tcBorders>
            <w:noWrap/>
            <w:vAlign w:val="bottom"/>
          </w:tcPr>
          <w:p w14:paraId="4AB1EDC9" w14:textId="77777777" w:rsidR="00583B86" w:rsidRPr="00D94B08" w:rsidRDefault="00583B86" w:rsidP="00FB265E">
            <w:pPr>
              <w:jc w:val="center"/>
              <w:rPr>
                <w:color w:val="000000"/>
                <w:lang w:val="en-US" w:eastAsia="en-US"/>
              </w:rPr>
            </w:pPr>
            <w:r w:rsidRPr="00D94B08">
              <w:rPr>
                <w:color w:val="000000"/>
                <w:sz w:val="22"/>
                <w:szCs w:val="22"/>
                <w:lang w:val="en-US" w:eastAsia="en-US"/>
              </w:rPr>
              <w:t>2.60 (1.75 - 3.87)</w:t>
            </w:r>
          </w:p>
        </w:tc>
      </w:tr>
      <w:tr w:rsidR="00583B86" w:rsidRPr="00D94B08" w14:paraId="3054C074"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F209847" w14:textId="77777777" w:rsidR="00583B86" w:rsidRPr="00D94B08" w:rsidRDefault="00583B86" w:rsidP="00FB265E">
            <w:pPr>
              <w:rPr>
                <w:color w:val="000000"/>
                <w:lang w:val="en-US" w:eastAsia="en-US"/>
              </w:rPr>
            </w:pPr>
            <w:r w:rsidRPr="00D94B08">
              <w:rPr>
                <w:color w:val="000000"/>
                <w:sz w:val="22"/>
                <w:szCs w:val="18"/>
                <w:lang w:eastAsia="en-US"/>
              </w:rPr>
              <w:t xml:space="preserve">   65 – 69 </w:t>
            </w:r>
          </w:p>
        </w:tc>
        <w:tc>
          <w:tcPr>
            <w:tcW w:w="1620" w:type="dxa"/>
            <w:tcBorders>
              <w:top w:val="nil"/>
              <w:left w:val="nil"/>
              <w:bottom w:val="single" w:sz="4" w:space="0" w:color="auto"/>
              <w:right w:val="single" w:sz="4" w:space="0" w:color="auto"/>
            </w:tcBorders>
            <w:noWrap/>
            <w:vAlign w:val="bottom"/>
          </w:tcPr>
          <w:p w14:paraId="107E9E08" w14:textId="77777777" w:rsidR="00583B86" w:rsidRPr="00D94B08" w:rsidRDefault="00583B86" w:rsidP="00FB265E">
            <w:pPr>
              <w:jc w:val="center"/>
              <w:rPr>
                <w:color w:val="000000"/>
                <w:lang w:val="en-US" w:eastAsia="en-US"/>
              </w:rPr>
            </w:pPr>
            <w:r w:rsidRPr="00D94B08">
              <w:rPr>
                <w:color w:val="000000"/>
                <w:sz w:val="22"/>
                <w:szCs w:val="22"/>
                <w:lang w:val="en-US" w:eastAsia="en-US"/>
              </w:rPr>
              <w:t>166</w:t>
            </w:r>
          </w:p>
        </w:tc>
        <w:tc>
          <w:tcPr>
            <w:tcW w:w="2160" w:type="dxa"/>
            <w:tcBorders>
              <w:top w:val="nil"/>
              <w:left w:val="nil"/>
              <w:bottom w:val="single" w:sz="4" w:space="0" w:color="auto"/>
              <w:right w:val="single" w:sz="4" w:space="0" w:color="auto"/>
            </w:tcBorders>
            <w:noWrap/>
            <w:vAlign w:val="bottom"/>
          </w:tcPr>
          <w:p w14:paraId="64816242" w14:textId="77777777" w:rsidR="00583B86" w:rsidRPr="00D94B08" w:rsidRDefault="00583B86" w:rsidP="00FB265E">
            <w:pPr>
              <w:jc w:val="center"/>
              <w:rPr>
                <w:color w:val="000000"/>
                <w:lang w:val="en-US" w:eastAsia="en-US"/>
              </w:rPr>
            </w:pPr>
            <w:r w:rsidRPr="00D94B08">
              <w:rPr>
                <w:color w:val="000000"/>
                <w:sz w:val="22"/>
                <w:szCs w:val="22"/>
                <w:lang w:val="en-US" w:eastAsia="en-US"/>
              </w:rPr>
              <w:t>10.7</w:t>
            </w:r>
          </w:p>
        </w:tc>
        <w:tc>
          <w:tcPr>
            <w:tcW w:w="1080" w:type="dxa"/>
            <w:tcBorders>
              <w:top w:val="nil"/>
              <w:left w:val="nil"/>
              <w:bottom w:val="single" w:sz="4" w:space="0" w:color="auto"/>
              <w:right w:val="single" w:sz="4" w:space="0" w:color="auto"/>
            </w:tcBorders>
            <w:noWrap/>
            <w:vAlign w:val="bottom"/>
          </w:tcPr>
          <w:p w14:paraId="52A37782" w14:textId="77777777" w:rsidR="00583B86" w:rsidRPr="00D94B08" w:rsidRDefault="00583B86" w:rsidP="00FB265E">
            <w:pPr>
              <w:jc w:val="center"/>
              <w:rPr>
                <w:color w:val="000000"/>
                <w:lang w:val="en-US" w:eastAsia="en-US"/>
              </w:rPr>
            </w:pPr>
            <w:r w:rsidRPr="00D94B08">
              <w:rPr>
                <w:color w:val="000000"/>
                <w:sz w:val="22"/>
                <w:szCs w:val="22"/>
                <w:lang w:val="en-US" w:eastAsia="en-US"/>
              </w:rPr>
              <w:t>9.1</w:t>
            </w:r>
          </w:p>
        </w:tc>
        <w:tc>
          <w:tcPr>
            <w:tcW w:w="1260" w:type="dxa"/>
            <w:tcBorders>
              <w:top w:val="nil"/>
              <w:left w:val="nil"/>
              <w:bottom w:val="single" w:sz="4" w:space="0" w:color="auto"/>
              <w:right w:val="single" w:sz="4" w:space="0" w:color="auto"/>
            </w:tcBorders>
            <w:noWrap/>
            <w:vAlign w:val="bottom"/>
          </w:tcPr>
          <w:p w14:paraId="642CA7E4" w14:textId="77777777" w:rsidR="00583B86" w:rsidRPr="00D94B08" w:rsidRDefault="00583B86" w:rsidP="00FB265E">
            <w:pPr>
              <w:jc w:val="center"/>
              <w:rPr>
                <w:color w:val="000000"/>
                <w:lang w:val="en-US" w:eastAsia="en-US"/>
              </w:rPr>
            </w:pPr>
            <w:r w:rsidRPr="00D94B08">
              <w:rPr>
                <w:color w:val="000000"/>
                <w:sz w:val="22"/>
                <w:szCs w:val="22"/>
                <w:lang w:val="en-US" w:eastAsia="en-US"/>
              </w:rPr>
              <w:t>12.3</w:t>
            </w:r>
          </w:p>
        </w:tc>
        <w:tc>
          <w:tcPr>
            <w:tcW w:w="3600" w:type="dxa"/>
            <w:tcBorders>
              <w:top w:val="nil"/>
              <w:left w:val="nil"/>
              <w:bottom w:val="single" w:sz="4" w:space="0" w:color="auto"/>
              <w:right w:val="single" w:sz="4" w:space="0" w:color="auto"/>
            </w:tcBorders>
            <w:noWrap/>
            <w:vAlign w:val="bottom"/>
          </w:tcPr>
          <w:p w14:paraId="2031C4B9" w14:textId="77777777" w:rsidR="00583B86" w:rsidRPr="00D94B08" w:rsidRDefault="00583B86" w:rsidP="00FB265E">
            <w:pPr>
              <w:jc w:val="center"/>
              <w:rPr>
                <w:color w:val="000000"/>
                <w:lang w:val="en-US" w:eastAsia="en-US"/>
              </w:rPr>
            </w:pPr>
            <w:r w:rsidRPr="00D94B08">
              <w:rPr>
                <w:color w:val="000000"/>
                <w:sz w:val="22"/>
                <w:szCs w:val="22"/>
                <w:lang w:val="en-US" w:eastAsia="en-US"/>
              </w:rPr>
              <w:t>4.50 (3.08 - 6.57)</w:t>
            </w:r>
          </w:p>
        </w:tc>
      </w:tr>
      <w:tr w:rsidR="00583B86" w:rsidRPr="00D94B08" w14:paraId="0D370DEC"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3E67F46A" w14:textId="77777777" w:rsidR="00583B86" w:rsidRPr="00D94B08" w:rsidRDefault="00583B86" w:rsidP="00FB265E">
            <w:pPr>
              <w:rPr>
                <w:color w:val="000000"/>
                <w:lang w:val="en-US" w:eastAsia="en-US"/>
              </w:rPr>
            </w:pPr>
            <w:r w:rsidRPr="00D94B08">
              <w:rPr>
                <w:color w:val="000000"/>
                <w:sz w:val="22"/>
                <w:szCs w:val="18"/>
                <w:lang w:eastAsia="en-US"/>
              </w:rPr>
              <w:t xml:space="preserve">   70 – 74 </w:t>
            </w:r>
          </w:p>
        </w:tc>
        <w:tc>
          <w:tcPr>
            <w:tcW w:w="1620" w:type="dxa"/>
            <w:tcBorders>
              <w:top w:val="nil"/>
              <w:left w:val="nil"/>
              <w:bottom w:val="single" w:sz="4" w:space="0" w:color="auto"/>
              <w:right w:val="single" w:sz="4" w:space="0" w:color="auto"/>
            </w:tcBorders>
            <w:noWrap/>
            <w:vAlign w:val="bottom"/>
          </w:tcPr>
          <w:p w14:paraId="35184AEB" w14:textId="77777777" w:rsidR="00583B86" w:rsidRPr="00D94B08" w:rsidRDefault="00583B86" w:rsidP="00FB265E">
            <w:pPr>
              <w:jc w:val="center"/>
              <w:rPr>
                <w:color w:val="000000"/>
                <w:lang w:val="en-US" w:eastAsia="en-US"/>
              </w:rPr>
            </w:pPr>
            <w:r w:rsidRPr="00D94B08">
              <w:rPr>
                <w:color w:val="000000"/>
                <w:sz w:val="22"/>
                <w:szCs w:val="22"/>
                <w:lang w:val="en-US" w:eastAsia="en-US"/>
              </w:rPr>
              <w:t>272</w:t>
            </w:r>
          </w:p>
        </w:tc>
        <w:tc>
          <w:tcPr>
            <w:tcW w:w="2160" w:type="dxa"/>
            <w:tcBorders>
              <w:top w:val="nil"/>
              <w:left w:val="nil"/>
              <w:bottom w:val="single" w:sz="4" w:space="0" w:color="auto"/>
              <w:right w:val="single" w:sz="4" w:space="0" w:color="auto"/>
            </w:tcBorders>
            <w:noWrap/>
            <w:vAlign w:val="bottom"/>
          </w:tcPr>
          <w:p w14:paraId="7FFEECFD" w14:textId="77777777" w:rsidR="00583B86" w:rsidRPr="00D94B08" w:rsidRDefault="00583B86" w:rsidP="00FB265E">
            <w:pPr>
              <w:jc w:val="center"/>
              <w:rPr>
                <w:color w:val="000000"/>
                <w:lang w:val="en-US" w:eastAsia="en-US"/>
              </w:rPr>
            </w:pPr>
            <w:r w:rsidRPr="00D94B08">
              <w:rPr>
                <w:color w:val="000000"/>
                <w:sz w:val="22"/>
                <w:szCs w:val="22"/>
                <w:lang w:val="en-US" w:eastAsia="en-US"/>
              </w:rPr>
              <w:t>16.4</w:t>
            </w:r>
          </w:p>
        </w:tc>
        <w:tc>
          <w:tcPr>
            <w:tcW w:w="1080" w:type="dxa"/>
            <w:tcBorders>
              <w:top w:val="nil"/>
              <w:left w:val="nil"/>
              <w:bottom w:val="single" w:sz="4" w:space="0" w:color="auto"/>
              <w:right w:val="single" w:sz="4" w:space="0" w:color="auto"/>
            </w:tcBorders>
            <w:noWrap/>
            <w:vAlign w:val="bottom"/>
          </w:tcPr>
          <w:p w14:paraId="71D69B05" w14:textId="77777777" w:rsidR="00583B86" w:rsidRPr="00D94B08" w:rsidRDefault="00583B86" w:rsidP="00FB265E">
            <w:pPr>
              <w:jc w:val="center"/>
              <w:rPr>
                <w:color w:val="000000"/>
                <w:lang w:val="en-US" w:eastAsia="en-US"/>
              </w:rPr>
            </w:pPr>
            <w:r w:rsidRPr="00D94B08">
              <w:rPr>
                <w:color w:val="000000"/>
                <w:sz w:val="22"/>
                <w:szCs w:val="22"/>
                <w:lang w:val="en-US" w:eastAsia="en-US"/>
              </w:rPr>
              <w:t>14.5</w:t>
            </w:r>
          </w:p>
        </w:tc>
        <w:tc>
          <w:tcPr>
            <w:tcW w:w="1260" w:type="dxa"/>
            <w:tcBorders>
              <w:top w:val="nil"/>
              <w:left w:val="nil"/>
              <w:bottom w:val="single" w:sz="4" w:space="0" w:color="auto"/>
              <w:right w:val="single" w:sz="4" w:space="0" w:color="auto"/>
            </w:tcBorders>
            <w:noWrap/>
            <w:vAlign w:val="bottom"/>
          </w:tcPr>
          <w:p w14:paraId="51060B6C" w14:textId="77777777" w:rsidR="00583B86" w:rsidRPr="00D94B08" w:rsidRDefault="00583B86" w:rsidP="00FB265E">
            <w:pPr>
              <w:jc w:val="center"/>
              <w:rPr>
                <w:color w:val="000000"/>
                <w:lang w:val="en-US" w:eastAsia="en-US"/>
              </w:rPr>
            </w:pPr>
            <w:r w:rsidRPr="00D94B08">
              <w:rPr>
                <w:color w:val="000000"/>
                <w:sz w:val="22"/>
                <w:szCs w:val="22"/>
                <w:lang w:val="en-US" w:eastAsia="en-US"/>
              </w:rPr>
              <w:t>18.4</w:t>
            </w:r>
          </w:p>
        </w:tc>
        <w:tc>
          <w:tcPr>
            <w:tcW w:w="3600" w:type="dxa"/>
            <w:tcBorders>
              <w:top w:val="nil"/>
              <w:left w:val="nil"/>
              <w:bottom w:val="single" w:sz="4" w:space="0" w:color="auto"/>
              <w:right w:val="single" w:sz="4" w:space="0" w:color="auto"/>
            </w:tcBorders>
            <w:noWrap/>
            <w:vAlign w:val="bottom"/>
          </w:tcPr>
          <w:p w14:paraId="6FF10AC5" w14:textId="77777777" w:rsidR="00583B86" w:rsidRPr="00D94B08" w:rsidRDefault="00583B86" w:rsidP="00FB265E">
            <w:pPr>
              <w:jc w:val="center"/>
              <w:rPr>
                <w:color w:val="000000"/>
                <w:lang w:val="en-US" w:eastAsia="en-US"/>
              </w:rPr>
            </w:pPr>
            <w:r w:rsidRPr="00D94B08">
              <w:rPr>
                <w:color w:val="000000"/>
                <w:sz w:val="22"/>
                <w:szCs w:val="22"/>
                <w:lang w:val="en-US" w:eastAsia="en-US"/>
              </w:rPr>
              <w:t>6.82 (4.73 - 9.84)</w:t>
            </w:r>
          </w:p>
        </w:tc>
      </w:tr>
      <w:tr w:rsidR="00583B86" w:rsidRPr="00D94B08" w14:paraId="3245B168"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141DCF02" w14:textId="77777777" w:rsidR="00583B86" w:rsidRPr="00D94B08" w:rsidRDefault="00583B86" w:rsidP="00FB265E">
            <w:pPr>
              <w:rPr>
                <w:color w:val="000000"/>
                <w:lang w:val="en-US" w:eastAsia="en-US"/>
              </w:rPr>
            </w:pPr>
            <w:r w:rsidRPr="00D94B08">
              <w:rPr>
                <w:color w:val="000000"/>
                <w:sz w:val="22"/>
                <w:szCs w:val="18"/>
                <w:lang w:eastAsia="en-US"/>
              </w:rPr>
              <w:t xml:space="preserve">   75 – 79 </w:t>
            </w:r>
          </w:p>
        </w:tc>
        <w:tc>
          <w:tcPr>
            <w:tcW w:w="1620" w:type="dxa"/>
            <w:tcBorders>
              <w:top w:val="nil"/>
              <w:left w:val="nil"/>
              <w:bottom w:val="single" w:sz="4" w:space="0" w:color="auto"/>
              <w:right w:val="single" w:sz="4" w:space="0" w:color="auto"/>
            </w:tcBorders>
            <w:noWrap/>
            <w:vAlign w:val="bottom"/>
          </w:tcPr>
          <w:p w14:paraId="569B4303" w14:textId="77777777" w:rsidR="00583B86" w:rsidRPr="00D94B08" w:rsidRDefault="00583B86" w:rsidP="00FB265E">
            <w:pPr>
              <w:jc w:val="center"/>
              <w:rPr>
                <w:color w:val="000000"/>
                <w:lang w:val="en-US" w:eastAsia="en-US"/>
              </w:rPr>
            </w:pPr>
            <w:r w:rsidRPr="00D94B08">
              <w:rPr>
                <w:color w:val="000000"/>
                <w:sz w:val="22"/>
                <w:szCs w:val="22"/>
                <w:lang w:val="en-US" w:eastAsia="en-US"/>
              </w:rPr>
              <w:t>488</w:t>
            </w:r>
          </w:p>
        </w:tc>
        <w:tc>
          <w:tcPr>
            <w:tcW w:w="2160" w:type="dxa"/>
            <w:tcBorders>
              <w:top w:val="nil"/>
              <w:left w:val="nil"/>
              <w:bottom w:val="single" w:sz="4" w:space="0" w:color="auto"/>
              <w:right w:val="single" w:sz="4" w:space="0" w:color="auto"/>
            </w:tcBorders>
            <w:noWrap/>
            <w:vAlign w:val="bottom"/>
          </w:tcPr>
          <w:p w14:paraId="1D66A847" w14:textId="77777777" w:rsidR="00583B86" w:rsidRPr="00D94B08" w:rsidRDefault="00583B86" w:rsidP="00FB265E">
            <w:pPr>
              <w:jc w:val="center"/>
              <w:rPr>
                <w:color w:val="000000"/>
                <w:lang w:val="en-US" w:eastAsia="en-US"/>
              </w:rPr>
            </w:pPr>
            <w:r w:rsidRPr="00D94B08">
              <w:rPr>
                <w:color w:val="000000"/>
                <w:sz w:val="22"/>
                <w:szCs w:val="22"/>
                <w:lang w:val="en-US" w:eastAsia="en-US"/>
              </w:rPr>
              <w:t>25.7</w:t>
            </w:r>
          </w:p>
        </w:tc>
        <w:tc>
          <w:tcPr>
            <w:tcW w:w="1080" w:type="dxa"/>
            <w:tcBorders>
              <w:top w:val="nil"/>
              <w:left w:val="nil"/>
              <w:bottom w:val="single" w:sz="4" w:space="0" w:color="auto"/>
              <w:right w:val="single" w:sz="4" w:space="0" w:color="auto"/>
            </w:tcBorders>
            <w:noWrap/>
            <w:vAlign w:val="bottom"/>
          </w:tcPr>
          <w:p w14:paraId="06526BA3" w14:textId="77777777" w:rsidR="00583B86" w:rsidRPr="00D94B08" w:rsidRDefault="00583B86" w:rsidP="00FB265E">
            <w:pPr>
              <w:jc w:val="center"/>
              <w:rPr>
                <w:color w:val="000000"/>
                <w:lang w:val="en-US" w:eastAsia="en-US"/>
              </w:rPr>
            </w:pPr>
            <w:r w:rsidRPr="00D94B08">
              <w:rPr>
                <w:color w:val="000000"/>
                <w:sz w:val="22"/>
                <w:szCs w:val="22"/>
                <w:lang w:val="en-US" w:eastAsia="en-US"/>
              </w:rPr>
              <w:t>23.4</w:t>
            </w:r>
          </w:p>
        </w:tc>
        <w:tc>
          <w:tcPr>
            <w:tcW w:w="1260" w:type="dxa"/>
            <w:tcBorders>
              <w:top w:val="nil"/>
              <w:left w:val="nil"/>
              <w:bottom w:val="single" w:sz="4" w:space="0" w:color="auto"/>
              <w:right w:val="single" w:sz="4" w:space="0" w:color="auto"/>
            </w:tcBorders>
            <w:noWrap/>
            <w:vAlign w:val="bottom"/>
          </w:tcPr>
          <w:p w14:paraId="22F7F667" w14:textId="77777777" w:rsidR="00583B86" w:rsidRPr="00D94B08" w:rsidRDefault="00583B86" w:rsidP="00FB265E">
            <w:pPr>
              <w:jc w:val="center"/>
              <w:rPr>
                <w:color w:val="000000"/>
                <w:lang w:val="en-US" w:eastAsia="en-US"/>
              </w:rPr>
            </w:pPr>
            <w:r w:rsidRPr="00D94B08">
              <w:rPr>
                <w:color w:val="000000"/>
                <w:sz w:val="22"/>
                <w:szCs w:val="22"/>
                <w:lang w:val="en-US" w:eastAsia="en-US"/>
              </w:rPr>
              <w:t>27.9</w:t>
            </w:r>
          </w:p>
        </w:tc>
        <w:tc>
          <w:tcPr>
            <w:tcW w:w="3600" w:type="dxa"/>
            <w:tcBorders>
              <w:top w:val="nil"/>
              <w:left w:val="nil"/>
              <w:bottom w:val="single" w:sz="4" w:space="0" w:color="auto"/>
              <w:right w:val="single" w:sz="4" w:space="0" w:color="auto"/>
            </w:tcBorders>
            <w:noWrap/>
            <w:vAlign w:val="bottom"/>
          </w:tcPr>
          <w:p w14:paraId="1DB48B03" w14:textId="77777777" w:rsidR="00583B86" w:rsidRPr="00D94B08" w:rsidRDefault="00583B86" w:rsidP="00B35EC0">
            <w:pPr>
              <w:jc w:val="center"/>
              <w:rPr>
                <w:color w:val="000000"/>
                <w:lang w:val="en-US" w:eastAsia="en-US"/>
              </w:rPr>
            </w:pPr>
            <w:r w:rsidRPr="00D94B08">
              <w:rPr>
                <w:color w:val="000000"/>
                <w:sz w:val="22"/>
                <w:szCs w:val="22"/>
                <w:lang w:val="en-US" w:eastAsia="en-US"/>
              </w:rPr>
              <w:t>10.4 (7.28 - 14.9)</w:t>
            </w:r>
          </w:p>
        </w:tc>
      </w:tr>
      <w:tr w:rsidR="00583B86" w:rsidRPr="00D94B08" w14:paraId="4CEB3B26"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36B3A8EA" w14:textId="77777777" w:rsidR="00583B86" w:rsidRPr="00D94B08" w:rsidRDefault="00583B86" w:rsidP="00FB265E">
            <w:pPr>
              <w:rPr>
                <w:color w:val="000000"/>
                <w:lang w:val="en-US" w:eastAsia="en-US"/>
              </w:rPr>
            </w:pPr>
            <w:r w:rsidRPr="00D94B08">
              <w:rPr>
                <w:color w:val="000000"/>
                <w:sz w:val="22"/>
                <w:szCs w:val="18"/>
                <w:lang w:eastAsia="en-US"/>
              </w:rPr>
              <w:t xml:space="preserve">   80 – 84 </w:t>
            </w:r>
          </w:p>
        </w:tc>
        <w:tc>
          <w:tcPr>
            <w:tcW w:w="1620" w:type="dxa"/>
            <w:tcBorders>
              <w:top w:val="nil"/>
              <w:left w:val="nil"/>
              <w:bottom w:val="single" w:sz="4" w:space="0" w:color="auto"/>
              <w:right w:val="single" w:sz="4" w:space="0" w:color="auto"/>
            </w:tcBorders>
            <w:noWrap/>
            <w:vAlign w:val="bottom"/>
          </w:tcPr>
          <w:p w14:paraId="2563F373" w14:textId="77777777" w:rsidR="00583B86" w:rsidRPr="00D94B08" w:rsidRDefault="00583B86" w:rsidP="00FB265E">
            <w:pPr>
              <w:jc w:val="center"/>
              <w:rPr>
                <w:color w:val="000000"/>
                <w:lang w:val="en-US" w:eastAsia="en-US"/>
              </w:rPr>
            </w:pPr>
            <w:r w:rsidRPr="00D94B08">
              <w:rPr>
                <w:color w:val="000000"/>
                <w:sz w:val="22"/>
                <w:szCs w:val="22"/>
                <w:lang w:val="en-US" w:eastAsia="en-US"/>
              </w:rPr>
              <w:t>823</w:t>
            </w:r>
          </w:p>
        </w:tc>
        <w:tc>
          <w:tcPr>
            <w:tcW w:w="2160" w:type="dxa"/>
            <w:tcBorders>
              <w:top w:val="nil"/>
              <w:left w:val="nil"/>
              <w:bottom w:val="single" w:sz="4" w:space="0" w:color="auto"/>
              <w:right w:val="single" w:sz="4" w:space="0" w:color="auto"/>
            </w:tcBorders>
            <w:noWrap/>
            <w:vAlign w:val="bottom"/>
          </w:tcPr>
          <w:p w14:paraId="067F3F79" w14:textId="77777777" w:rsidR="00583B86" w:rsidRPr="00D94B08" w:rsidRDefault="00583B86" w:rsidP="00FB265E">
            <w:pPr>
              <w:jc w:val="center"/>
              <w:rPr>
                <w:color w:val="000000"/>
                <w:lang w:val="en-US" w:eastAsia="en-US"/>
              </w:rPr>
            </w:pPr>
            <w:r w:rsidRPr="00D94B08">
              <w:rPr>
                <w:color w:val="000000"/>
                <w:sz w:val="22"/>
                <w:szCs w:val="22"/>
                <w:lang w:val="en-US" w:eastAsia="en-US"/>
              </w:rPr>
              <w:t>40.2</w:t>
            </w:r>
          </w:p>
        </w:tc>
        <w:tc>
          <w:tcPr>
            <w:tcW w:w="1080" w:type="dxa"/>
            <w:tcBorders>
              <w:top w:val="nil"/>
              <w:left w:val="nil"/>
              <w:bottom w:val="single" w:sz="4" w:space="0" w:color="auto"/>
              <w:right w:val="single" w:sz="4" w:space="0" w:color="auto"/>
            </w:tcBorders>
            <w:noWrap/>
            <w:vAlign w:val="bottom"/>
          </w:tcPr>
          <w:p w14:paraId="5AB2BD60" w14:textId="77777777" w:rsidR="00583B86" w:rsidRPr="00D94B08" w:rsidRDefault="00583B86" w:rsidP="00FB265E">
            <w:pPr>
              <w:jc w:val="center"/>
              <w:rPr>
                <w:color w:val="000000"/>
                <w:lang w:val="en-US" w:eastAsia="en-US"/>
              </w:rPr>
            </w:pPr>
            <w:r w:rsidRPr="00D94B08">
              <w:rPr>
                <w:color w:val="000000"/>
                <w:sz w:val="22"/>
                <w:szCs w:val="22"/>
                <w:lang w:val="en-US" w:eastAsia="en-US"/>
              </w:rPr>
              <w:t>37.4</w:t>
            </w:r>
          </w:p>
        </w:tc>
        <w:tc>
          <w:tcPr>
            <w:tcW w:w="1260" w:type="dxa"/>
            <w:tcBorders>
              <w:top w:val="nil"/>
              <w:left w:val="nil"/>
              <w:bottom w:val="single" w:sz="4" w:space="0" w:color="auto"/>
              <w:right w:val="single" w:sz="4" w:space="0" w:color="auto"/>
            </w:tcBorders>
            <w:noWrap/>
            <w:vAlign w:val="bottom"/>
          </w:tcPr>
          <w:p w14:paraId="16180377" w14:textId="77777777" w:rsidR="00583B86" w:rsidRPr="00D94B08" w:rsidRDefault="00583B86" w:rsidP="00FB265E">
            <w:pPr>
              <w:jc w:val="center"/>
              <w:rPr>
                <w:color w:val="000000"/>
                <w:lang w:val="en-US" w:eastAsia="en-US"/>
              </w:rPr>
            </w:pPr>
            <w:r w:rsidRPr="00D94B08">
              <w:rPr>
                <w:color w:val="000000"/>
                <w:sz w:val="22"/>
                <w:szCs w:val="22"/>
                <w:lang w:val="en-US" w:eastAsia="en-US"/>
              </w:rPr>
              <w:t>42.9</w:t>
            </w:r>
          </w:p>
        </w:tc>
        <w:tc>
          <w:tcPr>
            <w:tcW w:w="3600" w:type="dxa"/>
            <w:tcBorders>
              <w:top w:val="nil"/>
              <w:left w:val="nil"/>
              <w:bottom w:val="single" w:sz="4" w:space="0" w:color="auto"/>
              <w:right w:val="single" w:sz="4" w:space="0" w:color="auto"/>
            </w:tcBorders>
            <w:noWrap/>
            <w:vAlign w:val="bottom"/>
          </w:tcPr>
          <w:p w14:paraId="32499BD0" w14:textId="77777777" w:rsidR="00583B86" w:rsidRPr="00D94B08" w:rsidRDefault="00583B86" w:rsidP="00FB265E">
            <w:pPr>
              <w:jc w:val="center"/>
              <w:rPr>
                <w:color w:val="000000"/>
                <w:lang w:val="en-US" w:eastAsia="en-US"/>
              </w:rPr>
            </w:pPr>
            <w:r w:rsidRPr="00D94B08">
              <w:rPr>
                <w:color w:val="000000"/>
                <w:sz w:val="22"/>
                <w:szCs w:val="22"/>
                <w:lang w:val="en-US" w:eastAsia="en-US"/>
              </w:rPr>
              <w:t>16.1 (11.3 - 22.9)</w:t>
            </w:r>
          </w:p>
        </w:tc>
      </w:tr>
      <w:tr w:rsidR="00583B86" w:rsidRPr="00D94B08" w14:paraId="2B273FC5"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774910AB" w14:textId="77777777" w:rsidR="00583B86" w:rsidRPr="00D94B08" w:rsidRDefault="00583B86" w:rsidP="00FB265E">
            <w:pPr>
              <w:rPr>
                <w:color w:val="000000"/>
                <w:lang w:val="en-US" w:eastAsia="en-US"/>
              </w:rPr>
            </w:pPr>
            <w:r w:rsidRPr="00D94B08">
              <w:rPr>
                <w:color w:val="000000"/>
                <w:sz w:val="22"/>
                <w:szCs w:val="18"/>
                <w:lang w:eastAsia="en-US"/>
              </w:rPr>
              <w:t xml:space="preserve">   85 – 89  </w:t>
            </w:r>
          </w:p>
        </w:tc>
        <w:tc>
          <w:tcPr>
            <w:tcW w:w="1620" w:type="dxa"/>
            <w:tcBorders>
              <w:top w:val="nil"/>
              <w:left w:val="nil"/>
              <w:bottom w:val="single" w:sz="4" w:space="0" w:color="auto"/>
              <w:right w:val="single" w:sz="4" w:space="0" w:color="auto"/>
            </w:tcBorders>
            <w:noWrap/>
            <w:vAlign w:val="bottom"/>
          </w:tcPr>
          <w:p w14:paraId="49117797" w14:textId="77777777" w:rsidR="00583B86" w:rsidRPr="00D94B08" w:rsidRDefault="00583B86" w:rsidP="00FB265E">
            <w:pPr>
              <w:jc w:val="center"/>
              <w:rPr>
                <w:color w:val="000000"/>
                <w:lang w:val="en-US" w:eastAsia="en-US"/>
              </w:rPr>
            </w:pPr>
            <w:r w:rsidRPr="00D94B08">
              <w:rPr>
                <w:color w:val="000000"/>
                <w:sz w:val="22"/>
                <w:szCs w:val="22"/>
                <w:lang w:val="en-US" w:eastAsia="en-US"/>
              </w:rPr>
              <w:t>876</w:t>
            </w:r>
          </w:p>
        </w:tc>
        <w:tc>
          <w:tcPr>
            <w:tcW w:w="2160" w:type="dxa"/>
            <w:tcBorders>
              <w:top w:val="nil"/>
              <w:left w:val="nil"/>
              <w:bottom w:val="single" w:sz="4" w:space="0" w:color="auto"/>
              <w:right w:val="single" w:sz="4" w:space="0" w:color="auto"/>
            </w:tcBorders>
            <w:noWrap/>
            <w:vAlign w:val="bottom"/>
          </w:tcPr>
          <w:p w14:paraId="3E25C548" w14:textId="77777777" w:rsidR="00583B86" w:rsidRPr="00D94B08" w:rsidRDefault="00583B86" w:rsidP="00FB265E">
            <w:pPr>
              <w:jc w:val="center"/>
              <w:rPr>
                <w:color w:val="000000"/>
                <w:lang w:val="en-US" w:eastAsia="en-US"/>
              </w:rPr>
            </w:pPr>
            <w:r w:rsidRPr="00D94B08">
              <w:rPr>
                <w:color w:val="000000"/>
                <w:sz w:val="22"/>
                <w:szCs w:val="22"/>
                <w:lang w:val="en-US" w:eastAsia="en-US"/>
              </w:rPr>
              <w:t>55.7</w:t>
            </w:r>
          </w:p>
        </w:tc>
        <w:tc>
          <w:tcPr>
            <w:tcW w:w="1080" w:type="dxa"/>
            <w:tcBorders>
              <w:top w:val="nil"/>
              <w:left w:val="nil"/>
              <w:bottom w:val="single" w:sz="4" w:space="0" w:color="auto"/>
              <w:right w:val="single" w:sz="4" w:space="0" w:color="auto"/>
            </w:tcBorders>
            <w:noWrap/>
            <w:vAlign w:val="bottom"/>
          </w:tcPr>
          <w:p w14:paraId="4A0E2470" w14:textId="77777777" w:rsidR="00583B86" w:rsidRPr="00D94B08" w:rsidRDefault="00583B86" w:rsidP="00FB265E">
            <w:pPr>
              <w:jc w:val="center"/>
              <w:rPr>
                <w:color w:val="000000"/>
                <w:lang w:val="en-US" w:eastAsia="en-US"/>
              </w:rPr>
            </w:pPr>
            <w:r w:rsidRPr="00D94B08">
              <w:rPr>
                <w:color w:val="000000"/>
                <w:sz w:val="22"/>
                <w:szCs w:val="22"/>
                <w:lang w:val="en-US" w:eastAsia="en-US"/>
              </w:rPr>
              <w:t>52.0</w:t>
            </w:r>
          </w:p>
        </w:tc>
        <w:tc>
          <w:tcPr>
            <w:tcW w:w="1260" w:type="dxa"/>
            <w:tcBorders>
              <w:top w:val="nil"/>
              <w:left w:val="nil"/>
              <w:bottom w:val="single" w:sz="4" w:space="0" w:color="auto"/>
              <w:right w:val="single" w:sz="4" w:space="0" w:color="auto"/>
            </w:tcBorders>
            <w:noWrap/>
            <w:vAlign w:val="bottom"/>
          </w:tcPr>
          <w:p w14:paraId="1B98A8E4" w14:textId="77777777" w:rsidR="00583B86" w:rsidRPr="00D94B08" w:rsidRDefault="00583B86" w:rsidP="00FB265E">
            <w:pPr>
              <w:jc w:val="center"/>
              <w:rPr>
                <w:color w:val="000000"/>
                <w:lang w:val="en-US" w:eastAsia="en-US"/>
              </w:rPr>
            </w:pPr>
            <w:r w:rsidRPr="00D94B08">
              <w:rPr>
                <w:color w:val="000000"/>
                <w:sz w:val="22"/>
                <w:szCs w:val="22"/>
                <w:lang w:val="en-US" w:eastAsia="en-US"/>
              </w:rPr>
              <w:t>59.4</w:t>
            </w:r>
          </w:p>
        </w:tc>
        <w:tc>
          <w:tcPr>
            <w:tcW w:w="3600" w:type="dxa"/>
            <w:tcBorders>
              <w:top w:val="nil"/>
              <w:left w:val="nil"/>
              <w:bottom w:val="single" w:sz="4" w:space="0" w:color="auto"/>
              <w:right w:val="single" w:sz="4" w:space="0" w:color="auto"/>
            </w:tcBorders>
            <w:noWrap/>
            <w:vAlign w:val="bottom"/>
          </w:tcPr>
          <w:p w14:paraId="4A940240" w14:textId="77777777" w:rsidR="00583B86" w:rsidRPr="00D94B08" w:rsidRDefault="00583B86" w:rsidP="00FB265E">
            <w:pPr>
              <w:jc w:val="center"/>
              <w:rPr>
                <w:color w:val="000000"/>
                <w:lang w:val="en-US" w:eastAsia="en-US"/>
              </w:rPr>
            </w:pPr>
            <w:r w:rsidRPr="00D94B08">
              <w:rPr>
                <w:color w:val="000000"/>
                <w:sz w:val="22"/>
                <w:szCs w:val="22"/>
                <w:lang w:val="en-US" w:eastAsia="en-US"/>
              </w:rPr>
              <w:t>22.2 (15.6 - 31.6)</w:t>
            </w:r>
          </w:p>
        </w:tc>
      </w:tr>
      <w:tr w:rsidR="00583B86" w:rsidRPr="00D94B08" w14:paraId="101FA7F7"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1BC63F56" w14:textId="77777777" w:rsidR="00583B86" w:rsidRPr="00D94B08" w:rsidRDefault="00583B86" w:rsidP="00FB265E">
            <w:pPr>
              <w:rPr>
                <w:color w:val="000000"/>
                <w:lang w:val="en-US" w:eastAsia="en-US"/>
              </w:rPr>
            </w:pPr>
            <w:r w:rsidRPr="00D94B08">
              <w:rPr>
                <w:color w:val="000000"/>
                <w:sz w:val="22"/>
                <w:szCs w:val="18"/>
                <w:lang w:eastAsia="en-US"/>
              </w:rPr>
              <w:t xml:space="preserve">   90 +</w:t>
            </w:r>
          </w:p>
        </w:tc>
        <w:tc>
          <w:tcPr>
            <w:tcW w:w="1620" w:type="dxa"/>
            <w:tcBorders>
              <w:top w:val="nil"/>
              <w:left w:val="nil"/>
              <w:bottom w:val="single" w:sz="4" w:space="0" w:color="auto"/>
              <w:right w:val="single" w:sz="4" w:space="0" w:color="auto"/>
            </w:tcBorders>
            <w:noWrap/>
            <w:vAlign w:val="bottom"/>
          </w:tcPr>
          <w:p w14:paraId="1F7886C2" w14:textId="77777777" w:rsidR="00583B86" w:rsidRPr="00D94B08" w:rsidRDefault="00583B86" w:rsidP="00FB265E">
            <w:pPr>
              <w:jc w:val="center"/>
              <w:rPr>
                <w:color w:val="000000"/>
                <w:lang w:val="en-US" w:eastAsia="en-US"/>
              </w:rPr>
            </w:pPr>
            <w:r w:rsidRPr="00D94B08">
              <w:rPr>
                <w:color w:val="000000"/>
                <w:sz w:val="22"/>
                <w:szCs w:val="22"/>
                <w:lang w:val="en-US" w:eastAsia="en-US"/>
              </w:rPr>
              <w:t>785</w:t>
            </w:r>
          </w:p>
        </w:tc>
        <w:tc>
          <w:tcPr>
            <w:tcW w:w="2160" w:type="dxa"/>
            <w:tcBorders>
              <w:top w:val="nil"/>
              <w:left w:val="nil"/>
              <w:bottom w:val="single" w:sz="4" w:space="0" w:color="auto"/>
              <w:right w:val="single" w:sz="4" w:space="0" w:color="auto"/>
            </w:tcBorders>
            <w:noWrap/>
            <w:vAlign w:val="bottom"/>
          </w:tcPr>
          <w:p w14:paraId="6DD68303" w14:textId="77777777" w:rsidR="00583B86" w:rsidRPr="00D94B08" w:rsidRDefault="00583B86" w:rsidP="00FB265E">
            <w:pPr>
              <w:jc w:val="center"/>
              <w:rPr>
                <w:color w:val="000000"/>
                <w:lang w:val="en-US" w:eastAsia="en-US"/>
              </w:rPr>
            </w:pPr>
            <w:r w:rsidRPr="00D94B08">
              <w:rPr>
                <w:color w:val="000000"/>
                <w:sz w:val="22"/>
                <w:szCs w:val="22"/>
                <w:lang w:val="en-US" w:eastAsia="en-US"/>
              </w:rPr>
              <w:t>88.5</w:t>
            </w:r>
          </w:p>
        </w:tc>
        <w:tc>
          <w:tcPr>
            <w:tcW w:w="1080" w:type="dxa"/>
            <w:tcBorders>
              <w:top w:val="nil"/>
              <w:left w:val="nil"/>
              <w:bottom w:val="single" w:sz="4" w:space="0" w:color="auto"/>
              <w:right w:val="single" w:sz="4" w:space="0" w:color="auto"/>
            </w:tcBorders>
            <w:noWrap/>
            <w:vAlign w:val="bottom"/>
          </w:tcPr>
          <w:p w14:paraId="596CEF51" w14:textId="77777777" w:rsidR="00583B86" w:rsidRPr="00D94B08" w:rsidRDefault="00583B86" w:rsidP="00FB265E">
            <w:pPr>
              <w:jc w:val="center"/>
              <w:rPr>
                <w:color w:val="000000"/>
                <w:lang w:val="en-US" w:eastAsia="en-US"/>
              </w:rPr>
            </w:pPr>
            <w:r w:rsidRPr="00D94B08">
              <w:rPr>
                <w:color w:val="000000"/>
                <w:sz w:val="22"/>
                <w:szCs w:val="22"/>
                <w:lang w:val="en-US" w:eastAsia="en-US"/>
              </w:rPr>
              <w:t>82.3</w:t>
            </w:r>
          </w:p>
        </w:tc>
        <w:tc>
          <w:tcPr>
            <w:tcW w:w="1260" w:type="dxa"/>
            <w:tcBorders>
              <w:top w:val="nil"/>
              <w:left w:val="nil"/>
              <w:bottom w:val="single" w:sz="4" w:space="0" w:color="auto"/>
              <w:right w:val="single" w:sz="4" w:space="0" w:color="auto"/>
            </w:tcBorders>
            <w:noWrap/>
            <w:vAlign w:val="bottom"/>
          </w:tcPr>
          <w:p w14:paraId="4325DF8D" w14:textId="77777777" w:rsidR="00583B86" w:rsidRPr="00D94B08" w:rsidRDefault="00583B86" w:rsidP="00FB265E">
            <w:pPr>
              <w:jc w:val="center"/>
              <w:rPr>
                <w:color w:val="000000"/>
                <w:lang w:val="en-US" w:eastAsia="en-US"/>
              </w:rPr>
            </w:pPr>
            <w:r w:rsidRPr="00D94B08">
              <w:rPr>
                <w:color w:val="000000"/>
                <w:sz w:val="22"/>
                <w:szCs w:val="22"/>
                <w:lang w:val="en-US" w:eastAsia="en-US"/>
              </w:rPr>
              <w:t>94.7</w:t>
            </w:r>
          </w:p>
        </w:tc>
        <w:tc>
          <w:tcPr>
            <w:tcW w:w="3600" w:type="dxa"/>
            <w:tcBorders>
              <w:top w:val="nil"/>
              <w:left w:val="nil"/>
              <w:bottom w:val="single" w:sz="4" w:space="0" w:color="auto"/>
              <w:right w:val="single" w:sz="4" w:space="0" w:color="auto"/>
            </w:tcBorders>
            <w:noWrap/>
            <w:vAlign w:val="bottom"/>
          </w:tcPr>
          <w:p w14:paraId="1EFDF7FF" w14:textId="77777777" w:rsidR="00583B86" w:rsidRPr="00D94B08" w:rsidRDefault="00583B86" w:rsidP="00FB265E">
            <w:pPr>
              <w:jc w:val="center"/>
              <w:rPr>
                <w:color w:val="000000"/>
                <w:lang w:val="en-US" w:eastAsia="en-US"/>
              </w:rPr>
            </w:pPr>
            <w:r w:rsidRPr="00D94B08">
              <w:rPr>
                <w:color w:val="000000"/>
                <w:sz w:val="22"/>
                <w:szCs w:val="22"/>
                <w:lang w:val="en-US" w:eastAsia="en-US"/>
              </w:rPr>
              <w:t>34.2 (24.0 - 48.7)</w:t>
            </w:r>
          </w:p>
        </w:tc>
      </w:tr>
      <w:tr w:rsidR="00583B86" w:rsidRPr="00D94B08" w14:paraId="4EEEB702"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97B564B" w14:textId="77777777" w:rsidR="00583B86" w:rsidRPr="00D94B08" w:rsidRDefault="00583B86" w:rsidP="00FB265E">
            <w:pPr>
              <w:rPr>
                <w:color w:val="000000"/>
                <w:lang w:val="en-US" w:eastAsia="en-US"/>
              </w:rPr>
            </w:pPr>
            <w:r w:rsidRPr="00D94B08">
              <w:rPr>
                <w:color w:val="000000"/>
                <w:sz w:val="22"/>
                <w:szCs w:val="22"/>
                <w:lang w:val="en-US" w:eastAsia="en-US"/>
              </w:rPr>
              <w:t>By ethnicity</w:t>
            </w:r>
          </w:p>
        </w:tc>
        <w:tc>
          <w:tcPr>
            <w:tcW w:w="1620" w:type="dxa"/>
            <w:tcBorders>
              <w:top w:val="nil"/>
              <w:left w:val="nil"/>
              <w:bottom w:val="single" w:sz="4" w:space="0" w:color="auto"/>
              <w:right w:val="single" w:sz="4" w:space="0" w:color="auto"/>
            </w:tcBorders>
            <w:noWrap/>
            <w:vAlign w:val="bottom"/>
          </w:tcPr>
          <w:p w14:paraId="7BAA517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500504DF"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6B98BE8B"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5DD2CB09"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7AC411E0"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574FC29F"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6EFB2A6" w14:textId="77777777" w:rsidR="00583B86" w:rsidRPr="00D94B08" w:rsidRDefault="00583B86" w:rsidP="00FB265E">
            <w:pPr>
              <w:rPr>
                <w:color w:val="000000"/>
                <w:lang w:val="en-US" w:eastAsia="en-US"/>
              </w:rPr>
            </w:pPr>
            <w:r w:rsidRPr="00D94B08">
              <w:rPr>
                <w:color w:val="000000"/>
                <w:sz w:val="22"/>
                <w:szCs w:val="22"/>
                <w:lang w:val="en-US" w:eastAsia="en-US"/>
              </w:rPr>
              <w:t xml:space="preserve">   White</w:t>
            </w:r>
          </w:p>
        </w:tc>
        <w:tc>
          <w:tcPr>
            <w:tcW w:w="1620" w:type="dxa"/>
            <w:tcBorders>
              <w:top w:val="nil"/>
              <w:left w:val="nil"/>
              <w:bottom w:val="single" w:sz="4" w:space="0" w:color="auto"/>
              <w:right w:val="single" w:sz="4" w:space="0" w:color="auto"/>
            </w:tcBorders>
            <w:noWrap/>
            <w:vAlign w:val="bottom"/>
          </w:tcPr>
          <w:p w14:paraId="24A56BDD" w14:textId="77777777" w:rsidR="00583B86" w:rsidRPr="00D94B08" w:rsidRDefault="00583B86" w:rsidP="00FB265E">
            <w:pPr>
              <w:jc w:val="center"/>
              <w:rPr>
                <w:color w:val="000000"/>
                <w:lang w:val="en-US" w:eastAsia="en-US"/>
              </w:rPr>
            </w:pPr>
            <w:r w:rsidRPr="00D94B08">
              <w:rPr>
                <w:color w:val="000000"/>
                <w:sz w:val="22"/>
                <w:szCs w:val="22"/>
                <w:lang w:val="en-US" w:eastAsia="en-US"/>
              </w:rPr>
              <w:t>2910</w:t>
            </w:r>
          </w:p>
        </w:tc>
        <w:tc>
          <w:tcPr>
            <w:tcW w:w="2160" w:type="dxa"/>
            <w:tcBorders>
              <w:top w:val="nil"/>
              <w:left w:val="nil"/>
              <w:bottom w:val="single" w:sz="4" w:space="0" w:color="auto"/>
              <w:right w:val="single" w:sz="4" w:space="0" w:color="auto"/>
            </w:tcBorders>
            <w:noWrap/>
            <w:vAlign w:val="bottom"/>
          </w:tcPr>
          <w:p w14:paraId="7927C3CA" w14:textId="77777777" w:rsidR="00583B86" w:rsidRPr="00D94B08" w:rsidRDefault="00583B86" w:rsidP="00FB265E">
            <w:pPr>
              <w:jc w:val="center"/>
              <w:rPr>
                <w:color w:val="000000"/>
                <w:lang w:val="en-US" w:eastAsia="en-US"/>
              </w:rPr>
            </w:pPr>
            <w:r w:rsidRPr="00D94B08">
              <w:rPr>
                <w:color w:val="000000"/>
                <w:sz w:val="22"/>
                <w:szCs w:val="22"/>
                <w:lang w:val="en-US" w:eastAsia="en-US"/>
              </w:rPr>
              <w:t>23.9</w:t>
            </w:r>
          </w:p>
        </w:tc>
        <w:tc>
          <w:tcPr>
            <w:tcW w:w="1080" w:type="dxa"/>
            <w:tcBorders>
              <w:top w:val="nil"/>
              <w:left w:val="nil"/>
              <w:bottom w:val="single" w:sz="4" w:space="0" w:color="auto"/>
              <w:right w:val="single" w:sz="4" w:space="0" w:color="auto"/>
            </w:tcBorders>
            <w:noWrap/>
            <w:vAlign w:val="bottom"/>
          </w:tcPr>
          <w:p w14:paraId="058F19AB" w14:textId="77777777" w:rsidR="00583B86" w:rsidRPr="00D94B08" w:rsidRDefault="00583B86" w:rsidP="00FB265E">
            <w:pPr>
              <w:jc w:val="center"/>
              <w:rPr>
                <w:color w:val="000000"/>
                <w:lang w:val="en-US" w:eastAsia="en-US"/>
              </w:rPr>
            </w:pPr>
            <w:r w:rsidRPr="00D94B08">
              <w:rPr>
                <w:color w:val="000000"/>
                <w:sz w:val="22"/>
                <w:szCs w:val="22"/>
                <w:lang w:val="en-US" w:eastAsia="en-US"/>
              </w:rPr>
              <w:t>23.1</w:t>
            </w:r>
          </w:p>
        </w:tc>
        <w:tc>
          <w:tcPr>
            <w:tcW w:w="1260" w:type="dxa"/>
            <w:tcBorders>
              <w:top w:val="nil"/>
              <w:left w:val="nil"/>
              <w:bottom w:val="single" w:sz="4" w:space="0" w:color="auto"/>
              <w:right w:val="single" w:sz="4" w:space="0" w:color="auto"/>
            </w:tcBorders>
            <w:noWrap/>
            <w:vAlign w:val="bottom"/>
          </w:tcPr>
          <w:p w14:paraId="5DD85D35" w14:textId="77777777" w:rsidR="00583B86" w:rsidRPr="00D94B08" w:rsidRDefault="00583B86" w:rsidP="00FB265E">
            <w:pPr>
              <w:jc w:val="center"/>
              <w:rPr>
                <w:color w:val="000000"/>
                <w:lang w:val="en-US" w:eastAsia="en-US"/>
              </w:rPr>
            </w:pPr>
            <w:r w:rsidRPr="00D94B08">
              <w:rPr>
                <w:color w:val="000000"/>
                <w:sz w:val="22"/>
                <w:szCs w:val="22"/>
                <w:lang w:val="en-US" w:eastAsia="en-US"/>
              </w:rPr>
              <w:t>24.8</w:t>
            </w:r>
          </w:p>
        </w:tc>
        <w:tc>
          <w:tcPr>
            <w:tcW w:w="3600" w:type="dxa"/>
            <w:tcBorders>
              <w:top w:val="nil"/>
              <w:left w:val="nil"/>
              <w:bottom w:val="single" w:sz="4" w:space="0" w:color="auto"/>
              <w:right w:val="single" w:sz="4" w:space="0" w:color="auto"/>
            </w:tcBorders>
            <w:noWrap/>
            <w:vAlign w:val="bottom"/>
          </w:tcPr>
          <w:p w14:paraId="507C9AE9"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36B5D71F"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9EA2FC5" w14:textId="77777777" w:rsidR="00583B86" w:rsidRPr="00D94B08" w:rsidRDefault="00583B86" w:rsidP="00FB265E">
            <w:pPr>
              <w:rPr>
                <w:color w:val="000000"/>
                <w:lang w:val="en-US" w:eastAsia="en-US"/>
              </w:rPr>
            </w:pPr>
            <w:r w:rsidRPr="00D94B08">
              <w:rPr>
                <w:color w:val="000000"/>
                <w:sz w:val="22"/>
                <w:szCs w:val="22"/>
                <w:lang w:val="en-US" w:eastAsia="en-US"/>
              </w:rPr>
              <w:t xml:space="preserve">   Black</w:t>
            </w:r>
          </w:p>
        </w:tc>
        <w:tc>
          <w:tcPr>
            <w:tcW w:w="1620" w:type="dxa"/>
            <w:tcBorders>
              <w:top w:val="nil"/>
              <w:left w:val="nil"/>
              <w:bottom w:val="single" w:sz="4" w:space="0" w:color="auto"/>
              <w:right w:val="single" w:sz="4" w:space="0" w:color="auto"/>
            </w:tcBorders>
            <w:noWrap/>
            <w:vAlign w:val="bottom"/>
          </w:tcPr>
          <w:p w14:paraId="18376286" w14:textId="77777777" w:rsidR="00583B86" w:rsidRPr="00D94B08" w:rsidRDefault="00583B86" w:rsidP="00FB265E">
            <w:pPr>
              <w:jc w:val="center"/>
              <w:rPr>
                <w:color w:val="000000"/>
                <w:lang w:val="en-US" w:eastAsia="en-US"/>
              </w:rPr>
            </w:pPr>
            <w:r w:rsidRPr="00D94B08">
              <w:rPr>
                <w:color w:val="000000"/>
                <w:sz w:val="22"/>
                <w:szCs w:val="22"/>
                <w:lang w:val="en-US" w:eastAsia="en-US"/>
              </w:rPr>
              <w:t>10</w:t>
            </w:r>
          </w:p>
        </w:tc>
        <w:tc>
          <w:tcPr>
            <w:tcW w:w="2160" w:type="dxa"/>
            <w:tcBorders>
              <w:top w:val="nil"/>
              <w:left w:val="nil"/>
              <w:bottom w:val="single" w:sz="4" w:space="0" w:color="auto"/>
              <w:right w:val="single" w:sz="4" w:space="0" w:color="auto"/>
            </w:tcBorders>
            <w:noWrap/>
            <w:vAlign w:val="bottom"/>
          </w:tcPr>
          <w:p w14:paraId="1FCB6CDF" w14:textId="77777777" w:rsidR="00583B86" w:rsidRPr="00D94B08" w:rsidRDefault="00583B86" w:rsidP="00FB265E">
            <w:pPr>
              <w:jc w:val="center"/>
              <w:rPr>
                <w:color w:val="000000"/>
                <w:lang w:val="en-US" w:eastAsia="en-US"/>
              </w:rPr>
            </w:pPr>
            <w:r w:rsidRPr="00D94B08">
              <w:rPr>
                <w:color w:val="000000"/>
                <w:sz w:val="22"/>
                <w:szCs w:val="22"/>
                <w:lang w:val="en-US" w:eastAsia="en-US"/>
              </w:rPr>
              <w:t>27.9</w:t>
            </w:r>
          </w:p>
        </w:tc>
        <w:tc>
          <w:tcPr>
            <w:tcW w:w="1080" w:type="dxa"/>
            <w:tcBorders>
              <w:top w:val="nil"/>
              <w:left w:val="nil"/>
              <w:bottom w:val="single" w:sz="4" w:space="0" w:color="auto"/>
              <w:right w:val="single" w:sz="4" w:space="0" w:color="auto"/>
            </w:tcBorders>
            <w:noWrap/>
            <w:vAlign w:val="bottom"/>
          </w:tcPr>
          <w:p w14:paraId="5A1C77B5" w14:textId="77777777" w:rsidR="00583B86" w:rsidRPr="00D94B08" w:rsidRDefault="00583B86" w:rsidP="00FB265E">
            <w:pPr>
              <w:jc w:val="center"/>
              <w:rPr>
                <w:color w:val="000000"/>
                <w:lang w:val="en-US" w:eastAsia="en-US"/>
              </w:rPr>
            </w:pPr>
            <w:r w:rsidRPr="00D94B08">
              <w:rPr>
                <w:color w:val="000000"/>
                <w:sz w:val="22"/>
                <w:szCs w:val="22"/>
                <w:lang w:val="en-US" w:eastAsia="en-US"/>
              </w:rPr>
              <w:t>10.6</w:t>
            </w:r>
          </w:p>
        </w:tc>
        <w:tc>
          <w:tcPr>
            <w:tcW w:w="1260" w:type="dxa"/>
            <w:tcBorders>
              <w:top w:val="nil"/>
              <w:left w:val="nil"/>
              <w:bottom w:val="single" w:sz="4" w:space="0" w:color="auto"/>
              <w:right w:val="single" w:sz="4" w:space="0" w:color="auto"/>
            </w:tcBorders>
            <w:noWrap/>
            <w:vAlign w:val="bottom"/>
          </w:tcPr>
          <w:p w14:paraId="11294CA6" w14:textId="77777777" w:rsidR="00583B86" w:rsidRPr="00D94B08" w:rsidRDefault="00583B86" w:rsidP="00FB265E">
            <w:pPr>
              <w:jc w:val="center"/>
              <w:rPr>
                <w:color w:val="000000"/>
                <w:lang w:val="en-US" w:eastAsia="en-US"/>
              </w:rPr>
            </w:pPr>
            <w:r w:rsidRPr="00D94B08">
              <w:rPr>
                <w:color w:val="000000"/>
                <w:sz w:val="22"/>
                <w:szCs w:val="22"/>
                <w:lang w:val="en-US" w:eastAsia="en-US"/>
              </w:rPr>
              <w:t>45.0</w:t>
            </w:r>
          </w:p>
        </w:tc>
        <w:tc>
          <w:tcPr>
            <w:tcW w:w="3600" w:type="dxa"/>
            <w:tcBorders>
              <w:top w:val="nil"/>
              <w:left w:val="nil"/>
              <w:bottom w:val="single" w:sz="4" w:space="0" w:color="auto"/>
              <w:right w:val="single" w:sz="4" w:space="0" w:color="auto"/>
            </w:tcBorders>
            <w:noWrap/>
            <w:vAlign w:val="bottom"/>
          </w:tcPr>
          <w:p w14:paraId="786E3360" w14:textId="77777777" w:rsidR="00583B86" w:rsidRPr="00D94B08" w:rsidRDefault="00583B86" w:rsidP="00FB265E">
            <w:pPr>
              <w:jc w:val="center"/>
              <w:rPr>
                <w:color w:val="000000"/>
                <w:lang w:val="en-US" w:eastAsia="en-US"/>
              </w:rPr>
            </w:pPr>
            <w:r w:rsidRPr="00D94B08">
              <w:rPr>
                <w:color w:val="000000"/>
                <w:sz w:val="22"/>
                <w:szCs w:val="22"/>
                <w:lang w:val="en-US" w:eastAsia="en-US"/>
              </w:rPr>
              <w:t>1.54 (0.83 - 2.87)</w:t>
            </w:r>
          </w:p>
        </w:tc>
      </w:tr>
      <w:tr w:rsidR="00583B86" w:rsidRPr="00D94B08" w14:paraId="6992AA54"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90A93CE" w14:textId="77777777" w:rsidR="00583B86" w:rsidRPr="00D94B08" w:rsidRDefault="00583B86" w:rsidP="00FB265E">
            <w:pPr>
              <w:rPr>
                <w:color w:val="000000"/>
                <w:lang w:val="en-US" w:eastAsia="en-US"/>
              </w:rPr>
            </w:pPr>
            <w:r w:rsidRPr="00D94B08">
              <w:rPr>
                <w:color w:val="000000"/>
                <w:sz w:val="22"/>
                <w:szCs w:val="22"/>
                <w:lang w:val="en-US" w:eastAsia="en-US"/>
              </w:rPr>
              <w:t xml:space="preserve">   Mixed</w:t>
            </w:r>
          </w:p>
        </w:tc>
        <w:tc>
          <w:tcPr>
            <w:tcW w:w="1620" w:type="dxa"/>
            <w:tcBorders>
              <w:top w:val="nil"/>
              <w:left w:val="nil"/>
              <w:bottom w:val="single" w:sz="4" w:space="0" w:color="auto"/>
              <w:right w:val="single" w:sz="4" w:space="0" w:color="auto"/>
            </w:tcBorders>
            <w:noWrap/>
            <w:vAlign w:val="bottom"/>
          </w:tcPr>
          <w:p w14:paraId="25D533FC" w14:textId="77777777" w:rsidR="00583B86" w:rsidRPr="00D94B08" w:rsidRDefault="00583B86" w:rsidP="00FB265E">
            <w:pPr>
              <w:jc w:val="center"/>
              <w:rPr>
                <w:color w:val="000000"/>
                <w:lang w:val="en-US" w:eastAsia="en-US"/>
              </w:rPr>
            </w:pPr>
            <w:r w:rsidRPr="00D94B08">
              <w:rPr>
                <w:color w:val="000000"/>
                <w:sz w:val="22"/>
                <w:szCs w:val="22"/>
                <w:lang w:val="en-US" w:eastAsia="en-US"/>
              </w:rPr>
              <w:t>2</w:t>
            </w:r>
          </w:p>
        </w:tc>
        <w:tc>
          <w:tcPr>
            <w:tcW w:w="2160" w:type="dxa"/>
            <w:tcBorders>
              <w:top w:val="nil"/>
              <w:left w:val="nil"/>
              <w:bottom w:val="single" w:sz="4" w:space="0" w:color="auto"/>
              <w:right w:val="single" w:sz="4" w:space="0" w:color="auto"/>
            </w:tcBorders>
            <w:noWrap/>
            <w:vAlign w:val="bottom"/>
          </w:tcPr>
          <w:p w14:paraId="7F37FE9E" w14:textId="77777777" w:rsidR="00583B86" w:rsidRPr="00D94B08" w:rsidRDefault="00583B86" w:rsidP="00FB265E">
            <w:pPr>
              <w:jc w:val="center"/>
              <w:rPr>
                <w:color w:val="000000"/>
                <w:lang w:val="en-US" w:eastAsia="en-US"/>
              </w:rPr>
            </w:pPr>
            <w:r w:rsidRPr="00D94B08">
              <w:rPr>
                <w:color w:val="000000"/>
                <w:sz w:val="22"/>
                <w:szCs w:val="22"/>
                <w:lang w:val="en-US" w:eastAsia="en-US"/>
              </w:rPr>
              <w:t>17.3</w:t>
            </w:r>
          </w:p>
        </w:tc>
        <w:tc>
          <w:tcPr>
            <w:tcW w:w="1080" w:type="dxa"/>
            <w:tcBorders>
              <w:top w:val="nil"/>
              <w:left w:val="nil"/>
              <w:bottom w:val="single" w:sz="4" w:space="0" w:color="auto"/>
              <w:right w:val="single" w:sz="4" w:space="0" w:color="auto"/>
            </w:tcBorders>
            <w:noWrap/>
            <w:vAlign w:val="bottom"/>
          </w:tcPr>
          <w:p w14:paraId="222FFCD2" w14:textId="77777777" w:rsidR="00583B86" w:rsidRPr="00D94B08" w:rsidRDefault="00583B86" w:rsidP="00FB265E">
            <w:pPr>
              <w:jc w:val="center"/>
              <w:rPr>
                <w:color w:val="000000"/>
                <w:lang w:val="en-US" w:eastAsia="en-US"/>
              </w:rPr>
            </w:pPr>
            <w:r w:rsidRPr="00D94B08">
              <w:rPr>
                <w:color w:val="000000"/>
                <w:sz w:val="22"/>
                <w:szCs w:val="22"/>
                <w:lang w:val="en-US" w:eastAsia="en-US"/>
              </w:rPr>
              <w:t>6.4</w:t>
            </w:r>
          </w:p>
        </w:tc>
        <w:tc>
          <w:tcPr>
            <w:tcW w:w="1260" w:type="dxa"/>
            <w:tcBorders>
              <w:top w:val="nil"/>
              <w:left w:val="nil"/>
              <w:bottom w:val="single" w:sz="4" w:space="0" w:color="auto"/>
              <w:right w:val="single" w:sz="4" w:space="0" w:color="auto"/>
            </w:tcBorders>
            <w:noWrap/>
            <w:vAlign w:val="bottom"/>
          </w:tcPr>
          <w:p w14:paraId="2602BCDD" w14:textId="77777777" w:rsidR="00583B86" w:rsidRPr="00D94B08" w:rsidRDefault="00583B86" w:rsidP="00FB265E">
            <w:pPr>
              <w:jc w:val="center"/>
              <w:rPr>
                <w:color w:val="000000"/>
                <w:lang w:val="en-US" w:eastAsia="en-US"/>
              </w:rPr>
            </w:pPr>
            <w:r w:rsidRPr="00D94B08">
              <w:rPr>
                <w:color w:val="000000"/>
                <w:sz w:val="22"/>
                <w:szCs w:val="22"/>
                <w:lang w:val="en-US" w:eastAsia="en-US"/>
              </w:rPr>
              <w:t>39.8</w:t>
            </w:r>
          </w:p>
        </w:tc>
        <w:tc>
          <w:tcPr>
            <w:tcW w:w="3600" w:type="dxa"/>
            <w:tcBorders>
              <w:top w:val="nil"/>
              <w:left w:val="nil"/>
              <w:bottom w:val="single" w:sz="4" w:space="0" w:color="auto"/>
              <w:right w:val="single" w:sz="4" w:space="0" w:color="auto"/>
            </w:tcBorders>
            <w:noWrap/>
            <w:vAlign w:val="bottom"/>
          </w:tcPr>
          <w:p w14:paraId="52142314" w14:textId="77777777" w:rsidR="00583B86" w:rsidRPr="00D94B08" w:rsidRDefault="00583B86" w:rsidP="00FB265E">
            <w:pPr>
              <w:jc w:val="center"/>
              <w:rPr>
                <w:color w:val="000000"/>
                <w:lang w:val="en-US" w:eastAsia="en-US"/>
              </w:rPr>
            </w:pPr>
            <w:r w:rsidRPr="00D94B08">
              <w:rPr>
                <w:color w:val="000000"/>
                <w:sz w:val="22"/>
                <w:szCs w:val="22"/>
                <w:lang w:val="en-US" w:eastAsia="en-US"/>
              </w:rPr>
              <w:t>0.95 (0.24 - 3.78)</w:t>
            </w:r>
          </w:p>
        </w:tc>
      </w:tr>
      <w:tr w:rsidR="00583B86" w:rsidRPr="00D94B08" w14:paraId="2BA60978"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A9D4038" w14:textId="77777777" w:rsidR="00583B86" w:rsidRPr="00D94B08" w:rsidRDefault="00583B86" w:rsidP="00FB265E">
            <w:pPr>
              <w:rPr>
                <w:color w:val="000000"/>
                <w:lang w:val="en-US" w:eastAsia="en-US"/>
              </w:rPr>
            </w:pPr>
            <w:r w:rsidRPr="00D94B08">
              <w:rPr>
                <w:color w:val="000000"/>
                <w:sz w:val="22"/>
                <w:szCs w:val="22"/>
                <w:lang w:val="en-US" w:eastAsia="en-US"/>
              </w:rPr>
              <w:t xml:space="preserve">   Other</w:t>
            </w:r>
          </w:p>
        </w:tc>
        <w:tc>
          <w:tcPr>
            <w:tcW w:w="1620" w:type="dxa"/>
            <w:tcBorders>
              <w:top w:val="nil"/>
              <w:left w:val="nil"/>
              <w:bottom w:val="single" w:sz="4" w:space="0" w:color="auto"/>
              <w:right w:val="single" w:sz="4" w:space="0" w:color="auto"/>
            </w:tcBorders>
            <w:noWrap/>
            <w:vAlign w:val="bottom"/>
          </w:tcPr>
          <w:p w14:paraId="3DB566CE" w14:textId="77777777" w:rsidR="00583B86" w:rsidRPr="00D94B08" w:rsidRDefault="00583B86" w:rsidP="00FB265E">
            <w:pPr>
              <w:jc w:val="center"/>
              <w:rPr>
                <w:color w:val="000000"/>
                <w:lang w:val="en-US" w:eastAsia="en-US"/>
              </w:rPr>
            </w:pPr>
            <w:r w:rsidRPr="00D94B08">
              <w:rPr>
                <w:color w:val="000000"/>
                <w:sz w:val="22"/>
                <w:szCs w:val="22"/>
                <w:lang w:val="en-US" w:eastAsia="en-US"/>
              </w:rPr>
              <w:t>18</w:t>
            </w:r>
          </w:p>
        </w:tc>
        <w:tc>
          <w:tcPr>
            <w:tcW w:w="2160" w:type="dxa"/>
            <w:tcBorders>
              <w:top w:val="nil"/>
              <w:left w:val="nil"/>
              <w:bottom w:val="single" w:sz="4" w:space="0" w:color="auto"/>
              <w:right w:val="single" w:sz="4" w:space="0" w:color="auto"/>
            </w:tcBorders>
            <w:noWrap/>
            <w:vAlign w:val="bottom"/>
          </w:tcPr>
          <w:p w14:paraId="7335CB18" w14:textId="77777777" w:rsidR="00583B86" w:rsidRPr="00D94B08" w:rsidRDefault="00583B86" w:rsidP="00FB265E">
            <w:pPr>
              <w:jc w:val="center"/>
              <w:rPr>
                <w:color w:val="000000"/>
                <w:lang w:val="en-US" w:eastAsia="en-US"/>
              </w:rPr>
            </w:pPr>
            <w:r w:rsidRPr="00D94B08">
              <w:rPr>
                <w:color w:val="000000"/>
                <w:sz w:val="22"/>
                <w:szCs w:val="22"/>
                <w:lang w:val="en-US" w:eastAsia="en-US"/>
              </w:rPr>
              <w:t>21.0</w:t>
            </w:r>
          </w:p>
        </w:tc>
        <w:tc>
          <w:tcPr>
            <w:tcW w:w="1080" w:type="dxa"/>
            <w:tcBorders>
              <w:top w:val="nil"/>
              <w:left w:val="nil"/>
              <w:bottom w:val="single" w:sz="4" w:space="0" w:color="auto"/>
              <w:right w:val="single" w:sz="4" w:space="0" w:color="auto"/>
            </w:tcBorders>
            <w:noWrap/>
            <w:vAlign w:val="bottom"/>
          </w:tcPr>
          <w:p w14:paraId="71BD44E3" w14:textId="77777777" w:rsidR="00583B86" w:rsidRPr="00D94B08" w:rsidRDefault="00583B86" w:rsidP="00FB265E">
            <w:pPr>
              <w:jc w:val="center"/>
              <w:rPr>
                <w:color w:val="000000"/>
                <w:lang w:val="en-US" w:eastAsia="en-US"/>
              </w:rPr>
            </w:pPr>
            <w:r w:rsidRPr="00D94B08">
              <w:rPr>
                <w:color w:val="000000"/>
                <w:sz w:val="22"/>
                <w:szCs w:val="22"/>
                <w:lang w:val="en-US" w:eastAsia="en-US"/>
              </w:rPr>
              <w:t>11.3</w:t>
            </w:r>
          </w:p>
        </w:tc>
        <w:tc>
          <w:tcPr>
            <w:tcW w:w="1260" w:type="dxa"/>
            <w:tcBorders>
              <w:top w:val="nil"/>
              <w:left w:val="nil"/>
              <w:bottom w:val="single" w:sz="4" w:space="0" w:color="auto"/>
              <w:right w:val="single" w:sz="4" w:space="0" w:color="auto"/>
            </w:tcBorders>
            <w:noWrap/>
            <w:vAlign w:val="bottom"/>
          </w:tcPr>
          <w:p w14:paraId="0508AB55" w14:textId="77777777" w:rsidR="00583B86" w:rsidRPr="00D94B08" w:rsidRDefault="00583B86" w:rsidP="00FB265E">
            <w:pPr>
              <w:jc w:val="center"/>
              <w:rPr>
                <w:color w:val="000000"/>
                <w:lang w:val="en-US" w:eastAsia="en-US"/>
              </w:rPr>
            </w:pPr>
            <w:r w:rsidRPr="00D94B08">
              <w:rPr>
                <w:color w:val="000000"/>
                <w:sz w:val="22"/>
                <w:szCs w:val="22"/>
                <w:lang w:val="en-US" w:eastAsia="en-US"/>
              </w:rPr>
              <w:t>30.6</w:t>
            </w:r>
          </w:p>
        </w:tc>
        <w:tc>
          <w:tcPr>
            <w:tcW w:w="3600" w:type="dxa"/>
            <w:tcBorders>
              <w:top w:val="nil"/>
              <w:left w:val="nil"/>
              <w:bottom w:val="single" w:sz="4" w:space="0" w:color="auto"/>
              <w:right w:val="single" w:sz="4" w:space="0" w:color="auto"/>
            </w:tcBorders>
            <w:noWrap/>
            <w:vAlign w:val="bottom"/>
          </w:tcPr>
          <w:p w14:paraId="38A1A0E3" w14:textId="77777777" w:rsidR="00583B86" w:rsidRPr="00D94B08" w:rsidRDefault="00583B86" w:rsidP="00FB265E">
            <w:pPr>
              <w:jc w:val="center"/>
              <w:rPr>
                <w:color w:val="000000"/>
                <w:lang w:val="en-US" w:eastAsia="en-US"/>
              </w:rPr>
            </w:pPr>
            <w:r w:rsidRPr="00D94B08">
              <w:rPr>
                <w:color w:val="000000"/>
                <w:sz w:val="22"/>
                <w:szCs w:val="22"/>
                <w:lang w:val="en-US" w:eastAsia="en-US"/>
              </w:rPr>
              <w:t>1.09 (0.68 - 1.73)</w:t>
            </w:r>
          </w:p>
        </w:tc>
      </w:tr>
      <w:tr w:rsidR="00583B86" w:rsidRPr="00D94B08" w14:paraId="7D27C17E"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1BC614BE"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Asian</w:t>
            </w:r>
          </w:p>
        </w:tc>
        <w:tc>
          <w:tcPr>
            <w:tcW w:w="1620" w:type="dxa"/>
            <w:tcBorders>
              <w:top w:val="nil"/>
              <w:left w:val="nil"/>
              <w:bottom w:val="single" w:sz="4" w:space="0" w:color="auto"/>
              <w:right w:val="single" w:sz="4" w:space="0" w:color="auto"/>
            </w:tcBorders>
            <w:noWrap/>
            <w:vAlign w:val="bottom"/>
          </w:tcPr>
          <w:p w14:paraId="19166FD4" w14:textId="77777777" w:rsidR="00583B86" w:rsidRPr="00D94B08" w:rsidRDefault="00583B86" w:rsidP="00FB265E">
            <w:pPr>
              <w:jc w:val="center"/>
              <w:rPr>
                <w:color w:val="000000"/>
                <w:lang w:val="en-US" w:eastAsia="en-US"/>
              </w:rPr>
            </w:pPr>
            <w:r w:rsidRPr="00D94B08">
              <w:rPr>
                <w:color w:val="000000"/>
                <w:sz w:val="22"/>
                <w:szCs w:val="22"/>
                <w:lang w:val="en-US" w:eastAsia="en-US"/>
              </w:rPr>
              <w:t>23</w:t>
            </w:r>
          </w:p>
        </w:tc>
        <w:tc>
          <w:tcPr>
            <w:tcW w:w="2160" w:type="dxa"/>
            <w:tcBorders>
              <w:top w:val="nil"/>
              <w:left w:val="nil"/>
              <w:bottom w:val="single" w:sz="4" w:space="0" w:color="auto"/>
              <w:right w:val="single" w:sz="4" w:space="0" w:color="auto"/>
            </w:tcBorders>
            <w:noWrap/>
            <w:vAlign w:val="bottom"/>
          </w:tcPr>
          <w:p w14:paraId="0CCCD157"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1080" w:type="dxa"/>
            <w:tcBorders>
              <w:top w:val="nil"/>
              <w:left w:val="nil"/>
              <w:bottom w:val="single" w:sz="4" w:space="0" w:color="auto"/>
              <w:right w:val="single" w:sz="4" w:space="0" w:color="auto"/>
            </w:tcBorders>
            <w:noWrap/>
            <w:vAlign w:val="bottom"/>
          </w:tcPr>
          <w:p w14:paraId="2887A85C" w14:textId="77777777" w:rsidR="00583B86" w:rsidRPr="00D94B08" w:rsidRDefault="00583B86" w:rsidP="00FB265E">
            <w:pPr>
              <w:jc w:val="center"/>
              <w:rPr>
                <w:color w:val="000000"/>
                <w:lang w:val="en-US" w:eastAsia="en-US"/>
              </w:rPr>
            </w:pPr>
            <w:r w:rsidRPr="00D94B08">
              <w:rPr>
                <w:color w:val="000000"/>
                <w:sz w:val="22"/>
                <w:szCs w:val="22"/>
                <w:lang w:val="en-US" w:eastAsia="en-US"/>
              </w:rPr>
              <w:t>9.2</w:t>
            </w:r>
          </w:p>
        </w:tc>
        <w:tc>
          <w:tcPr>
            <w:tcW w:w="1260" w:type="dxa"/>
            <w:tcBorders>
              <w:top w:val="nil"/>
              <w:left w:val="nil"/>
              <w:bottom w:val="single" w:sz="4" w:space="0" w:color="auto"/>
              <w:right w:val="single" w:sz="4" w:space="0" w:color="auto"/>
            </w:tcBorders>
            <w:noWrap/>
            <w:vAlign w:val="bottom"/>
          </w:tcPr>
          <w:p w14:paraId="77529C46" w14:textId="77777777" w:rsidR="00583B86" w:rsidRPr="00D94B08" w:rsidRDefault="00583B86" w:rsidP="00FB265E">
            <w:pPr>
              <w:jc w:val="center"/>
              <w:rPr>
                <w:color w:val="000000"/>
                <w:lang w:val="en-US" w:eastAsia="en-US"/>
              </w:rPr>
            </w:pPr>
            <w:r w:rsidRPr="00D94B08">
              <w:rPr>
                <w:color w:val="000000"/>
                <w:sz w:val="22"/>
                <w:szCs w:val="22"/>
                <w:lang w:val="en-US" w:eastAsia="en-US"/>
              </w:rPr>
              <w:t>21.9</w:t>
            </w:r>
          </w:p>
        </w:tc>
        <w:tc>
          <w:tcPr>
            <w:tcW w:w="3600" w:type="dxa"/>
            <w:tcBorders>
              <w:top w:val="nil"/>
              <w:left w:val="nil"/>
              <w:bottom w:val="single" w:sz="4" w:space="0" w:color="auto"/>
              <w:right w:val="single" w:sz="4" w:space="0" w:color="auto"/>
            </w:tcBorders>
            <w:noWrap/>
            <w:vAlign w:val="bottom"/>
          </w:tcPr>
          <w:p w14:paraId="374214E1" w14:textId="77777777" w:rsidR="00583B86" w:rsidRPr="00D94B08" w:rsidRDefault="00583B86" w:rsidP="00FB265E">
            <w:pPr>
              <w:jc w:val="center"/>
              <w:rPr>
                <w:color w:val="000000"/>
                <w:lang w:val="en-US" w:eastAsia="en-US"/>
              </w:rPr>
            </w:pPr>
            <w:r w:rsidRPr="00D94B08">
              <w:rPr>
                <w:color w:val="000000"/>
                <w:sz w:val="22"/>
                <w:szCs w:val="22"/>
                <w:lang w:val="en-US" w:eastAsia="en-US"/>
              </w:rPr>
              <w:t>1.03 (0.68 - 1.55)</w:t>
            </w:r>
          </w:p>
        </w:tc>
      </w:tr>
      <w:tr w:rsidR="00583B86" w:rsidRPr="00D94B08" w14:paraId="46AE881E"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9370318" w14:textId="77777777" w:rsidR="00583B86" w:rsidRPr="00D94B08" w:rsidRDefault="00583B86" w:rsidP="00FB265E">
            <w:pPr>
              <w:rPr>
                <w:color w:val="000000"/>
                <w:lang w:val="en-US" w:eastAsia="en-US"/>
              </w:rPr>
            </w:pPr>
            <w:r w:rsidRPr="00D94B08">
              <w:rPr>
                <w:color w:val="000000"/>
                <w:sz w:val="22"/>
                <w:szCs w:val="22"/>
                <w:lang w:val="en-US" w:eastAsia="en-US"/>
              </w:rPr>
              <w:t xml:space="preserve">   Unknown</w:t>
            </w:r>
          </w:p>
        </w:tc>
        <w:tc>
          <w:tcPr>
            <w:tcW w:w="1620" w:type="dxa"/>
            <w:tcBorders>
              <w:top w:val="nil"/>
              <w:left w:val="nil"/>
              <w:bottom w:val="single" w:sz="4" w:space="0" w:color="auto"/>
              <w:right w:val="single" w:sz="4" w:space="0" w:color="auto"/>
            </w:tcBorders>
            <w:noWrap/>
            <w:vAlign w:val="bottom"/>
          </w:tcPr>
          <w:p w14:paraId="4E7EA787" w14:textId="77777777" w:rsidR="00583B86" w:rsidRPr="00D94B08" w:rsidRDefault="00583B86" w:rsidP="00FB265E">
            <w:pPr>
              <w:jc w:val="center"/>
              <w:rPr>
                <w:color w:val="000000"/>
                <w:lang w:val="en-US" w:eastAsia="en-US"/>
              </w:rPr>
            </w:pPr>
            <w:r w:rsidRPr="00D94B08">
              <w:rPr>
                <w:color w:val="000000"/>
                <w:sz w:val="22"/>
                <w:szCs w:val="22"/>
                <w:lang w:val="en-US" w:eastAsia="en-US"/>
              </w:rPr>
              <w:t>645</w:t>
            </w:r>
          </w:p>
        </w:tc>
        <w:tc>
          <w:tcPr>
            <w:tcW w:w="2160" w:type="dxa"/>
            <w:tcBorders>
              <w:top w:val="nil"/>
              <w:left w:val="nil"/>
              <w:bottom w:val="single" w:sz="4" w:space="0" w:color="auto"/>
              <w:right w:val="single" w:sz="4" w:space="0" w:color="auto"/>
            </w:tcBorders>
            <w:noWrap/>
            <w:vAlign w:val="bottom"/>
          </w:tcPr>
          <w:p w14:paraId="6BEDD0F7" w14:textId="77777777" w:rsidR="00583B86" w:rsidRPr="00D94B08" w:rsidRDefault="00583B86" w:rsidP="00FB265E">
            <w:pPr>
              <w:jc w:val="center"/>
              <w:rPr>
                <w:color w:val="000000"/>
                <w:lang w:val="en-US" w:eastAsia="en-US"/>
              </w:rPr>
            </w:pPr>
            <w:r w:rsidRPr="00D94B08">
              <w:rPr>
                <w:color w:val="000000"/>
                <w:sz w:val="22"/>
                <w:szCs w:val="22"/>
                <w:lang w:val="en-US" w:eastAsia="en-US"/>
              </w:rPr>
              <w:t>35.7</w:t>
            </w:r>
          </w:p>
        </w:tc>
        <w:tc>
          <w:tcPr>
            <w:tcW w:w="1080" w:type="dxa"/>
            <w:tcBorders>
              <w:top w:val="nil"/>
              <w:left w:val="nil"/>
              <w:bottom w:val="single" w:sz="4" w:space="0" w:color="auto"/>
              <w:right w:val="single" w:sz="4" w:space="0" w:color="auto"/>
            </w:tcBorders>
            <w:noWrap/>
            <w:vAlign w:val="bottom"/>
          </w:tcPr>
          <w:p w14:paraId="1D76754A" w14:textId="77777777" w:rsidR="00583B86" w:rsidRPr="00D94B08" w:rsidRDefault="00583B86" w:rsidP="00FB265E">
            <w:pPr>
              <w:jc w:val="center"/>
              <w:rPr>
                <w:color w:val="000000"/>
                <w:lang w:val="en-US" w:eastAsia="en-US"/>
              </w:rPr>
            </w:pPr>
            <w:r w:rsidRPr="00D94B08">
              <w:rPr>
                <w:color w:val="000000"/>
                <w:sz w:val="22"/>
                <w:szCs w:val="22"/>
                <w:lang w:val="en-US" w:eastAsia="en-US"/>
              </w:rPr>
              <w:t>32.9</w:t>
            </w:r>
          </w:p>
        </w:tc>
        <w:tc>
          <w:tcPr>
            <w:tcW w:w="1260" w:type="dxa"/>
            <w:tcBorders>
              <w:top w:val="nil"/>
              <w:left w:val="nil"/>
              <w:bottom w:val="single" w:sz="4" w:space="0" w:color="auto"/>
              <w:right w:val="single" w:sz="4" w:space="0" w:color="auto"/>
            </w:tcBorders>
            <w:noWrap/>
            <w:vAlign w:val="bottom"/>
          </w:tcPr>
          <w:p w14:paraId="647E5E8A" w14:textId="77777777" w:rsidR="00583B86" w:rsidRPr="00D94B08" w:rsidRDefault="00583B86" w:rsidP="00FB265E">
            <w:pPr>
              <w:jc w:val="center"/>
              <w:rPr>
                <w:color w:val="000000"/>
                <w:lang w:val="en-US" w:eastAsia="en-US"/>
              </w:rPr>
            </w:pPr>
            <w:r w:rsidRPr="00D94B08">
              <w:rPr>
                <w:color w:val="000000"/>
                <w:sz w:val="22"/>
                <w:szCs w:val="22"/>
                <w:lang w:val="en-US" w:eastAsia="en-US"/>
              </w:rPr>
              <w:t>38.4</w:t>
            </w:r>
          </w:p>
        </w:tc>
        <w:tc>
          <w:tcPr>
            <w:tcW w:w="3600" w:type="dxa"/>
            <w:tcBorders>
              <w:top w:val="nil"/>
              <w:left w:val="nil"/>
              <w:bottom w:val="single" w:sz="4" w:space="0" w:color="auto"/>
              <w:right w:val="single" w:sz="4" w:space="0" w:color="auto"/>
            </w:tcBorders>
            <w:noWrap/>
            <w:vAlign w:val="bottom"/>
          </w:tcPr>
          <w:p w14:paraId="5EFDB8FC" w14:textId="77777777" w:rsidR="00583B86" w:rsidRPr="00D94B08" w:rsidRDefault="00583B86" w:rsidP="00FB265E">
            <w:pPr>
              <w:jc w:val="center"/>
              <w:rPr>
                <w:color w:val="000000"/>
                <w:lang w:val="en-US" w:eastAsia="en-US"/>
              </w:rPr>
            </w:pPr>
            <w:r w:rsidRPr="00D94B08">
              <w:rPr>
                <w:color w:val="000000"/>
                <w:sz w:val="22"/>
                <w:szCs w:val="22"/>
                <w:lang w:val="en-US" w:eastAsia="en-US"/>
              </w:rPr>
              <w:t>1.61 (1.47 - 1.75)</w:t>
            </w:r>
          </w:p>
        </w:tc>
      </w:tr>
      <w:tr w:rsidR="00583B86" w:rsidRPr="00D94B08" w14:paraId="56483A4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0A8C84E" w14:textId="77777777" w:rsidR="00583B86" w:rsidRPr="00D94B08" w:rsidRDefault="00583B86" w:rsidP="00FB265E">
            <w:pPr>
              <w:rPr>
                <w:color w:val="000000"/>
                <w:lang w:val="en-US" w:eastAsia="en-US"/>
              </w:rPr>
            </w:pPr>
            <w:r w:rsidRPr="00D94B08">
              <w:rPr>
                <w:color w:val="000000"/>
                <w:sz w:val="22"/>
                <w:szCs w:val="22"/>
                <w:lang w:val="en-US" w:eastAsia="en-US"/>
              </w:rPr>
              <w:t>By region</w:t>
            </w:r>
          </w:p>
        </w:tc>
        <w:tc>
          <w:tcPr>
            <w:tcW w:w="1620" w:type="dxa"/>
            <w:tcBorders>
              <w:top w:val="nil"/>
              <w:left w:val="nil"/>
              <w:bottom w:val="single" w:sz="4" w:space="0" w:color="auto"/>
              <w:right w:val="single" w:sz="4" w:space="0" w:color="auto"/>
            </w:tcBorders>
            <w:noWrap/>
            <w:vAlign w:val="bottom"/>
          </w:tcPr>
          <w:p w14:paraId="56193745"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206A313A"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24EF4BC6"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0B3AAC45"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64EF9587"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2966989E"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BF18925" w14:textId="77777777" w:rsidR="00583B86" w:rsidRPr="00D94B08" w:rsidRDefault="00583B86" w:rsidP="00FB265E">
            <w:pPr>
              <w:rPr>
                <w:color w:val="000000"/>
                <w:lang w:val="en-US" w:eastAsia="en-US"/>
              </w:rPr>
            </w:pPr>
            <w:r w:rsidRPr="00D94B08">
              <w:rPr>
                <w:color w:val="000000"/>
                <w:sz w:val="22"/>
                <w:szCs w:val="22"/>
                <w:lang w:val="en-US" w:eastAsia="en-US"/>
              </w:rPr>
              <w:t xml:space="preserve">   London</w:t>
            </w:r>
          </w:p>
        </w:tc>
        <w:tc>
          <w:tcPr>
            <w:tcW w:w="1620" w:type="dxa"/>
            <w:tcBorders>
              <w:top w:val="nil"/>
              <w:left w:val="nil"/>
              <w:bottom w:val="single" w:sz="4" w:space="0" w:color="auto"/>
              <w:right w:val="single" w:sz="4" w:space="0" w:color="auto"/>
            </w:tcBorders>
            <w:noWrap/>
            <w:vAlign w:val="bottom"/>
          </w:tcPr>
          <w:p w14:paraId="6C271CDE" w14:textId="77777777" w:rsidR="00583B86" w:rsidRPr="00D94B08" w:rsidRDefault="00583B86" w:rsidP="00FB265E">
            <w:pPr>
              <w:jc w:val="center"/>
              <w:rPr>
                <w:color w:val="000000"/>
                <w:lang w:val="en-US" w:eastAsia="en-US"/>
              </w:rPr>
            </w:pPr>
            <w:r w:rsidRPr="00D94B08">
              <w:rPr>
                <w:color w:val="000000"/>
                <w:sz w:val="22"/>
                <w:szCs w:val="22"/>
                <w:lang w:val="en-US" w:eastAsia="en-US"/>
              </w:rPr>
              <w:t>337</w:t>
            </w:r>
          </w:p>
        </w:tc>
        <w:tc>
          <w:tcPr>
            <w:tcW w:w="2160" w:type="dxa"/>
            <w:tcBorders>
              <w:top w:val="nil"/>
              <w:left w:val="nil"/>
              <w:bottom w:val="single" w:sz="4" w:space="0" w:color="auto"/>
              <w:right w:val="single" w:sz="4" w:space="0" w:color="auto"/>
            </w:tcBorders>
            <w:noWrap/>
            <w:vAlign w:val="bottom"/>
          </w:tcPr>
          <w:p w14:paraId="338B54FA" w14:textId="77777777" w:rsidR="00583B86" w:rsidRPr="00D94B08" w:rsidRDefault="00583B86" w:rsidP="00FB265E">
            <w:pPr>
              <w:jc w:val="center"/>
              <w:rPr>
                <w:color w:val="000000"/>
                <w:lang w:val="en-US" w:eastAsia="en-US"/>
              </w:rPr>
            </w:pPr>
            <w:r w:rsidRPr="00D94B08">
              <w:rPr>
                <w:color w:val="000000"/>
                <w:sz w:val="22"/>
                <w:szCs w:val="22"/>
                <w:lang w:val="en-US" w:eastAsia="en-US"/>
              </w:rPr>
              <w:t>23.1</w:t>
            </w:r>
          </w:p>
        </w:tc>
        <w:tc>
          <w:tcPr>
            <w:tcW w:w="1080" w:type="dxa"/>
            <w:tcBorders>
              <w:top w:val="nil"/>
              <w:left w:val="nil"/>
              <w:bottom w:val="single" w:sz="4" w:space="0" w:color="auto"/>
              <w:right w:val="single" w:sz="4" w:space="0" w:color="auto"/>
            </w:tcBorders>
            <w:noWrap/>
            <w:vAlign w:val="bottom"/>
          </w:tcPr>
          <w:p w14:paraId="0347DD0E" w14:textId="77777777" w:rsidR="00583B86" w:rsidRPr="00D94B08" w:rsidRDefault="00583B86" w:rsidP="00FB265E">
            <w:pPr>
              <w:jc w:val="center"/>
              <w:rPr>
                <w:color w:val="000000"/>
                <w:lang w:val="en-US" w:eastAsia="en-US"/>
              </w:rPr>
            </w:pPr>
            <w:r w:rsidRPr="00D94B08">
              <w:rPr>
                <w:color w:val="000000"/>
                <w:sz w:val="22"/>
                <w:szCs w:val="22"/>
                <w:lang w:val="en-US" w:eastAsia="en-US"/>
              </w:rPr>
              <w:t>20.7</w:t>
            </w:r>
          </w:p>
        </w:tc>
        <w:tc>
          <w:tcPr>
            <w:tcW w:w="1260" w:type="dxa"/>
            <w:tcBorders>
              <w:top w:val="nil"/>
              <w:left w:val="nil"/>
              <w:bottom w:val="single" w:sz="4" w:space="0" w:color="auto"/>
              <w:right w:val="single" w:sz="4" w:space="0" w:color="auto"/>
            </w:tcBorders>
            <w:noWrap/>
            <w:vAlign w:val="bottom"/>
          </w:tcPr>
          <w:p w14:paraId="76F81A94" w14:textId="77777777" w:rsidR="00583B86" w:rsidRPr="00D94B08" w:rsidRDefault="00583B86" w:rsidP="00FB265E">
            <w:pPr>
              <w:jc w:val="center"/>
              <w:rPr>
                <w:color w:val="000000"/>
                <w:lang w:val="en-US" w:eastAsia="en-US"/>
              </w:rPr>
            </w:pPr>
            <w:r w:rsidRPr="00D94B08">
              <w:rPr>
                <w:color w:val="000000"/>
                <w:sz w:val="22"/>
                <w:szCs w:val="22"/>
                <w:lang w:val="en-US" w:eastAsia="en-US"/>
              </w:rPr>
              <w:t>25.6</w:t>
            </w:r>
          </w:p>
        </w:tc>
        <w:tc>
          <w:tcPr>
            <w:tcW w:w="3600" w:type="dxa"/>
            <w:tcBorders>
              <w:top w:val="nil"/>
              <w:left w:val="nil"/>
              <w:bottom w:val="single" w:sz="4" w:space="0" w:color="auto"/>
              <w:right w:val="single" w:sz="4" w:space="0" w:color="auto"/>
            </w:tcBorders>
            <w:noWrap/>
            <w:vAlign w:val="bottom"/>
          </w:tcPr>
          <w:p w14:paraId="27209E53"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2196FF0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FF99D4B"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Midlands</w:t>
            </w:r>
          </w:p>
        </w:tc>
        <w:tc>
          <w:tcPr>
            <w:tcW w:w="1620" w:type="dxa"/>
            <w:tcBorders>
              <w:top w:val="nil"/>
              <w:left w:val="nil"/>
              <w:bottom w:val="single" w:sz="4" w:space="0" w:color="auto"/>
              <w:right w:val="single" w:sz="4" w:space="0" w:color="auto"/>
            </w:tcBorders>
            <w:noWrap/>
            <w:vAlign w:val="bottom"/>
          </w:tcPr>
          <w:p w14:paraId="0614336C" w14:textId="77777777" w:rsidR="00583B86" w:rsidRPr="00D94B08" w:rsidRDefault="00583B86" w:rsidP="00FB265E">
            <w:pPr>
              <w:jc w:val="center"/>
              <w:rPr>
                <w:color w:val="000000"/>
                <w:lang w:val="en-US" w:eastAsia="en-US"/>
              </w:rPr>
            </w:pPr>
            <w:r w:rsidRPr="00D94B08">
              <w:rPr>
                <w:color w:val="000000"/>
                <w:sz w:val="22"/>
                <w:szCs w:val="22"/>
                <w:lang w:val="en-US" w:eastAsia="en-US"/>
              </w:rPr>
              <w:t>125</w:t>
            </w:r>
          </w:p>
        </w:tc>
        <w:tc>
          <w:tcPr>
            <w:tcW w:w="2160" w:type="dxa"/>
            <w:tcBorders>
              <w:top w:val="nil"/>
              <w:left w:val="nil"/>
              <w:bottom w:val="single" w:sz="4" w:space="0" w:color="auto"/>
              <w:right w:val="single" w:sz="4" w:space="0" w:color="auto"/>
            </w:tcBorders>
            <w:noWrap/>
            <w:vAlign w:val="bottom"/>
          </w:tcPr>
          <w:p w14:paraId="50055C4C" w14:textId="77777777" w:rsidR="00583B86" w:rsidRPr="00D94B08" w:rsidRDefault="00583B86" w:rsidP="00FB265E">
            <w:pPr>
              <w:jc w:val="center"/>
              <w:rPr>
                <w:color w:val="000000"/>
                <w:lang w:val="en-US" w:eastAsia="en-US"/>
              </w:rPr>
            </w:pPr>
            <w:r w:rsidRPr="00D94B08">
              <w:rPr>
                <w:color w:val="000000"/>
                <w:sz w:val="22"/>
                <w:szCs w:val="22"/>
                <w:lang w:val="en-US" w:eastAsia="en-US"/>
              </w:rPr>
              <w:t>26.0</w:t>
            </w:r>
          </w:p>
        </w:tc>
        <w:tc>
          <w:tcPr>
            <w:tcW w:w="1080" w:type="dxa"/>
            <w:tcBorders>
              <w:top w:val="nil"/>
              <w:left w:val="nil"/>
              <w:bottom w:val="single" w:sz="4" w:space="0" w:color="auto"/>
              <w:right w:val="single" w:sz="4" w:space="0" w:color="auto"/>
            </w:tcBorders>
            <w:noWrap/>
            <w:vAlign w:val="bottom"/>
          </w:tcPr>
          <w:p w14:paraId="78B2B3EF" w14:textId="77777777" w:rsidR="00583B86" w:rsidRPr="00D94B08" w:rsidRDefault="00583B86" w:rsidP="00FB265E">
            <w:pPr>
              <w:jc w:val="center"/>
              <w:rPr>
                <w:color w:val="000000"/>
                <w:lang w:val="en-US" w:eastAsia="en-US"/>
              </w:rPr>
            </w:pPr>
            <w:r w:rsidRPr="00D94B08">
              <w:rPr>
                <w:color w:val="000000"/>
                <w:sz w:val="22"/>
                <w:szCs w:val="22"/>
                <w:lang w:val="en-US" w:eastAsia="en-US"/>
              </w:rPr>
              <w:t>21.4</w:t>
            </w:r>
          </w:p>
        </w:tc>
        <w:tc>
          <w:tcPr>
            <w:tcW w:w="1260" w:type="dxa"/>
            <w:tcBorders>
              <w:top w:val="nil"/>
              <w:left w:val="nil"/>
              <w:bottom w:val="single" w:sz="4" w:space="0" w:color="auto"/>
              <w:right w:val="single" w:sz="4" w:space="0" w:color="auto"/>
            </w:tcBorders>
            <w:noWrap/>
            <w:vAlign w:val="bottom"/>
          </w:tcPr>
          <w:p w14:paraId="7AADE057" w14:textId="77777777" w:rsidR="00583B86" w:rsidRPr="00D94B08" w:rsidRDefault="00583B86" w:rsidP="00FB265E">
            <w:pPr>
              <w:jc w:val="center"/>
              <w:rPr>
                <w:color w:val="000000"/>
                <w:lang w:val="en-US" w:eastAsia="en-US"/>
              </w:rPr>
            </w:pPr>
            <w:r w:rsidRPr="00D94B08">
              <w:rPr>
                <w:color w:val="000000"/>
                <w:sz w:val="22"/>
                <w:szCs w:val="22"/>
                <w:lang w:val="en-US" w:eastAsia="en-US"/>
              </w:rPr>
              <w:t>30.5</w:t>
            </w:r>
          </w:p>
        </w:tc>
        <w:tc>
          <w:tcPr>
            <w:tcW w:w="3600" w:type="dxa"/>
            <w:tcBorders>
              <w:top w:val="nil"/>
              <w:left w:val="nil"/>
              <w:bottom w:val="single" w:sz="4" w:space="0" w:color="auto"/>
              <w:right w:val="single" w:sz="4" w:space="0" w:color="auto"/>
            </w:tcBorders>
            <w:noWrap/>
            <w:vAlign w:val="bottom"/>
          </w:tcPr>
          <w:p w14:paraId="7B846802" w14:textId="77777777" w:rsidR="00583B86" w:rsidRPr="00D94B08" w:rsidRDefault="00583B86" w:rsidP="00FB265E">
            <w:pPr>
              <w:jc w:val="center"/>
              <w:rPr>
                <w:color w:val="000000"/>
                <w:lang w:val="en-US" w:eastAsia="en-US"/>
              </w:rPr>
            </w:pPr>
            <w:r w:rsidRPr="00D94B08">
              <w:rPr>
                <w:color w:val="000000"/>
                <w:sz w:val="22"/>
                <w:szCs w:val="22"/>
                <w:lang w:val="en-US" w:eastAsia="en-US"/>
              </w:rPr>
              <w:t>1.05 (0.86 - 1.29)</w:t>
            </w:r>
          </w:p>
        </w:tc>
      </w:tr>
      <w:tr w:rsidR="00583B86" w:rsidRPr="00D94B08" w14:paraId="2CFDD98A"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8C365F9"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of England</w:t>
            </w:r>
          </w:p>
        </w:tc>
        <w:tc>
          <w:tcPr>
            <w:tcW w:w="1620" w:type="dxa"/>
            <w:tcBorders>
              <w:top w:val="nil"/>
              <w:left w:val="nil"/>
              <w:bottom w:val="single" w:sz="4" w:space="0" w:color="auto"/>
              <w:right w:val="single" w:sz="4" w:space="0" w:color="auto"/>
            </w:tcBorders>
            <w:noWrap/>
            <w:vAlign w:val="bottom"/>
          </w:tcPr>
          <w:p w14:paraId="3B2BC98A" w14:textId="77777777" w:rsidR="00583B86" w:rsidRPr="00D94B08" w:rsidRDefault="00583B86" w:rsidP="00FB265E">
            <w:pPr>
              <w:jc w:val="center"/>
              <w:rPr>
                <w:color w:val="000000"/>
                <w:lang w:val="en-US" w:eastAsia="en-US"/>
              </w:rPr>
            </w:pPr>
            <w:r w:rsidRPr="00D94B08">
              <w:rPr>
                <w:color w:val="000000"/>
                <w:sz w:val="22"/>
                <w:szCs w:val="22"/>
                <w:lang w:val="en-US" w:eastAsia="en-US"/>
              </w:rPr>
              <w:t>452</w:t>
            </w:r>
          </w:p>
        </w:tc>
        <w:tc>
          <w:tcPr>
            <w:tcW w:w="2160" w:type="dxa"/>
            <w:tcBorders>
              <w:top w:val="nil"/>
              <w:left w:val="nil"/>
              <w:bottom w:val="single" w:sz="4" w:space="0" w:color="auto"/>
              <w:right w:val="single" w:sz="4" w:space="0" w:color="auto"/>
            </w:tcBorders>
            <w:noWrap/>
            <w:vAlign w:val="bottom"/>
          </w:tcPr>
          <w:p w14:paraId="19DF82EF" w14:textId="77777777" w:rsidR="00583B86" w:rsidRPr="00D94B08" w:rsidRDefault="00583B86" w:rsidP="00FB265E">
            <w:pPr>
              <w:jc w:val="center"/>
              <w:rPr>
                <w:color w:val="000000"/>
                <w:lang w:val="en-US" w:eastAsia="en-US"/>
              </w:rPr>
            </w:pPr>
            <w:r w:rsidRPr="00D94B08">
              <w:rPr>
                <w:color w:val="000000"/>
                <w:sz w:val="22"/>
                <w:szCs w:val="22"/>
                <w:lang w:val="en-US" w:eastAsia="en-US"/>
              </w:rPr>
              <w:t>27.7</w:t>
            </w:r>
          </w:p>
        </w:tc>
        <w:tc>
          <w:tcPr>
            <w:tcW w:w="1080" w:type="dxa"/>
            <w:tcBorders>
              <w:top w:val="nil"/>
              <w:left w:val="nil"/>
              <w:bottom w:val="single" w:sz="4" w:space="0" w:color="auto"/>
              <w:right w:val="single" w:sz="4" w:space="0" w:color="auto"/>
            </w:tcBorders>
            <w:noWrap/>
            <w:vAlign w:val="bottom"/>
          </w:tcPr>
          <w:p w14:paraId="2EAECF76" w14:textId="77777777" w:rsidR="00583B86" w:rsidRPr="00D94B08" w:rsidRDefault="00583B86" w:rsidP="00FB265E">
            <w:pPr>
              <w:jc w:val="center"/>
              <w:rPr>
                <w:color w:val="000000"/>
                <w:lang w:val="en-US" w:eastAsia="en-US"/>
              </w:rPr>
            </w:pPr>
            <w:r w:rsidRPr="00D94B08">
              <w:rPr>
                <w:color w:val="000000"/>
                <w:sz w:val="22"/>
                <w:szCs w:val="22"/>
                <w:lang w:val="en-US" w:eastAsia="en-US"/>
              </w:rPr>
              <w:t>25.2</w:t>
            </w:r>
          </w:p>
        </w:tc>
        <w:tc>
          <w:tcPr>
            <w:tcW w:w="1260" w:type="dxa"/>
            <w:tcBorders>
              <w:top w:val="nil"/>
              <w:left w:val="nil"/>
              <w:bottom w:val="single" w:sz="4" w:space="0" w:color="auto"/>
              <w:right w:val="single" w:sz="4" w:space="0" w:color="auto"/>
            </w:tcBorders>
            <w:noWrap/>
            <w:vAlign w:val="bottom"/>
          </w:tcPr>
          <w:p w14:paraId="0359A408" w14:textId="77777777" w:rsidR="00583B86" w:rsidRPr="00D94B08" w:rsidRDefault="00583B86" w:rsidP="00FB265E">
            <w:pPr>
              <w:jc w:val="center"/>
              <w:rPr>
                <w:color w:val="000000"/>
                <w:lang w:val="en-US" w:eastAsia="en-US"/>
              </w:rPr>
            </w:pPr>
            <w:r w:rsidRPr="00D94B08">
              <w:rPr>
                <w:color w:val="000000"/>
                <w:sz w:val="22"/>
                <w:szCs w:val="22"/>
                <w:lang w:val="en-US" w:eastAsia="en-US"/>
              </w:rPr>
              <w:t>30.3</w:t>
            </w:r>
          </w:p>
        </w:tc>
        <w:tc>
          <w:tcPr>
            <w:tcW w:w="3600" w:type="dxa"/>
            <w:tcBorders>
              <w:top w:val="nil"/>
              <w:left w:val="nil"/>
              <w:bottom w:val="single" w:sz="4" w:space="0" w:color="auto"/>
              <w:right w:val="single" w:sz="4" w:space="0" w:color="auto"/>
            </w:tcBorders>
            <w:noWrap/>
            <w:vAlign w:val="bottom"/>
          </w:tcPr>
          <w:p w14:paraId="20F6894C" w14:textId="77777777" w:rsidR="00583B86" w:rsidRPr="00D94B08" w:rsidRDefault="00583B86" w:rsidP="00FB265E">
            <w:pPr>
              <w:jc w:val="center"/>
              <w:rPr>
                <w:color w:val="000000"/>
                <w:lang w:val="en-US" w:eastAsia="en-US"/>
              </w:rPr>
            </w:pPr>
            <w:r w:rsidRPr="00D94B08">
              <w:rPr>
                <w:color w:val="000000"/>
                <w:sz w:val="22"/>
                <w:szCs w:val="22"/>
                <w:lang w:val="en-US" w:eastAsia="en-US"/>
              </w:rPr>
              <w:t>1.09 (0.95 - 1.26)</w:t>
            </w:r>
          </w:p>
        </w:tc>
      </w:tr>
      <w:tr w:rsidR="00583B86" w:rsidRPr="00D94B08" w14:paraId="7A990DD3"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18F4E10"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East</w:t>
            </w:r>
          </w:p>
        </w:tc>
        <w:tc>
          <w:tcPr>
            <w:tcW w:w="1620" w:type="dxa"/>
            <w:tcBorders>
              <w:top w:val="nil"/>
              <w:left w:val="nil"/>
              <w:bottom w:val="single" w:sz="4" w:space="0" w:color="auto"/>
              <w:right w:val="single" w:sz="4" w:space="0" w:color="auto"/>
            </w:tcBorders>
            <w:noWrap/>
            <w:vAlign w:val="bottom"/>
          </w:tcPr>
          <w:p w14:paraId="11B287DE" w14:textId="77777777" w:rsidR="00583B86" w:rsidRPr="00D94B08" w:rsidRDefault="00583B86" w:rsidP="00FB265E">
            <w:pPr>
              <w:jc w:val="center"/>
              <w:rPr>
                <w:color w:val="000000"/>
                <w:lang w:val="en-US" w:eastAsia="en-US"/>
              </w:rPr>
            </w:pPr>
            <w:r w:rsidRPr="00D94B08">
              <w:rPr>
                <w:color w:val="000000"/>
                <w:sz w:val="22"/>
                <w:szCs w:val="22"/>
                <w:lang w:val="en-US" w:eastAsia="en-US"/>
              </w:rPr>
              <w:t>85</w:t>
            </w:r>
          </w:p>
        </w:tc>
        <w:tc>
          <w:tcPr>
            <w:tcW w:w="2160" w:type="dxa"/>
            <w:tcBorders>
              <w:top w:val="nil"/>
              <w:left w:val="nil"/>
              <w:bottom w:val="single" w:sz="4" w:space="0" w:color="auto"/>
              <w:right w:val="single" w:sz="4" w:space="0" w:color="auto"/>
            </w:tcBorders>
            <w:noWrap/>
            <w:vAlign w:val="bottom"/>
          </w:tcPr>
          <w:p w14:paraId="09131124" w14:textId="77777777" w:rsidR="00583B86" w:rsidRPr="00D94B08" w:rsidRDefault="00583B86" w:rsidP="00FB265E">
            <w:pPr>
              <w:jc w:val="center"/>
              <w:rPr>
                <w:color w:val="000000"/>
                <w:lang w:val="en-US" w:eastAsia="en-US"/>
              </w:rPr>
            </w:pPr>
            <w:r w:rsidRPr="00D94B08">
              <w:rPr>
                <w:color w:val="000000"/>
                <w:sz w:val="22"/>
                <w:szCs w:val="22"/>
                <w:lang w:val="en-US" w:eastAsia="en-US"/>
              </w:rPr>
              <w:t>21.6</w:t>
            </w:r>
          </w:p>
        </w:tc>
        <w:tc>
          <w:tcPr>
            <w:tcW w:w="1080" w:type="dxa"/>
            <w:tcBorders>
              <w:top w:val="nil"/>
              <w:left w:val="nil"/>
              <w:bottom w:val="single" w:sz="4" w:space="0" w:color="auto"/>
              <w:right w:val="single" w:sz="4" w:space="0" w:color="auto"/>
            </w:tcBorders>
            <w:noWrap/>
            <w:vAlign w:val="bottom"/>
          </w:tcPr>
          <w:p w14:paraId="3B853C1D" w14:textId="77777777" w:rsidR="00583B86" w:rsidRPr="00D94B08" w:rsidRDefault="00583B86" w:rsidP="00FB265E">
            <w:pPr>
              <w:jc w:val="center"/>
              <w:rPr>
                <w:color w:val="000000"/>
                <w:lang w:val="en-US" w:eastAsia="en-US"/>
              </w:rPr>
            </w:pPr>
            <w:r w:rsidRPr="00D94B08">
              <w:rPr>
                <w:color w:val="000000"/>
                <w:sz w:val="22"/>
                <w:szCs w:val="22"/>
                <w:lang w:val="en-US" w:eastAsia="en-US"/>
              </w:rPr>
              <w:t>17.0</w:t>
            </w:r>
          </w:p>
        </w:tc>
        <w:tc>
          <w:tcPr>
            <w:tcW w:w="1260" w:type="dxa"/>
            <w:tcBorders>
              <w:top w:val="nil"/>
              <w:left w:val="nil"/>
              <w:bottom w:val="single" w:sz="4" w:space="0" w:color="auto"/>
              <w:right w:val="single" w:sz="4" w:space="0" w:color="auto"/>
            </w:tcBorders>
            <w:noWrap/>
            <w:vAlign w:val="bottom"/>
          </w:tcPr>
          <w:p w14:paraId="015FFA8F" w14:textId="77777777" w:rsidR="00583B86" w:rsidRPr="00D94B08" w:rsidRDefault="00583B86" w:rsidP="00FB265E">
            <w:pPr>
              <w:jc w:val="center"/>
              <w:rPr>
                <w:color w:val="000000"/>
                <w:lang w:val="en-US" w:eastAsia="en-US"/>
              </w:rPr>
            </w:pPr>
            <w:r w:rsidRPr="00D94B08">
              <w:rPr>
                <w:color w:val="000000"/>
                <w:sz w:val="22"/>
                <w:szCs w:val="22"/>
                <w:lang w:val="en-US" w:eastAsia="en-US"/>
              </w:rPr>
              <w:t>26.2</w:t>
            </w:r>
          </w:p>
        </w:tc>
        <w:tc>
          <w:tcPr>
            <w:tcW w:w="3600" w:type="dxa"/>
            <w:tcBorders>
              <w:top w:val="nil"/>
              <w:left w:val="nil"/>
              <w:bottom w:val="single" w:sz="4" w:space="0" w:color="auto"/>
              <w:right w:val="single" w:sz="4" w:space="0" w:color="auto"/>
            </w:tcBorders>
            <w:noWrap/>
            <w:vAlign w:val="bottom"/>
          </w:tcPr>
          <w:p w14:paraId="5A1BE124" w14:textId="77777777" w:rsidR="00583B86" w:rsidRPr="00D94B08" w:rsidRDefault="00583B86" w:rsidP="00FB265E">
            <w:pPr>
              <w:jc w:val="center"/>
              <w:rPr>
                <w:color w:val="000000"/>
                <w:lang w:val="en-US" w:eastAsia="en-US"/>
              </w:rPr>
            </w:pPr>
            <w:r w:rsidRPr="00D94B08">
              <w:rPr>
                <w:color w:val="000000"/>
                <w:sz w:val="22"/>
                <w:szCs w:val="22"/>
                <w:lang w:val="en-US" w:eastAsia="en-US"/>
              </w:rPr>
              <w:t>0.97 (0.77 - 1.23)</w:t>
            </w:r>
          </w:p>
        </w:tc>
      </w:tr>
      <w:tr w:rsidR="00583B86" w:rsidRPr="00D94B08" w14:paraId="6A902ABF"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CB44499"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West</w:t>
            </w:r>
          </w:p>
        </w:tc>
        <w:tc>
          <w:tcPr>
            <w:tcW w:w="1620" w:type="dxa"/>
            <w:tcBorders>
              <w:top w:val="nil"/>
              <w:left w:val="nil"/>
              <w:bottom w:val="single" w:sz="4" w:space="0" w:color="auto"/>
              <w:right w:val="single" w:sz="4" w:space="0" w:color="auto"/>
            </w:tcBorders>
            <w:noWrap/>
            <w:vAlign w:val="bottom"/>
          </w:tcPr>
          <w:p w14:paraId="0AB87F9F" w14:textId="77777777" w:rsidR="00583B86" w:rsidRPr="00D94B08" w:rsidRDefault="00583B86" w:rsidP="00FB265E">
            <w:pPr>
              <w:jc w:val="center"/>
              <w:rPr>
                <w:color w:val="000000"/>
                <w:lang w:val="en-US" w:eastAsia="en-US"/>
              </w:rPr>
            </w:pPr>
            <w:r w:rsidRPr="00D94B08">
              <w:rPr>
                <w:color w:val="000000"/>
                <w:sz w:val="22"/>
                <w:szCs w:val="22"/>
                <w:lang w:val="en-US" w:eastAsia="en-US"/>
              </w:rPr>
              <w:t>648</w:t>
            </w:r>
          </w:p>
        </w:tc>
        <w:tc>
          <w:tcPr>
            <w:tcW w:w="2160" w:type="dxa"/>
            <w:tcBorders>
              <w:top w:val="nil"/>
              <w:left w:val="nil"/>
              <w:bottom w:val="single" w:sz="4" w:space="0" w:color="auto"/>
              <w:right w:val="single" w:sz="4" w:space="0" w:color="auto"/>
            </w:tcBorders>
            <w:noWrap/>
            <w:vAlign w:val="bottom"/>
          </w:tcPr>
          <w:p w14:paraId="6304A8AA" w14:textId="77777777" w:rsidR="00583B86" w:rsidRPr="00D94B08" w:rsidRDefault="00583B86" w:rsidP="00FB265E">
            <w:pPr>
              <w:jc w:val="center"/>
              <w:rPr>
                <w:color w:val="000000"/>
                <w:lang w:val="en-US" w:eastAsia="en-US"/>
              </w:rPr>
            </w:pPr>
            <w:r w:rsidRPr="00D94B08">
              <w:rPr>
                <w:color w:val="000000"/>
                <w:sz w:val="22"/>
                <w:szCs w:val="22"/>
                <w:lang w:val="en-US" w:eastAsia="en-US"/>
              </w:rPr>
              <w:t>24.8</w:t>
            </w:r>
          </w:p>
        </w:tc>
        <w:tc>
          <w:tcPr>
            <w:tcW w:w="1080" w:type="dxa"/>
            <w:tcBorders>
              <w:top w:val="nil"/>
              <w:left w:val="nil"/>
              <w:bottom w:val="single" w:sz="4" w:space="0" w:color="auto"/>
              <w:right w:val="single" w:sz="4" w:space="0" w:color="auto"/>
            </w:tcBorders>
            <w:noWrap/>
            <w:vAlign w:val="bottom"/>
          </w:tcPr>
          <w:p w14:paraId="44C75A8C" w14:textId="77777777" w:rsidR="00583B86" w:rsidRPr="00D94B08" w:rsidRDefault="00583B86" w:rsidP="00FB265E">
            <w:pPr>
              <w:jc w:val="center"/>
              <w:rPr>
                <w:color w:val="000000"/>
                <w:lang w:val="en-US" w:eastAsia="en-US"/>
              </w:rPr>
            </w:pPr>
            <w:r w:rsidRPr="00D94B08">
              <w:rPr>
                <w:color w:val="000000"/>
                <w:sz w:val="22"/>
                <w:szCs w:val="22"/>
                <w:lang w:val="en-US" w:eastAsia="en-US"/>
              </w:rPr>
              <w:t>22.9</w:t>
            </w:r>
          </w:p>
        </w:tc>
        <w:tc>
          <w:tcPr>
            <w:tcW w:w="1260" w:type="dxa"/>
            <w:tcBorders>
              <w:top w:val="nil"/>
              <w:left w:val="nil"/>
              <w:bottom w:val="single" w:sz="4" w:space="0" w:color="auto"/>
              <w:right w:val="single" w:sz="4" w:space="0" w:color="auto"/>
            </w:tcBorders>
            <w:noWrap/>
            <w:vAlign w:val="bottom"/>
          </w:tcPr>
          <w:p w14:paraId="2EE99011" w14:textId="77777777" w:rsidR="00583B86" w:rsidRPr="00D94B08" w:rsidRDefault="00583B86" w:rsidP="00FB265E">
            <w:pPr>
              <w:jc w:val="center"/>
              <w:rPr>
                <w:color w:val="000000"/>
                <w:lang w:val="en-US" w:eastAsia="en-US"/>
              </w:rPr>
            </w:pPr>
            <w:r w:rsidRPr="00D94B08">
              <w:rPr>
                <w:color w:val="000000"/>
                <w:sz w:val="22"/>
                <w:szCs w:val="22"/>
                <w:lang w:val="en-US" w:eastAsia="en-US"/>
              </w:rPr>
              <w:t>26.7</w:t>
            </w:r>
          </w:p>
        </w:tc>
        <w:tc>
          <w:tcPr>
            <w:tcW w:w="3600" w:type="dxa"/>
            <w:tcBorders>
              <w:top w:val="nil"/>
              <w:left w:val="nil"/>
              <w:bottom w:val="single" w:sz="4" w:space="0" w:color="auto"/>
              <w:right w:val="single" w:sz="4" w:space="0" w:color="auto"/>
            </w:tcBorders>
            <w:noWrap/>
            <w:vAlign w:val="bottom"/>
          </w:tcPr>
          <w:p w14:paraId="5148A288" w14:textId="77777777" w:rsidR="00583B86" w:rsidRPr="00D94B08" w:rsidRDefault="00583B86" w:rsidP="00FB265E">
            <w:pPr>
              <w:jc w:val="center"/>
              <w:rPr>
                <w:color w:val="000000"/>
                <w:lang w:val="en-US" w:eastAsia="en-US"/>
              </w:rPr>
            </w:pPr>
            <w:r w:rsidRPr="00D94B08">
              <w:rPr>
                <w:color w:val="000000"/>
                <w:sz w:val="22"/>
                <w:szCs w:val="22"/>
                <w:lang w:val="en-US" w:eastAsia="en-US"/>
              </w:rPr>
              <w:t>1.15 (1.01 - 1.31)</w:t>
            </w:r>
          </w:p>
        </w:tc>
      </w:tr>
      <w:tr w:rsidR="00583B86" w:rsidRPr="00D94B08" w14:paraId="6B633981"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7C4DE71"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Central</w:t>
            </w:r>
          </w:p>
        </w:tc>
        <w:tc>
          <w:tcPr>
            <w:tcW w:w="1620" w:type="dxa"/>
            <w:tcBorders>
              <w:top w:val="nil"/>
              <w:left w:val="nil"/>
              <w:bottom w:val="single" w:sz="4" w:space="0" w:color="auto"/>
              <w:right w:val="single" w:sz="4" w:space="0" w:color="auto"/>
            </w:tcBorders>
            <w:noWrap/>
            <w:vAlign w:val="bottom"/>
          </w:tcPr>
          <w:p w14:paraId="169674F6" w14:textId="77777777" w:rsidR="00583B86" w:rsidRPr="00D94B08" w:rsidRDefault="00583B86" w:rsidP="00FB265E">
            <w:pPr>
              <w:jc w:val="center"/>
              <w:rPr>
                <w:color w:val="000000"/>
                <w:lang w:val="en-US" w:eastAsia="en-US"/>
              </w:rPr>
            </w:pPr>
            <w:r w:rsidRPr="00D94B08">
              <w:rPr>
                <w:color w:val="000000"/>
                <w:sz w:val="22"/>
                <w:szCs w:val="22"/>
                <w:lang w:val="en-US" w:eastAsia="en-US"/>
              </w:rPr>
              <w:t>454</w:t>
            </w:r>
          </w:p>
        </w:tc>
        <w:tc>
          <w:tcPr>
            <w:tcW w:w="2160" w:type="dxa"/>
            <w:tcBorders>
              <w:top w:val="nil"/>
              <w:left w:val="nil"/>
              <w:bottom w:val="single" w:sz="4" w:space="0" w:color="auto"/>
              <w:right w:val="single" w:sz="4" w:space="0" w:color="auto"/>
            </w:tcBorders>
            <w:noWrap/>
            <w:vAlign w:val="bottom"/>
          </w:tcPr>
          <w:p w14:paraId="2511C807" w14:textId="77777777" w:rsidR="00583B86" w:rsidRPr="00D94B08" w:rsidRDefault="00583B86" w:rsidP="00FB265E">
            <w:pPr>
              <w:jc w:val="center"/>
              <w:rPr>
                <w:color w:val="000000"/>
                <w:lang w:val="en-US" w:eastAsia="en-US"/>
              </w:rPr>
            </w:pPr>
            <w:r w:rsidRPr="00D94B08">
              <w:rPr>
                <w:color w:val="000000"/>
                <w:sz w:val="22"/>
                <w:szCs w:val="22"/>
                <w:lang w:val="en-US" w:eastAsia="en-US"/>
              </w:rPr>
              <w:t>25.3</w:t>
            </w:r>
          </w:p>
        </w:tc>
        <w:tc>
          <w:tcPr>
            <w:tcW w:w="1080" w:type="dxa"/>
            <w:tcBorders>
              <w:top w:val="nil"/>
              <w:left w:val="nil"/>
              <w:bottom w:val="single" w:sz="4" w:space="0" w:color="auto"/>
              <w:right w:val="single" w:sz="4" w:space="0" w:color="auto"/>
            </w:tcBorders>
            <w:noWrap/>
            <w:vAlign w:val="bottom"/>
          </w:tcPr>
          <w:p w14:paraId="36337309" w14:textId="77777777" w:rsidR="00583B86" w:rsidRPr="00D94B08" w:rsidRDefault="00583B86" w:rsidP="00FB265E">
            <w:pPr>
              <w:jc w:val="center"/>
              <w:rPr>
                <w:color w:val="000000"/>
                <w:lang w:val="en-US" w:eastAsia="en-US"/>
              </w:rPr>
            </w:pPr>
            <w:r w:rsidRPr="00D94B08">
              <w:rPr>
                <w:color w:val="000000"/>
                <w:sz w:val="22"/>
                <w:szCs w:val="22"/>
                <w:lang w:val="en-US" w:eastAsia="en-US"/>
              </w:rPr>
              <w:t>22.9</w:t>
            </w:r>
          </w:p>
        </w:tc>
        <w:tc>
          <w:tcPr>
            <w:tcW w:w="1260" w:type="dxa"/>
            <w:tcBorders>
              <w:top w:val="nil"/>
              <w:left w:val="nil"/>
              <w:bottom w:val="single" w:sz="4" w:space="0" w:color="auto"/>
              <w:right w:val="single" w:sz="4" w:space="0" w:color="auto"/>
            </w:tcBorders>
            <w:noWrap/>
            <w:vAlign w:val="bottom"/>
          </w:tcPr>
          <w:p w14:paraId="6ED0E67A" w14:textId="77777777" w:rsidR="00583B86" w:rsidRPr="00D94B08" w:rsidRDefault="00583B86" w:rsidP="00FB265E">
            <w:pPr>
              <w:jc w:val="center"/>
              <w:rPr>
                <w:color w:val="000000"/>
                <w:lang w:val="en-US" w:eastAsia="en-US"/>
              </w:rPr>
            </w:pPr>
            <w:r w:rsidRPr="00D94B08">
              <w:rPr>
                <w:color w:val="000000"/>
                <w:sz w:val="22"/>
                <w:szCs w:val="22"/>
                <w:lang w:val="en-US" w:eastAsia="en-US"/>
              </w:rPr>
              <w:t>27.6</w:t>
            </w:r>
          </w:p>
        </w:tc>
        <w:tc>
          <w:tcPr>
            <w:tcW w:w="3600" w:type="dxa"/>
            <w:tcBorders>
              <w:top w:val="nil"/>
              <w:left w:val="nil"/>
              <w:bottom w:val="single" w:sz="4" w:space="0" w:color="auto"/>
              <w:right w:val="single" w:sz="4" w:space="0" w:color="auto"/>
            </w:tcBorders>
            <w:noWrap/>
            <w:vAlign w:val="bottom"/>
          </w:tcPr>
          <w:p w14:paraId="5F26B7BA" w14:textId="77777777" w:rsidR="00583B86" w:rsidRPr="00D94B08" w:rsidRDefault="00583B86" w:rsidP="00FB265E">
            <w:pPr>
              <w:jc w:val="center"/>
              <w:rPr>
                <w:color w:val="000000"/>
                <w:lang w:val="en-US" w:eastAsia="en-US"/>
              </w:rPr>
            </w:pPr>
            <w:r w:rsidRPr="00D94B08">
              <w:rPr>
                <w:color w:val="000000"/>
                <w:sz w:val="22"/>
                <w:szCs w:val="22"/>
                <w:lang w:val="en-US" w:eastAsia="en-US"/>
              </w:rPr>
              <w:t>0.99 (0.86 - 1.15)</w:t>
            </w:r>
          </w:p>
        </w:tc>
      </w:tr>
      <w:tr w:rsidR="00583B86" w:rsidRPr="00D94B08" w14:paraId="3AFF9F5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8A1E905"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East Coast</w:t>
            </w:r>
          </w:p>
        </w:tc>
        <w:tc>
          <w:tcPr>
            <w:tcW w:w="1620" w:type="dxa"/>
            <w:tcBorders>
              <w:top w:val="nil"/>
              <w:left w:val="nil"/>
              <w:bottom w:val="single" w:sz="4" w:space="0" w:color="auto"/>
              <w:right w:val="single" w:sz="4" w:space="0" w:color="auto"/>
            </w:tcBorders>
            <w:noWrap/>
            <w:vAlign w:val="bottom"/>
          </w:tcPr>
          <w:p w14:paraId="56755907" w14:textId="77777777" w:rsidR="00583B86" w:rsidRPr="00D94B08" w:rsidRDefault="00583B86" w:rsidP="00FB265E">
            <w:pPr>
              <w:jc w:val="center"/>
              <w:rPr>
                <w:color w:val="000000"/>
                <w:lang w:val="en-US" w:eastAsia="en-US"/>
              </w:rPr>
            </w:pPr>
            <w:r w:rsidRPr="00D94B08">
              <w:rPr>
                <w:color w:val="000000"/>
                <w:sz w:val="22"/>
                <w:szCs w:val="22"/>
                <w:lang w:val="en-US" w:eastAsia="en-US"/>
              </w:rPr>
              <w:t>428</w:t>
            </w:r>
          </w:p>
        </w:tc>
        <w:tc>
          <w:tcPr>
            <w:tcW w:w="2160" w:type="dxa"/>
            <w:tcBorders>
              <w:top w:val="nil"/>
              <w:left w:val="nil"/>
              <w:bottom w:val="single" w:sz="4" w:space="0" w:color="auto"/>
              <w:right w:val="single" w:sz="4" w:space="0" w:color="auto"/>
            </w:tcBorders>
            <w:noWrap/>
            <w:vAlign w:val="bottom"/>
          </w:tcPr>
          <w:p w14:paraId="6EE5572E" w14:textId="77777777" w:rsidR="00583B86" w:rsidRPr="00D94B08" w:rsidRDefault="00583B86" w:rsidP="00FB265E">
            <w:pPr>
              <w:jc w:val="center"/>
              <w:rPr>
                <w:color w:val="000000"/>
                <w:lang w:val="en-US" w:eastAsia="en-US"/>
              </w:rPr>
            </w:pPr>
            <w:r w:rsidRPr="00D94B08">
              <w:rPr>
                <w:color w:val="000000"/>
                <w:sz w:val="22"/>
                <w:szCs w:val="22"/>
                <w:lang w:val="en-US" w:eastAsia="en-US"/>
              </w:rPr>
              <w:t>24.7</w:t>
            </w:r>
          </w:p>
        </w:tc>
        <w:tc>
          <w:tcPr>
            <w:tcW w:w="1080" w:type="dxa"/>
            <w:tcBorders>
              <w:top w:val="nil"/>
              <w:left w:val="nil"/>
              <w:bottom w:val="single" w:sz="4" w:space="0" w:color="auto"/>
              <w:right w:val="single" w:sz="4" w:space="0" w:color="auto"/>
            </w:tcBorders>
            <w:noWrap/>
            <w:vAlign w:val="bottom"/>
          </w:tcPr>
          <w:p w14:paraId="6F4E604A" w14:textId="77777777" w:rsidR="00583B86" w:rsidRPr="00D94B08" w:rsidRDefault="00583B86" w:rsidP="00FB265E">
            <w:pPr>
              <w:jc w:val="center"/>
              <w:rPr>
                <w:color w:val="000000"/>
                <w:lang w:val="en-US" w:eastAsia="en-US"/>
              </w:rPr>
            </w:pPr>
            <w:r w:rsidRPr="00D94B08">
              <w:rPr>
                <w:color w:val="000000"/>
                <w:sz w:val="22"/>
                <w:szCs w:val="22"/>
                <w:lang w:val="en-US" w:eastAsia="en-US"/>
              </w:rPr>
              <w:t>22.4</w:t>
            </w:r>
          </w:p>
        </w:tc>
        <w:tc>
          <w:tcPr>
            <w:tcW w:w="1260" w:type="dxa"/>
            <w:tcBorders>
              <w:top w:val="nil"/>
              <w:left w:val="nil"/>
              <w:bottom w:val="single" w:sz="4" w:space="0" w:color="auto"/>
              <w:right w:val="single" w:sz="4" w:space="0" w:color="auto"/>
            </w:tcBorders>
            <w:noWrap/>
            <w:vAlign w:val="bottom"/>
          </w:tcPr>
          <w:p w14:paraId="2CD0FC55" w14:textId="77777777" w:rsidR="00583B86" w:rsidRPr="00D94B08" w:rsidRDefault="00583B86" w:rsidP="00FB265E">
            <w:pPr>
              <w:jc w:val="center"/>
              <w:rPr>
                <w:color w:val="000000"/>
                <w:lang w:val="en-US" w:eastAsia="en-US"/>
              </w:rPr>
            </w:pPr>
            <w:r w:rsidRPr="00D94B08">
              <w:rPr>
                <w:color w:val="000000"/>
                <w:sz w:val="22"/>
                <w:szCs w:val="22"/>
                <w:lang w:val="en-US" w:eastAsia="en-US"/>
              </w:rPr>
              <w:t>27.1</w:t>
            </w:r>
          </w:p>
        </w:tc>
        <w:tc>
          <w:tcPr>
            <w:tcW w:w="3600" w:type="dxa"/>
            <w:tcBorders>
              <w:top w:val="nil"/>
              <w:left w:val="nil"/>
              <w:bottom w:val="single" w:sz="4" w:space="0" w:color="auto"/>
              <w:right w:val="single" w:sz="4" w:space="0" w:color="auto"/>
            </w:tcBorders>
            <w:noWrap/>
            <w:vAlign w:val="bottom"/>
          </w:tcPr>
          <w:p w14:paraId="686D0FAF" w14:textId="77777777" w:rsidR="00583B86" w:rsidRPr="00D94B08" w:rsidRDefault="00583B86" w:rsidP="00FB265E">
            <w:pPr>
              <w:jc w:val="center"/>
              <w:rPr>
                <w:color w:val="000000"/>
                <w:lang w:val="en-US" w:eastAsia="en-US"/>
              </w:rPr>
            </w:pPr>
            <w:r w:rsidRPr="00D94B08">
              <w:rPr>
                <w:color w:val="000000"/>
                <w:sz w:val="22"/>
                <w:szCs w:val="22"/>
                <w:lang w:val="en-US" w:eastAsia="en-US"/>
              </w:rPr>
              <w:t>0.98 (0.85 - 1.13)</w:t>
            </w:r>
          </w:p>
        </w:tc>
      </w:tr>
      <w:tr w:rsidR="00583B86" w:rsidRPr="00D94B08" w14:paraId="6B06883B"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B91971C"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West</w:t>
            </w:r>
          </w:p>
        </w:tc>
        <w:tc>
          <w:tcPr>
            <w:tcW w:w="1620" w:type="dxa"/>
            <w:tcBorders>
              <w:top w:val="nil"/>
              <w:left w:val="nil"/>
              <w:bottom w:val="single" w:sz="4" w:space="0" w:color="auto"/>
              <w:right w:val="single" w:sz="4" w:space="0" w:color="auto"/>
            </w:tcBorders>
            <w:noWrap/>
            <w:vAlign w:val="bottom"/>
          </w:tcPr>
          <w:p w14:paraId="1B5F15B2" w14:textId="77777777" w:rsidR="00583B86" w:rsidRPr="00D94B08" w:rsidRDefault="00583B86" w:rsidP="00FB265E">
            <w:pPr>
              <w:jc w:val="center"/>
              <w:rPr>
                <w:color w:val="000000"/>
                <w:lang w:val="en-US" w:eastAsia="en-US"/>
              </w:rPr>
            </w:pPr>
            <w:r w:rsidRPr="00D94B08">
              <w:rPr>
                <w:color w:val="000000"/>
                <w:sz w:val="22"/>
                <w:szCs w:val="22"/>
                <w:lang w:val="en-US" w:eastAsia="en-US"/>
              </w:rPr>
              <w:t>481</w:t>
            </w:r>
          </w:p>
        </w:tc>
        <w:tc>
          <w:tcPr>
            <w:tcW w:w="2160" w:type="dxa"/>
            <w:tcBorders>
              <w:top w:val="nil"/>
              <w:left w:val="nil"/>
              <w:bottom w:val="single" w:sz="4" w:space="0" w:color="auto"/>
              <w:right w:val="single" w:sz="4" w:space="0" w:color="auto"/>
            </w:tcBorders>
            <w:noWrap/>
            <w:vAlign w:val="bottom"/>
          </w:tcPr>
          <w:p w14:paraId="29CFFF58" w14:textId="77777777" w:rsidR="00583B86" w:rsidRPr="00D94B08" w:rsidRDefault="00583B86" w:rsidP="00FB265E">
            <w:pPr>
              <w:jc w:val="center"/>
              <w:rPr>
                <w:color w:val="000000"/>
                <w:lang w:val="en-US" w:eastAsia="en-US"/>
              </w:rPr>
            </w:pPr>
            <w:r w:rsidRPr="00D94B08">
              <w:rPr>
                <w:color w:val="000000"/>
                <w:sz w:val="22"/>
                <w:szCs w:val="22"/>
                <w:lang w:val="en-US" w:eastAsia="en-US"/>
              </w:rPr>
              <w:t>25.2</w:t>
            </w:r>
          </w:p>
        </w:tc>
        <w:tc>
          <w:tcPr>
            <w:tcW w:w="1080" w:type="dxa"/>
            <w:tcBorders>
              <w:top w:val="nil"/>
              <w:left w:val="nil"/>
              <w:bottom w:val="single" w:sz="4" w:space="0" w:color="auto"/>
              <w:right w:val="single" w:sz="4" w:space="0" w:color="auto"/>
            </w:tcBorders>
            <w:noWrap/>
            <w:vAlign w:val="bottom"/>
          </w:tcPr>
          <w:p w14:paraId="2B8396DB" w14:textId="77777777" w:rsidR="00583B86" w:rsidRPr="00D94B08" w:rsidRDefault="00583B86" w:rsidP="00FB265E">
            <w:pPr>
              <w:jc w:val="center"/>
              <w:rPr>
                <w:color w:val="000000"/>
                <w:lang w:val="en-US" w:eastAsia="en-US"/>
              </w:rPr>
            </w:pPr>
            <w:r w:rsidRPr="00D94B08">
              <w:rPr>
                <w:color w:val="000000"/>
                <w:sz w:val="22"/>
                <w:szCs w:val="22"/>
                <w:lang w:val="en-US" w:eastAsia="en-US"/>
              </w:rPr>
              <w:t>23.0</w:t>
            </w:r>
          </w:p>
        </w:tc>
        <w:tc>
          <w:tcPr>
            <w:tcW w:w="1260" w:type="dxa"/>
            <w:tcBorders>
              <w:top w:val="nil"/>
              <w:left w:val="nil"/>
              <w:bottom w:val="single" w:sz="4" w:space="0" w:color="auto"/>
              <w:right w:val="single" w:sz="4" w:space="0" w:color="auto"/>
            </w:tcBorders>
            <w:noWrap/>
            <w:vAlign w:val="bottom"/>
          </w:tcPr>
          <w:p w14:paraId="723F18C3" w14:textId="77777777" w:rsidR="00583B86" w:rsidRPr="00D94B08" w:rsidRDefault="00583B86" w:rsidP="00FB265E">
            <w:pPr>
              <w:jc w:val="center"/>
              <w:rPr>
                <w:color w:val="000000"/>
                <w:lang w:val="en-US" w:eastAsia="en-US"/>
              </w:rPr>
            </w:pPr>
            <w:r w:rsidRPr="00D94B08">
              <w:rPr>
                <w:color w:val="000000"/>
                <w:sz w:val="22"/>
                <w:szCs w:val="22"/>
                <w:lang w:val="en-US" w:eastAsia="en-US"/>
              </w:rPr>
              <w:t>27.5</w:t>
            </w:r>
          </w:p>
        </w:tc>
        <w:tc>
          <w:tcPr>
            <w:tcW w:w="3600" w:type="dxa"/>
            <w:tcBorders>
              <w:top w:val="nil"/>
              <w:left w:val="nil"/>
              <w:bottom w:val="single" w:sz="4" w:space="0" w:color="auto"/>
              <w:right w:val="single" w:sz="4" w:space="0" w:color="auto"/>
            </w:tcBorders>
            <w:noWrap/>
            <w:vAlign w:val="bottom"/>
          </w:tcPr>
          <w:p w14:paraId="79A5DC6F" w14:textId="77777777" w:rsidR="00583B86" w:rsidRPr="00D94B08" w:rsidRDefault="00583B86" w:rsidP="00FB265E">
            <w:pPr>
              <w:jc w:val="center"/>
              <w:rPr>
                <w:color w:val="000000"/>
                <w:lang w:val="en-US" w:eastAsia="en-US"/>
              </w:rPr>
            </w:pPr>
            <w:r w:rsidRPr="00D94B08">
              <w:rPr>
                <w:color w:val="000000"/>
                <w:sz w:val="22"/>
                <w:szCs w:val="22"/>
                <w:lang w:val="en-US" w:eastAsia="en-US"/>
              </w:rPr>
              <w:t>0.95 (0.82 - 1.09)</w:t>
            </w:r>
          </w:p>
        </w:tc>
      </w:tr>
      <w:tr w:rsidR="00583B86" w:rsidRPr="00D94B08" w14:paraId="3638F493"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4A52DA6" w14:textId="77777777" w:rsidR="00583B86" w:rsidRPr="00D94B08" w:rsidRDefault="00583B86" w:rsidP="00FB265E">
            <w:pPr>
              <w:rPr>
                <w:color w:val="000000"/>
                <w:lang w:val="en-US" w:eastAsia="en-US"/>
              </w:rPr>
            </w:pPr>
            <w:r w:rsidRPr="00D94B08">
              <w:rPr>
                <w:color w:val="000000"/>
                <w:sz w:val="22"/>
                <w:szCs w:val="22"/>
                <w:lang w:val="en-US" w:eastAsia="en-US"/>
              </w:rPr>
              <w:lastRenderedPageBreak/>
              <w:t xml:space="preserve">   West Midlands</w:t>
            </w:r>
          </w:p>
        </w:tc>
        <w:tc>
          <w:tcPr>
            <w:tcW w:w="1620" w:type="dxa"/>
            <w:tcBorders>
              <w:top w:val="nil"/>
              <w:left w:val="nil"/>
              <w:bottom w:val="single" w:sz="4" w:space="0" w:color="auto"/>
              <w:right w:val="single" w:sz="4" w:space="0" w:color="auto"/>
            </w:tcBorders>
            <w:noWrap/>
            <w:vAlign w:val="bottom"/>
          </w:tcPr>
          <w:p w14:paraId="7FD540FF" w14:textId="77777777" w:rsidR="00583B86" w:rsidRPr="00D94B08" w:rsidRDefault="00583B86" w:rsidP="00FB265E">
            <w:pPr>
              <w:jc w:val="center"/>
              <w:rPr>
                <w:color w:val="000000"/>
                <w:lang w:val="en-US" w:eastAsia="en-US"/>
              </w:rPr>
            </w:pPr>
            <w:r w:rsidRPr="00D94B08">
              <w:rPr>
                <w:color w:val="000000"/>
                <w:sz w:val="22"/>
                <w:szCs w:val="22"/>
                <w:lang w:val="en-US" w:eastAsia="en-US"/>
              </w:rPr>
              <w:t>422</w:t>
            </w:r>
          </w:p>
        </w:tc>
        <w:tc>
          <w:tcPr>
            <w:tcW w:w="2160" w:type="dxa"/>
            <w:tcBorders>
              <w:top w:val="nil"/>
              <w:left w:val="nil"/>
              <w:bottom w:val="single" w:sz="4" w:space="0" w:color="auto"/>
              <w:right w:val="single" w:sz="4" w:space="0" w:color="auto"/>
            </w:tcBorders>
            <w:noWrap/>
            <w:vAlign w:val="bottom"/>
          </w:tcPr>
          <w:p w14:paraId="332B750B" w14:textId="77777777" w:rsidR="00583B86" w:rsidRPr="00D94B08" w:rsidRDefault="00583B86" w:rsidP="00FB265E">
            <w:pPr>
              <w:jc w:val="center"/>
              <w:rPr>
                <w:color w:val="000000"/>
                <w:lang w:val="en-US" w:eastAsia="en-US"/>
              </w:rPr>
            </w:pPr>
            <w:r w:rsidRPr="00D94B08">
              <w:rPr>
                <w:color w:val="000000"/>
                <w:sz w:val="22"/>
                <w:szCs w:val="22"/>
                <w:lang w:val="en-US" w:eastAsia="en-US"/>
              </w:rPr>
              <w:t>26.1</w:t>
            </w:r>
          </w:p>
        </w:tc>
        <w:tc>
          <w:tcPr>
            <w:tcW w:w="1080" w:type="dxa"/>
            <w:tcBorders>
              <w:top w:val="nil"/>
              <w:left w:val="nil"/>
              <w:bottom w:val="single" w:sz="4" w:space="0" w:color="auto"/>
              <w:right w:val="single" w:sz="4" w:space="0" w:color="auto"/>
            </w:tcBorders>
            <w:noWrap/>
            <w:vAlign w:val="bottom"/>
          </w:tcPr>
          <w:p w14:paraId="2535EAF5" w14:textId="77777777" w:rsidR="00583B86" w:rsidRPr="00D94B08" w:rsidRDefault="00583B86" w:rsidP="00FB265E">
            <w:pPr>
              <w:jc w:val="center"/>
              <w:rPr>
                <w:color w:val="000000"/>
                <w:lang w:val="en-US" w:eastAsia="en-US"/>
              </w:rPr>
            </w:pPr>
            <w:r w:rsidRPr="00D94B08">
              <w:rPr>
                <w:color w:val="000000"/>
                <w:sz w:val="22"/>
                <w:szCs w:val="22"/>
                <w:lang w:val="en-US" w:eastAsia="en-US"/>
              </w:rPr>
              <w:t>23.6</w:t>
            </w:r>
          </w:p>
        </w:tc>
        <w:tc>
          <w:tcPr>
            <w:tcW w:w="1260" w:type="dxa"/>
            <w:tcBorders>
              <w:top w:val="nil"/>
              <w:left w:val="nil"/>
              <w:bottom w:val="single" w:sz="4" w:space="0" w:color="auto"/>
              <w:right w:val="single" w:sz="4" w:space="0" w:color="auto"/>
            </w:tcBorders>
            <w:noWrap/>
            <w:vAlign w:val="bottom"/>
          </w:tcPr>
          <w:p w14:paraId="2083892E" w14:textId="77777777" w:rsidR="00583B86" w:rsidRPr="00D94B08" w:rsidRDefault="00583B86" w:rsidP="00FB265E">
            <w:pPr>
              <w:jc w:val="center"/>
              <w:rPr>
                <w:color w:val="000000"/>
                <w:lang w:val="en-US" w:eastAsia="en-US"/>
              </w:rPr>
            </w:pPr>
            <w:r w:rsidRPr="00D94B08">
              <w:rPr>
                <w:color w:val="000000"/>
                <w:sz w:val="22"/>
                <w:szCs w:val="22"/>
                <w:lang w:val="en-US" w:eastAsia="en-US"/>
              </w:rPr>
              <w:t>28.5</w:t>
            </w:r>
          </w:p>
        </w:tc>
        <w:tc>
          <w:tcPr>
            <w:tcW w:w="3600" w:type="dxa"/>
            <w:tcBorders>
              <w:top w:val="nil"/>
              <w:left w:val="nil"/>
              <w:bottom w:val="single" w:sz="4" w:space="0" w:color="auto"/>
              <w:right w:val="single" w:sz="4" w:space="0" w:color="auto"/>
            </w:tcBorders>
            <w:noWrap/>
            <w:vAlign w:val="bottom"/>
          </w:tcPr>
          <w:p w14:paraId="71326AD2" w14:textId="77777777" w:rsidR="00583B86" w:rsidRPr="00D94B08" w:rsidRDefault="00583B86" w:rsidP="00FB265E">
            <w:pPr>
              <w:jc w:val="center"/>
              <w:rPr>
                <w:color w:val="000000"/>
                <w:lang w:val="en-US" w:eastAsia="en-US"/>
              </w:rPr>
            </w:pPr>
            <w:r w:rsidRPr="00D94B08">
              <w:rPr>
                <w:color w:val="000000"/>
                <w:sz w:val="22"/>
                <w:szCs w:val="22"/>
                <w:lang w:val="en-US" w:eastAsia="en-US"/>
              </w:rPr>
              <w:t>1.11 (0.97 - 1.29)</w:t>
            </w:r>
          </w:p>
        </w:tc>
      </w:tr>
      <w:tr w:rsidR="00583B86" w:rsidRPr="00D94B08" w14:paraId="25133ED2"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20B6FAA" w14:textId="77777777" w:rsidR="00583B86" w:rsidRPr="00D94B08" w:rsidRDefault="00583B86" w:rsidP="00FB265E">
            <w:pPr>
              <w:rPr>
                <w:color w:val="000000"/>
                <w:lang w:val="en-US" w:eastAsia="en-US"/>
              </w:rPr>
            </w:pPr>
            <w:r w:rsidRPr="00D94B08">
              <w:rPr>
                <w:color w:val="000000"/>
                <w:sz w:val="22"/>
                <w:szCs w:val="22"/>
                <w:lang w:val="en-US" w:eastAsia="en-US"/>
              </w:rPr>
              <w:t xml:space="preserve">   Yorkshire &amp; The Humber </w:t>
            </w:r>
          </w:p>
        </w:tc>
        <w:tc>
          <w:tcPr>
            <w:tcW w:w="1620" w:type="dxa"/>
            <w:tcBorders>
              <w:top w:val="nil"/>
              <w:left w:val="nil"/>
              <w:bottom w:val="single" w:sz="4" w:space="0" w:color="auto"/>
              <w:right w:val="single" w:sz="4" w:space="0" w:color="auto"/>
            </w:tcBorders>
            <w:noWrap/>
            <w:vAlign w:val="bottom"/>
          </w:tcPr>
          <w:p w14:paraId="4BC79271" w14:textId="77777777" w:rsidR="00583B86" w:rsidRPr="00D94B08" w:rsidRDefault="00583B86" w:rsidP="00FB265E">
            <w:pPr>
              <w:jc w:val="center"/>
              <w:rPr>
                <w:color w:val="000000"/>
                <w:lang w:val="en-US" w:eastAsia="en-US"/>
              </w:rPr>
            </w:pPr>
            <w:r w:rsidRPr="00D94B08">
              <w:rPr>
                <w:color w:val="000000"/>
                <w:sz w:val="22"/>
                <w:szCs w:val="22"/>
                <w:lang w:val="en-US" w:eastAsia="en-US"/>
              </w:rPr>
              <w:t>176</w:t>
            </w:r>
          </w:p>
        </w:tc>
        <w:tc>
          <w:tcPr>
            <w:tcW w:w="2160" w:type="dxa"/>
            <w:tcBorders>
              <w:top w:val="nil"/>
              <w:left w:val="nil"/>
              <w:bottom w:val="single" w:sz="4" w:space="0" w:color="auto"/>
              <w:right w:val="single" w:sz="4" w:space="0" w:color="auto"/>
            </w:tcBorders>
            <w:noWrap/>
            <w:vAlign w:val="bottom"/>
          </w:tcPr>
          <w:p w14:paraId="4249D00B" w14:textId="77777777" w:rsidR="00583B86" w:rsidRPr="00D94B08" w:rsidRDefault="00583B86" w:rsidP="00FB265E">
            <w:pPr>
              <w:jc w:val="center"/>
              <w:rPr>
                <w:color w:val="000000"/>
                <w:lang w:val="en-US" w:eastAsia="en-US"/>
              </w:rPr>
            </w:pPr>
            <w:r w:rsidRPr="00D94B08">
              <w:rPr>
                <w:color w:val="000000"/>
                <w:sz w:val="22"/>
                <w:szCs w:val="22"/>
                <w:lang w:val="en-US" w:eastAsia="en-US"/>
              </w:rPr>
              <w:t>28.1</w:t>
            </w:r>
          </w:p>
        </w:tc>
        <w:tc>
          <w:tcPr>
            <w:tcW w:w="1080" w:type="dxa"/>
            <w:tcBorders>
              <w:top w:val="nil"/>
              <w:left w:val="nil"/>
              <w:bottom w:val="single" w:sz="4" w:space="0" w:color="auto"/>
              <w:right w:val="single" w:sz="4" w:space="0" w:color="auto"/>
            </w:tcBorders>
            <w:noWrap/>
            <w:vAlign w:val="bottom"/>
          </w:tcPr>
          <w:p w14:paraId="24BF0B6B" w14:textId="77777777" w:rsidR="00583B86" w:rsidRPr="00D94B08" w:rsidRDefault="00583B86" w:rsidP="00FB265E">
            <w:pPr>
              <w:jc w:val="center"/>
              <w:rPr>
                <w:color w:val="000000"/>
                <w:lang w:val="en-US" w:eastAsia="en-US"/>
              </w:rPr>
            </w:pPr>
            <w:r w:rsidRPr="00D94B08">
              <w:rPr>
                <w:color w:val="000000"/>
                <w:sz w:val="22"/>
                <w:szCs w:val="22"/>
                <w:lang w:val="en-US" w:eastAsia="en-US"/>
              </w:rPr>
              <w:t>23.9</w:t>
            </w:r>
          </w:p>
        </w:tc>
        <w:tc>
          <w:tcPr>
            <w:tcW w:w="1260" w:type="dxa"/>
            <w:tcBorders>
              <w:top w:val="nil"/>
              <w:left w:val="nil"/>
              <w:bottom w:val="single" w:sz="4" w:space="0" w:color="auto"/>
              <w:right w:val="single" w:sz="4" w:space="0" w:color="auto"/>
            </w:tcBorders>
            <w:noWrap/>
            <w:vAlign w:val="bottom"/>
          </w:tcPr>
          <w:p w14:paraId="5025BE0B" w14:textId="77777777" w:rsidR="00583B86" w:rsidRPr="00D94B08" w:rsidRDefault="00583B86" w:rsidP="00FB265E">
            <w:pPr>
              <w:jc w:val="center"/>
              <w:rPr>
                <w:color w:val="000000"/>
                <w:lang w:val="en-US" w:eastAsia="en-US"/>
              </w:rPr>
            </w:pPr>
            <w:r w:rsidRPr="00D94B08">
              <w:rPr>
                <w:color w:val="000000"/>
                <w:sz w:val="22"/>
                <w:szCs w:val="22"/>
                <w:lang w:val="en-US" w:eastAsia="en-US"/>
              </w:rPr>
              <w:t>32.2</w:t>
            </w:r>
          </w:p>
        </w:tc>
        <w:tc>
          <w:tcPr>
            <w:tcW w:w="3600" w:type="dxa"/>
            <w:tcBorders>
              <w:top w:val="nil"/>
              <w:left w:val="nil"/>
              <w:bottom w:val="single" w:sz="4" w:space="0" w:color="auto"/>
              <w:right w:val="single" w:sz="4" w:space="0" w:color="auto"/>
            </w:tcBorders>
            <w:noWrap/>
            <w:vAlign w:val="bottom"/>
          </w:tcPr>
          <w:p w14:paraId="52F89259" w14:textId="77777777" w:rsidR="00583B86" w:rsidRPr="00D94B08" w:rsidRDefault="00583B86" w:rsidP="00FB265E">
            <w:pPr>
              <w:jc w:val="center"/>
              <w:rPr>
                <w:color w:val="000000"/>
                <w:lang w:val="en-US" w:eastAsia="en-US"/>
              </w:rPr>
            </w:pPr>
            <w:r w:rsidRPr="00D94B08">
              <w:rPr>
                <w:color w:val="000000"/>
                <w:sz w:val="22"/>
                <w:szCs w:val="22"/>
                <w:lang w:val="en-US" w:eastAsia="en-US"/>
              </w:rPr>
              <w:t>1.21 (1.01 - 1.45)</w:t>
            </w:r>
          </w:p>
        </w:tc>
      </w:tr>
    </w:tbl>
    <w:p w14:paraId="6E5DB3A3" w14:textId="77777777" w:rsidR="00583B86" w:rsidRPr="00D94B08" w:rsidRDefault="00583B86" w:rsidP="00B06DCB">
      <w:pPr>
        <w:spacing w:after="200" w:line="276" w:lineRule="auto"/>
        <w:rPr>
          <w:color w:val="000000"/>
          <w:sz w:val="22"/>
          <w:szCs w:val="22"/>
        </w:rPr>
      </w:pPr>
      <w:r w:rsidRPr="00D94B08">
        <w:rPr>
          <w:color w:val="000000"/>
          <w:sz w:val="22"/>
          <w:szCs w:val="22"/>
        </w:rPr>
        <w:t>IR: incidence rate; RR: rate ratio; py: person-years</w:t>
      </w:r>
    </w:p>
    <w:p w14:paraId="1BC15AA5" w14:textId="77777777" w:rsidR="00583B86" w:rsidRPr="00D94B08" w:rsidRDefault="00583B86" w:rsidP="00231E35">
      <w:pPr>
        <w:spacing w:after="120"/>
        <w:jc w:val="both"/>
        <w:rPr>
          <w:color w:val="000000"/>
          <w:sz w:val="22"/>
          <w:szCs w:val="22"/>
        </w:rPr>
      </w:pPr>
      <w:r w:rsidRPr="00D94B08">
        <w:rPr>
          <w:b/>
          <w:color w:val="000000"/>
          <w:sz w:val="20"/>
          <w:szCs w:val="18"/>
        </w:rPr>
        <w:br w:type="page"/>
      </w:r>
    </w:p>
    <w:tbl>
      <w:tblPr>
        <w:tblW w:w="12075" w:type="dxa"/>
        <w:tblInd w:w="93" w:type="dxa"/>
        <w:tblLook w:val="00A0" w:firstRow="1" w:lastRow="0" w:firstColumn="1" w:lastColumn="0" w:noHBand="0" w:noVBand="0"/>
      </w:tblPr>
      <w:tblGrid>
        <w:gridCol w:w="2355"/>
        <w:gridCol w:w="1620"/>
        <w:gridCol w:w="2160"/>
        <w:gridCol w:w="1080"/>
        <w:gridCol w:w="1260"/>
        <w:gridCol w:w="3600"/>
      </w:tblGrid>
      <w:tr w:rsidR="00583B86" w:rsidRPr="00D94B08" w14:paraId="37E5895E" w14:textId="77777777" w:rsidTr="00FB265E">
        <w:trPr>
          <w:trHeight w:val="300"/>
        </w:trPr>
        <w:tc>
          <w:tcPr>
            <w:tcW w:w="12075" w:type="dxa"/>
            <w:gridSpan w:val="6"/>
            <w:tcBorders>
              <w:top w:val="single" w:sz="4" w:space="0" w:color="auto"/>
              <w:left w:val="single" w:sz="4" w:space="0" w:color="auto"/>
              <w:bottom w:val="single" w:sz="4" w:space="0" w:color="auto"/>
              <w:right w:val="single" w:sz="4" w:space="0" w:color="000000"/>
            </w:tcBorders>
            <w:noWrap/>
            <w:vAlign w:val="bottom"/>
          </w:tcPr>
          <w:p w14:paraId="63BF2B1B" w14:textId="12DCBB34" w:rsidR="00583B86" w:rsidRPr="00D94B08" w:rsidRDefault="00583B86" w:rsidP="00FB265E">
            <w:pPr>
              <w:rPr>
                <w:color w:val="000000"/>
                <w:lang w:val="en-US" w:eastAsia="en-US"/>
              </w:rPr>
            </w:pPr>
            <w:r w:rsidRPr="00D94B08">
              <w:rPr>
                <w:b/>
                <w:color w:val="000000"/>
                <w:sz w:val="22"/>
                <w:szCs w:val="22"/>
                <w:lang w:eastAsia="en-US"/>
              </w:rPr>
              <w:lastRenderedPageBreak/>
              <w:t xml:space="preserve">Supplementary </w:t>
            </w:r>
            <w:r w:rsidRPr="00D94B08">
              <w:rPr>
                <w:b/>
                <w:color w:val="000000"/>
                <w:sz w:val="22"/>
                <w:szCs w:val="22"/>
                <w:lang w:val="en-US" w:eastAsia="en-US"/>
              </w:rPr>
              <w:t>Table 2.</w:t>
            </w:r>
            <w:r w:rsidRPr="00D94B08">
              <w:rPr>
                <w:color w:val="000000"/>
                <w:sz w:val="22"/>
                <w:szCs w:val="22"/>
                <w:lang w:val="en-US" w:eastAsia="en-US"/>
              </w:rPr>
              <w:t xml:space="preserve"> One-year all-cause mortality after fracture (FRAX definition) for females stratified by age, ethnicity, socioeconomic status, and region</w:t>
            </w:r>
          </w:p>
        </w:tc>
      </w:tr>
      <w:tr w:rsidR="00583B86" w:rsidRPr="00D94B08" w14:paraId="195D2631"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BD3BDD3"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tcPr>
          <w:p w14:paraId="05265053" w14:textId="77777777" w:rsidR="00583B86" w:rsidRPr="00D94B08" w:rsidRDefault="00583B86" w:rsidP="00FB265E">
            <w:pPr>
              <w:jc w:val="center"/>
              <w:rPr>
                <w:color w:val="000000"/>
                <w:lang w:val="en-US" w:eastAsia="en-US"/>
              </w:rPr>
            </w:pPr>
            <w:r w:rsidRPr="00D94B08">
              <w:rPr>
                <w:color w:val="000000"/>
                <w:sz w:val="22"/>
                <w:szCs w:val="22"/>
                <w:lang w:val="en-US" w:eastAsia="en-US"/>
              </w:rPr>
              <w:t>N deaths</w:t>
            </w:r>
          </w:p>
        </w:tc>
        <w:tc>
          <w:tcPr>
            <w:tcW w:w="2160" w:type="dxa"/>
            <w:tcBorders>
              <w:top w:val="nil"/>
              <w:left w:val="nil"/>
              <w:bottom w:val="single" w:sz="4" w:space="0" w:color="auto"/>
              <w:right w:val="single" w:sz="4" w:space="0" w:color="auto"/>
            </w:tcBorders>
            <w:noWrap/>
            <w:vAlign w:val="bottom"/>
          </w:tcPr>
          <w:p w14:paraId="29E43F9E" w14:textId="77777777" w:rsidR="00583B86" w:rsidRPr="00D94B08" w:rsidRDefault="00583B86" w:rsidP="00FB265E">
            <w:pPr>
              <w:jc w:val="center"/>
              <w:rPr>
                <w:color w:val="000000"/>
                <w:lang w:val="en-US" w:eastAsia="en-US"/>
              </w:rPr>
            </w:pPr>
            <w:r w:rsidRPr="00D94B08">
              <w:rPr>
                <w:color w:val="000000"/>
                <w:sz w:val="22"/>
                <w:szCs w:val="22"/>
                <w:lang w:val="en-US" w:eastAsia="en-US"/>
              </w:rPr>
              <w:t>IR (per 100 py)</w:t>
            </w:r>
          </w:p>
        </w:tc>
        <w:tc>
          <w:tcPr>
            <w:tcW w:w="2340" w:type="dxa"/>
            <w:gridSpan w:val="2"/>
            <w:tcBorders>
              <w:top w:val="single" w:sz="4" w:space="0" w:color="auto"/>
              <w:left w:val="nil"/>
              <w:bottom w:val="single" w:sz="4" w:space="0" w:color="auto"/>
              <w:right w:val="single" w:sz="4" w:space="0" w:color="000000"/>
            </w:tcBorders>
            <w:noWrap/>
            <w:vAlign w:val="bottom"/>
          </w:tcPr>
          <w:p w14:paraId="34696478" w14:textId="77777777" w:rsidR="00583B86" w:rsidRPr="00D94B08" w:rsidRDefault="00583B86" w:rsidP="00FB265E">
            <w:pPr>
              <w:jc w:val="center"/>
              <w:rPr>
                <w:color w:val="000000"/>
                <w:lang w:val="en-US" w:eastAsia="en-US"/>
              </w:rPr>
            </w:pPr>
            <w:r w:rsidRPr="00D94B08">
              <w:rPr>
                <w:color w:val="000000"/>
                <w:sz w:val="22"/>
                <w:szCs w:val="22"/>
                <w:lang w:val="en-US" w:eastAsia="en-US"/>
              </w:rPr>
              <w:t>IR 95% CI</w:t>
            </w:r>
          </w:p>
        </w:tc>
        <w:tc>
          <w:tcPr>
            <w:tcW w:w="3600" w:type="dxa"/>
            <w:tcBorders>
              <w:top w:val="nil"/>
              <w:left w:val="nil"/>
              <w:bottom w:val="single" w:sz="4" w:space="0" w:color="auto"/>
              <w:right w:val="single" w:sz="4" w:space="0" w:color="auto"/>
            </w:tcBorders>
            <w:noWrap/>
            <w:vAlign w:val="bottom"/>
          </w:tcPr>
          <w:p w14:paraId="4A4021CA" w14:textId="77777777" w:rsidR="00583B86" w:rsidRPr="00D94B08" w:rsidRDefault="00583B86" w:rsidP="00FB265E">
            <w:pPr>
              <w:jc w:val="center"/>
              <w:rPr>
                <w:color w:val="000000"/>
                <w:lang w:val="en-US" w:eastAsia="en-US"/>
              </w:rPr>
            </w:pPr>
            <w:r w:rsidRPr="00D94B08">
              <w:rPr>
                <w:color w:val="000000"/>
                <w:sz w:val="22"/>
                <w:szCs w:val="22"/>
                <w:lang w:val="en-US" w:eastAsia="en-US"/>
              </w:rPr>
              <w:t>RR (95% CI)</w:t>
            </w:r>
          </w:p>
        </w:tc>
      </w:tr>
      <w:tr w:rsidR="00583B86" w:rsidRPr="00D94B08" w14:paraId="6A3A3C21"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58ED72E" w14:textId="77777777" w:rsidR="00583B86" w:rsidRPr="00D94B08" w:rsidRDefault="00583B86" w:rsidP="00FB265E">
            <w:pPr>
              <w:rPr>
                <w:color w:val="000000"/>
                <w:lang w:val="en-US" w:eastAsia="en-US"/>
              </w:rPr>
            </w:pPr>
            <w:r w:rsidRPr="00D94B08">
              <w:rPr>
                <w:color w:val="000000"/>
                <w:sz w:val="22"/>
                <w:szCs w:val="22"/>
                <w:lang w:eastAsia="en-US"/>
              </w:rPr>
              <w:t>By age categories</w:t>
            </w:r>
          </w:p>
        </w:tc>
        <w:tc>
          <w:tcPr>
            <w:tcW w:w="1620" w:type="dxa"/>
            <w:tcBorders>
              <w:top w:val="nil"/>
              <w:left w:val="nil"/>
              <w:bottom w:val="single" w:sz="4" w:space="0" w:color="auto"/>
              <w:right w:val="single" w:sz="4" w:space="0" w:color="auto"/>
            </w:tcBorders>
            <w:noWrap/>
            <w:vAlign w:val="bottom"/>
          </w:tcPr>
          <w:p w14:paraId="73E1CE15"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38ABFBAF"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38E32C63"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7E2A9433"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4284583F"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685E13BA"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5721B69F" w14:textId="77777777" w:rsidR="00583B86" w:rsidRPr="00D94B08" w:rsidRDefault="00583B86" w:rsidP="00FB265E">
            <w:pPr>
              <w:rPr>
                <w:color w:val="000000"/>
                <w:lang w:val="en-US" w:eastAsia="en-US"/>
              </w:rPr>
            </w:pPr>
            <w:r w:rsidRPr="00D94B08">
              <w:rPr>
                <w:color w:val="000000"/>
                <w:sz w:val="22"/>
                <w:szCs w:val="18"/>
                <w:lang w:eastAsia="en-US"/>
              </w:rPr>
              <w:t xml:space="preserve">   50 – 54 </w:t>
            </w:r>
          </w:p>
        </w:tc>
        <w:tc>
          <w:tcPr>
            <w:tcW w:w="1620" w:type="dxa"/>
            <w:tcBorders>
              <w:top w:val="nil"/>
              <w:left w:val="nil"/>
              <w:bottom w:val="single" w:sz="4" w:space="0" w:color="auto"/>
              <w:right w:val="single" w:sz="4" w:space="0" w:color="auto"/>
            </w:tcBorders>
            <w:noWrap/>
            <w:vAlign w:val="bottom"/>
          </w:tcPr>
          <w:p w14:paraId="4367DC89" w14:textId="77777777" w:rsidR="00583B86" w:rsidRPr="00D94B08" w:rsidRDefault="00583B86" w:rsidP="00FB265E">
            <w:pPr>
              <w:jc w:val="center"/>
              <w:rPr>
                <w:color w:val="000000"/>
                <w:lang w:val="en-US" w:eastAsia="en-US"/>
              </w:rPr>
            </w:pPr>
            <w:r w:rsidRPr="00D94B08">
              <w:rPr>
                <w:color w:val="000000"/>
                <w:sz w:val="22"/>
                <w:szCs w:val="22"/>
                <w:lang w:val="en-US" w:eastAsia="en-US"/>
              </w:rPr>
              <w:t>46</w:t>
            </w:r>
          </w:p>
        </w:tc>
        <w:tc>
          <w:tcPr>
            <w:tcW w:w="2160" w:type="dxa"/>
            <w:tcBorders>
              <w:top w:val="nil"/>
              <w:left w:val="nil"/>
              <w:bottom w:val="single" w:sz="4" w:space="0" w:color="auto"/>
              <w:right w:val="single" w:sz="4" w:space="0" w:color="auto"/>
            </w:tcBorders>
            <w:noWrap/>
            <w:vAlign w:val="bottom"/>
          </w:tcPr>
          <w:p w14:paraId="02844765" w14:textId="77777777" w:rsidR="00583B86" w:rsidRPr="00D94B08" w:rsidRDefault="00583B86" w:rsidP="00FB265E">
            <w:pPr>
              <w:jc w:val="center"/>
              <w:rPr>
                <w:color w:val="000000"/>
                <w:lang w:val="en-US" w:eastAsia="en-US"/>
              </w:rPr>
            </w:pPr>
            <w:r w:rsidRPr="00D94B08">
              <w:rPr>
                <w:color w:val="000000"/>
                <w:sz w:val="22"/>
                <w:szCs w:val="22"/>
                <w:lang w:val="en-US" w:eastAsia="en-US"/>
              </w:rPr>
              <w:t>2.0</w:t>
            </w:r>
          </w:p>
        </w:tc>
        <w:tc>
          <w:tcPr>
            <w:tcW w:w="1080" w:type="dxa"/>
            <w:tcBorders>
              <w:top w:val="nil"/>
              <w:left w:val="nil"/>
              <w:bottom w:val="single" w:sz="4" w:space="0" w:color="auto"/>
              <w:right w:val="single" w:sz="4" w:space="0" w:color="auto"/>
            </w:tcBorders>
            <w:noWrap/>
            <w:vAlign w:val="bottom"/>
          </w:tcPr>
          <w:p w14:paraId="27B39614" w14:textId="77777777" w:rsidR="00583B86" w:rsidRPr="00D94B08" w:rsidRDefault="00583B86" w:rsidP="00FB265E">
            <w:pPr>
              <w:jc w:val="center"/>
              <w:rPr>
                <w:color w:val="000000"/>
                <w:lang w:val="en-US" w:eastAsia="en-US"/>
              </w:rPr>
            </w:pPr>
            <w:r w:rsidRPr="00D94B08">
              <w:rPr>
                <w:color w:val="000000"/>
                <w:sz w:val="22"/>
                <w:szCs w:val="22"/>
                <w:lang w:val="en-US" w:eastAsia="en-US"/>
              </w:rPr>
              <w:t>1.5</w:t>
            </w:r>
          </w:p>
        </w:tc>
        <w:tc>
          <w:tcPr>
            <w:tcW w:w="1260" w:type="dxa"/>
            <w:tcBorders>
              <w:top w:val="nil"/>
              <w:left w:val="nil"/>
              <w:bottom w:val="single" w:sz="4" w:space="0" w:color="auto"/>
              <w:right w:val="single" w:sz="4" w:space="0" w:color="auto"/>
            </w:tcBorders>
            <w:noWrap/>
            <w:vAlign w:val="bottom"/>
          </w:tcPr>
          <w:p w14:paraId="2F915370" w14:textId="77777777" w:rsidR="00583B86" w:rsidRPr="00D94B08" w:rsidRDefault="00583B86" w:rsidP="00FB265E">
            <w:pPr>
              <w:jc w:val="center"/>
              <w:rPr>
                <w:color w:val="000000"/>
                <w:lang w:val="en-US" w:eastAsia="en-US"/>
              </w:rPr>
            </w:pPr>
            <w:r w:rsidRPr="00D94B08">
              <w:rPr>
                <w:color w:val="000000"/>
                <w:sz w:val="22"/>
                <w:szCs w:val="22"/>
                <w:lang w:val="en-US" w:eastAsia="en-US"/>
              </w:rPr>
              <w:t>2.6</w:t>
            </w:r>
          </w:p>
        </w:tc>
        <w:tc>
          <w:tcPr>
            <w:tcW w:w="3600" w:type="dxa"/>
            <w:tcBorders>
              <w:top w:val="nil"/>
              <w:left w:val="nil"/>
              <w:bottom w:val="single" w:sz="4" w:space="0" w:color="auto"/>
              <w:right w:val="single" w:sz="4" w:space="0" w:color="auto"/>
            </w:tcBorders>
            <w:noWrap/>
            <w:vAlign w:val="bottom"/>
          </w:tcPr>
          <w:p w14:paraId="753AB5D1"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2BE5A443"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7C27A9B2" w14:textId="77777777" w:rsidR="00583B86" w:rsidRPr="00D94B08" w:rsidRDefault="00583B86" w:rsidP="00FB265E">
            <w:pPr>
              <w:rPr>
                <w:color w:val="000000"/>
                <w:lang w:val="en-US" w:eastAsia="en-US"/>
              </w:rPr>
            </w:pPr>
            <w:r w:rsidRPr="00D94B08">
              <w:rPr>
                <w:color w:val="000000"/>
                <w:sz w:val="22"/>
                <w:szCs w:val="18"/>
                <w:lang w:eastAsia="en-US"/>
              </w:rPr>
              <w:t xml:space="preserve">   55 – 59 </w:t>
            </w:r>
          </w:p>
        </w:tc>
        <w:tc>
          <w:tcPr>
            <w:tcW w:w="1620" w:type="dxa"/>
            <w:tcBorders>
              <w:top w:val="nil"/>
              <w:left w:val="nil"/>
              <w:bottom w:val="single" w:sz="4" w:space="0" w:color="auto"/>
              <w:right w:val="single" w:sz="4" w:space="0" w:color="auto"/>
            </w:tcBorders>
            <w:noWrap/>
            <w:vAlign w:val="bottom"/>
          </w:tcPr>
          <w:p w14:paraId="18A61DC8" w14:textId="77777777" w:rsidR="00583B86" w:rsidRPr="00D94B08" w:rsidRDefault="00583B86" w:rsidP="00FB265E">
            <w:pPr>
              <w:jc w:val="center"/>
              <w:rPr>
                <w:color w:val="000000"/>
                <w:lang w:val="en-US" w:eastAsia="en-US"/>
              </w:rPr>
            </w:pPr>
            <w:r w:rsidRPr="00D94B08">
              <w:rPr>
                <w:color w:val="000000"/>
                <w:sz w:val="22"/>
                <w:szCs w:val="22"/>
                <w:lang w:val="en-US" w:eastAsia="en-US"/>
              </w:rPr>
              <w:t>65</w:t>
            </w:r>
          </w:p>
        </w:tc>
        <w:tc>
          <w:tcPr>
            <w:tcW w:w="2160" w:type="dxa"/>
            <w:tcBorders>
              <w:top w:val="nil"/>
              <w:left w:val="nil"/>
              <w:bottom w:val="single" w:sz="4" w:space="0" w:color="auto"/>
              <w:right w:val="single" w:sz="4" w:space="0" w:color="auto"/>
            </w:tcBorders>
            <w:noWrap/>
            <w:vAlign w:val="bottom"/>
          </w:tcPr>
          <w:p w14:paraId="37D14EE8" w14:textId="77777777" w:rsidR="00583B86" w:rsidRPr="00D94B08" w:rsidRDefault="00583B86" w:rsidP="00FB265E">
            <w:pPr>
              <w:jc w:val="center"/>
              <w:rPr>
                <w:color w:val="000000"/>
                <w:lang w:val="en-US" w:eastAsia="en-US"/>
              </w:rPr>
            </w:pPr>
            <w:r w:rsidRPr="00D94B08">
              <w:rPr>
                <w:color w:val="000000"/>
                <w:sz w:val="22"/>
                <w:szCs w:val="22"/>
                <w:lang w:val="en-US" w:eastAsia="en-US"/>
              </w:rPr>
              <w:t>1.7</w:t>
            </w:r>
          </w:p>
        </w:tc>
        <w:tc>
          <w:tcPr>
            <w:tcW w:w="1080" w:type="dxa"/>
            <w:tcBorders>
              <w:top w:val="nil"/>
              <w:left w:val="nil"/>
              <w:bottom w:val="single" w:sz="4" w:space="0" w:color="auto"/>
              <w:right w:val="single" w:sz="4" w:space="0" w:color="auto"/>
            </w:tcBorders>
            <w:noWrap/>
            <w:vAlign w:val="bottom"/>
          </w:tcPr>
          <w:p w14:paraId="73CCFE88" w14:textId="77777777" w:rsidR="00583B86" w:rsidRPr="00D94B08" w:rsidRDefault="00583B86" w:rsidP="00FB265E">
            <w:pPr>
              <w:jc w:val="center"/>
              <w:rPr>
                <w:color w:val="000000"/>
                <w:lang w:val="en-US" w:eastAsia="en-US"/>
              </w:rPr>
            </w:pPr>
            <w:r w:rsidRPr="00D94B08">
              <w:rPr>
                <w:color w:val="000000"/>
                <w:sz w:val="22"/>
                <w:szCs w:val="22"/>
                <w:lang w:val="en-US" w:eastAsia="en-US"/>
              </w:rPr>
              <w:t>1.3</w:t>
            </w:r>
          </w:p>
        </w:tc>
        <w:tc>
          <w:tcPr>
            <w:tcW w:w="1260" w:type="dxa"/>
            <w:tcBorders>
              <w:top w:val="nil"/>
              <w:left w:val="nil"/>
              <w:bottom w:val="single" w:sz="4" w:space="0" w:color="auto"/>
              <w:right w:val="single" w:sz="4" w:space="0" w:color="auto"/>
            </w:tcBorders>
            <w:noWrap/>
            <w:vAlign w:val="bottom"/>
          </w:tcPr>
          <w:p w14:paraId="1A4DA8F6" w14:textId="77777777" w:rsidR="00583B86" w:rsidRPr="00D94B08" w:rsidRDefault="00583B86" w:rsidP="00FB265E">
            <w:pPr>
              <w:jc w:val="center"/>
              <w:rPr>
                <w:color w:val="000000"/>
                <w:lang w:val="en-US" w:eastAsia="en-US"/>
              </w:rPr>
            </w:pPr>
            <w:r w:rsidRPr="00D94B08">
              <w:rPr>
                <w:color w:val="000000"/>
                <w:sz w:val="22"/>
                <w:szCs w:val="22"/>
                <w:lang w:val="en-US" w:eastAsia="en-US"/>
              </w:rPr>
              <w:t>2.1</w:t>
            </w:r>
          </w:p>
        </w:tc>
        <w:tc>
          <w:tcPr>
            <w:tcW w:w="3600" w:type="dxa"/>
            <w:tcBorders>
              <w:top w:val="nil"/>
              <w:left w:val="nil"/>
              <w:bottom w:val="single" w:sz="4" w:space="0" w:color="auto"/>
              <w:right w:val="single" w:sz="4" w:space="0" w:color="auto"/>
            </w:tcBorders>
            <w:noWrap/>
            <w:vAlign w:val="bottom"/>
          </w:tcPr>
          <w:p w14:paraId="30579B18" w14:textId="77777777" w:rsidR="00583B86" w:rsidRPr="00D94B08" w:rsidRDefault="00583B86" w:rsidP="00FB265E">
            <w:pPr>
              <w:jc w:val="center"/>
              <w:rPr>
                <w:color w:val="000000"/>
                <w:lang w:val="en-US" w:eastAsia="en-US"/>
              </w:rPr>
            </w:pPr>
            <w:r w:rsidRPr="00D94B08">
              <w:rPr>
                <w:color w:val="000000"/>
                <w:sz w:val="22"/>
                <w:szCs w:val="22"/>
                <w:lang w:val="en-US" w:eastAsia="en-US"/>
              </w:rPr>
              <w:t>0.82 (0.57 - 1.20)</w:t>
            </w:r>
          </w:p>
        </w:tc>
      </w:tr>
      <w:tr w:rsidR="00583B86" w:rsidRPr="00D94B08" w14:paraId="64131233"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3DB6F31" w14:textId="77777777" w:rsidR="00583B86" w:rsidRPr="00D94B08" w:rsidRDefault="00583B86" w:rsidP="00FB265E">
            <w:pPr>
              <w:rPr>
                <w:color w:val="000000"/>
                <w:lang w:val="en-US" w:eastAsia="en-US"/>
              </w:rPr>
            </w:pPr>
            <w:r w:rsidRPr="00D94B08">
              <w:rPr>
                <w:color w:val="000000"/>
                <w:sz w:val="22"/>
                <w:szCs w:val="18"/>
                <w:lang w:eastAsia="en-US"/>
              </w:rPr>
              <w:t xml:space="preserve">   60 – 64 </w:t>
            </w:r>
          </w:p>
        </w:tc>
        <w:tc>
          <w:tcPr>
            <w:tcW w:w="1620" w:type="dxa"/>
            <w:tcBorders>
              <w:top w:val="nil"/>
              <w:left w:val="nil"/>
              <w:bottom w:val="single" w:sz="4" w:space="0" w:color="auto"/>
              <w:right w:val="single" w:sz="4" w:space="0" w:color="auto"/>
            </w:tcBorders>
            <w:noWrap/>
            <w:vAlign w:val="bottom"/>
          </w:tcPr>
          <w:p w14:paraId="34455DE7" w14:textId="77777777" w:rsidR="00583B86" w:rsidRPr="00D94B08" w:rsidRDefault="00583B86" w:rsidP="00FB265E">
            <w:pPr>
              <w:jc w:val="center"/>
              <w:rPr>
                <w:color w:val="000000"/>
                <w:lang w:val="en-US" w:eastAsia="en-US"/>
              </w:rPr>
            </w:pPr>
            <w:r w:rsidRPr="00D94B08">
              <w:rPr>
                <w:color w:val="000000"/>
                <w:sz w:val="22"/>
                <w:szCs w:val="22"/>
                <w:lang w:val="en-US" w:eastAsia="en-US"/>
              </w:rPr>
              <w:t>114</w:t>
            </w:r>
          </w:p>
        </w:tc>
        <w:tc>
          <w:tcPr>
            <w:tcW w:w="2160" w:type="dxa"/>
            <w:tcBorders>
              <w:top w:val="nil"/>
              <w:left w:val="nil"/>
              <w:bottom w:val="single" w:sz="4" w:space="0" w:color="auto"/>
              <w:right w:val="single" w:sz="4" w:space="0" w:color="auto"/>
            </w:tcBorders>
            <w:noWrap/>
            <w:vAlign w:val="bottom"/>
          </w:tcPr>
          <w:p w14:paraId="64303C1C" w14:textId="77777777" w:rsidR="00583B86" w:rsidRPr="00D94B08" w:rsidRDefault="00583B86" w:rsidP="00FB265E">
            <w:pPr>
              <w:jc w:val="center"/>
              <w:rPr>
                <w:color w:val="000000"/>
                <w:lang w:val="en-US" w:eastAsia="en-US"/>
              </w:rPr>
            </w:pPr>
            <w:r w:rsidRPr="00D94B08">
              <w:rPr>
                <w:color w:val="000000"/>
                <w:sz w:val="22"/>
                <w:szCs w:val="22"/>
                <w:lang w:val="en-US" w:eastAsia="en-US"/>
              </w:rPr>
              <w:t>2.6</w:t>
            </w:r>
          </w:p>
        </w:tc>
        <w:tc>
          <w:tcPr>
            <w:tcW w:w="1080" w:type="dxa"/>
            <w:tcBorders>
              <w:top w:val="nil"/>
              <w:left w:val="nil"/>
              <w:bottom w:val="single" w:sz="4" w:space="0" w:color="auto"/>
              <w:right w:val="single" w:sz="4" w:space="0" w:color="auto"/>
            </w:tcBorders>
            <w:noWrap/>
            <w:vAlign w:val="bottom"/>
          </w:tcPr>
          <w:p w14:paraId="297EEC2B" w14:textId="77777777" w:rsidR="00583B86" w:rsidRPr="00D94B08" w:rsidRDefault="00583B86" w:rsidP="00FB265E">
            <w:pPr>
              <w:jc w:val="center"/>
              <w:rPr>
                <w:color w:val="000000"/>
                <w:lang w:val="en-US" w:eastAsia="en-US"/>
              </w:rPr>
            </w:pPr>
            <w:r w:rsidRPr="00D94B08">
              <w:rPr>
                <w:color w:val="000000"/>
                <w:sz w:val="22"/>
                <w:szCs w:val="22"/>
                <w:lang w:val="en-US" w:eastAsia="en-US"/>
              </w:rPr>
              <w:t>2.1</w:t>
            </w:r>
          </w:p>
        </w:tc>
        <w:tc>
          <w:tcPr>
            <w:tcW w:w="1260" w:type="dxa"/>
            <w:tcBorders>
              <w:top w:val="nil"/>
              <w:left w:val="nil"/>
              <w:bottom w:val="single" w:sz="4" w:space="0" w:color="auto"/>
              <w:right w:val="single" w:sz="4" w:space="0" w:color="auto"/>
            </w:tcBorders>
            <w:noWrap/>
            <w:vAlign w:val="bottom"/>
          </w:tcPr>
          <w:p w14:paraId="0536F9FA" w14:textId="77777777" w:rsidR="00583B86" w:rsidRPr="00D94B08" w:rsidRDefault="00583B86" w:rsidP="00FB265E">
            <w:pPr>
              <w:jc w:val="center"/>
              <w:rPr>
                <w:color w:val="000000"/>
                <w:lang w:val="en-US" w:eastAsia="en-US"/>
              </w:rPr>
            </w:pPr>
            <w:r w:rsidRPr="00D94B08">
              <w:rPr>
                <w:color w:val="000000"/>
                <w:sz w:val="22"/>
                <w:szCs w:val="22"/>
                <w:lang w:val="en-US" w:eastAsia="en-US"/>
              </w:rPr>
              <w:t>3.0</w:t>
            </w:r>
          </w:p>
        </w:tc>
        <w:tc>
          <w:tcPr>
            <w:tcW w:w="3600" w:type="dxa"/>
            <w:tcBorders>
              <w:top w:val="nil"/>
              <w:left w:val="nil"/>
              <w:bottom w:val="single" w:sz="4" w:space="0" w:color="auto"/>
              <w:right w:val="single" w:sz="4" w:space="0" w:color="auto"/>
            </w:tcBorders>
            <w:noWrap/>
            <w:vAlign w:val="bottom"/>
          </w:tcPr>
          <w:p w14:paraId="2920A2D2" w14:textId="77777777" w:rsidR="00583B86" w:rsidRPr="00D94B08" w:rsidRDefault="00583B86" w:rsidP="00FB265E">
            <w:pPr>
              <w:jc w:val="center"/>
              <w:rPr>
                <w:color w:val="000000"/>
                <w:lang w:val="en-US" w:eastAsia="en-US"/>
              </w:rPr>
            </w:pPr>
            <w:r w:rsidRPr="00D94B08">
              <w:rPr>
                <w:color w:val="000000"/>
                <w:sz w:val="22"/>
                <w:szCs w:val="22"/>
                <w:lang w:val="en-US" w:eastAsia="en-US"/>
              </w:rPr>
              <w:t>1.26 (0.90 - 1.78)</w:t>
            </w:r>
          </w:p>
        </w:tc>
      </w:tr>
      <w:tr w:rsidR="00583B86" w:rsidRPr="00D94B08" w14:paraId="607143B8"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4AAE2C68" w14:textId="77777777" w:rsidR="00583B86" w:rsidRPr="00D94B08" w:rsidRDefault="00583B86" w:rsidP="00FB265E">
            <w:pPr>
              <w:rPr>
                <w:color w:val="000000"/>
                <w:lang w:val="en-US" w:eastAsia="en-US"/>
              </w:rPr>
            </w:pPr>
            <w:r w:rsidRPr="00D94B08">
              <w:rPr>
                <w:color w:val="000000"/>
                <w:sz w:val="22"/>
                <w:szCs w:val="18"/>
                <w:lang w:eastAsia="en-US"/>
              </w:rPr>
              <w:t xml:space="preserve">   65 – 69 </w:t>
            </w:r>
          </w:p>
        </w:tc>
        <w:tc>
          <w:tcPr>
            <w:tcW w:w="1620" w:type="dxa"/>
            <w:tcBorders>
              <w:top w:val="nil"/>
              <w:left w:val="nil"/>
              <w:bottom w:val="single" w:sz="4" w:space="0" w:color="auto"/>
              <w:right w:val="single" w:sz="4" w:space="0" w:color="auto"/>
            </w:tcBorders>
            <w:noWrap/>
            <w:vAlign w:val="bottom"/>
          </w:tcPr>
          <w:p w14:paraId="16EA719E" w14:textId="77777777" w:rsidR="00583B86" w:rsidRPr="00D94B08" w:rsidRDefault="00583B86" w:rsidP="00FB265E">
            <w:pPr>
              <w:jc w:val="center"/>
              <w:rPr>
                <w:color w:val="000000"/>
                <w:lang w:val="en-US" w:eastAsia="en-US"/>
              </w:rPr>
            </w:pPr>
            <w:r w:rsidRPr="00D94B08">
              <w:rPr>
                <w:color w:val="000000"/>
                <w:sz w:val="22"/>
                <w:szCs w:val="22"/>
                <w:lang w:val="en-US" w:eastAsia="en-US"/>
              </w:rPr>
              <w:t>171</w:t>
            </w:r>
          </w:p>
        </w:tc>
        <w:tc>
          <w:tcPr>
            <w:tcW w:w="2160" w:type="dxa"/>
            <w:tcBorders>
              <w:top w:val="nil"/>
              <w:left w:val="nil"/>
              <w:bottom w:val="single" w:sz="4" w:space="0" w:color="auto"/>
              <w:right w:val="single" w:sz="4" w:space="0" w:color="auto"/>
            </w:tcBorders>
            <w:noWrap/>
            <w:vAlign w:val="bottom"/>
          </w:tcPr>
          <w:p w14:paraId="3B157A17" w14:textId="77777777" w:rsidR="00583B86" w:rsidRPr="00D94B08" w:rsidRDefault="00583B86" w:rsidP="00FB265E">
            <w:pPr>
              <w:jc w:val="center"/>
              <w:rPr>
                <w:color w:val="000000"/>
                <w:lang w:val="en-US" w:eastAsia="en-US"/>
              </w:rPr>
            </w:pPr>
            <w:r w:rsidRPr="00D94B08">
              <w:rPr>
                <w:color w:val="000000"/>
                <w:sz w:val="22"/>
                <w:szCs w:val="22"/>
                <w:lang w:val="en-US" w:eastAsia="en-US"/>
              </w:rPr>
              <w:t>3.7</w:t>
            </w:r>
          </w:p>
        </w:tc>
        <w:tc>
          <w:tcPr>
            <w:tcW w:w="1080" w:type="dxa"/>
            <w:tcBorders>
              <w:top w:val="nil"/>
              <w:left w:val="nil"/>
              <w:bottom w:val="single" w:sz="4" w:space="0" w:color="auto"/>
              <w:right w:val="single" w:sz="4" w:space="0" w:color="auto"/>
            </w:tcBorders>
            <w:noWrap/>
            <w:vAlign w:val="bottom"/>
          </w:tcPr>
          <w:p w14:paraId="41F986F8" w14:textId="77777777" w:rsidR="00583B86" w:rsidRPr="00D94B08" w:rsidRDefault="00583B86" w:rsidP="00FB265E">
            <w:pPr>
              <w:jc w:val="center"/>
              <w:rPr>
                <w:color w:val="000000"/>
                <w:lang w:val="en-US" w:eastAsia="en-US"/>
              </w:rPr>
            </w:pPr>
            <w:r w:rsidRPr="00D94B08">
              <w:rPr>
                <w:color w:val="000000"/>
                <w:sz w:val="22"/>
                <w:szCs w:val="22"/>
                <w:lang w:val="en-US" w:eastAsia="en-US"/>
              </w:rPr>
              <w:t>3.1</w:t>
            </w:r>
          </w:p>
        </w:tc>
        <w:tc>
          <w:tcPr>
            <w:tcW w:w="1260" w:type="dxa"/>
            <w:tcBorders>
              <w:top w:val="nil"/>
              <w:left w:val="nil"/>
              <w:bottom w:val="single" w:sz="4" w:space="0" w:color="auto"/>
              <w:right w:val="single" w:sz="4" w:space="0" w:color="auto"/>
            </w:tcBorders>
            <w:noWrap/>
            <w:vAlign w:val="bottom"/>
          </w:tcPr>
          <w:p w14:paraId="1CBB9DEE" w14:textId="77777777" w:rsidR="00583B86" w:rsidRPr="00D94B08" w:rsidRDefault="00583B86" w:rsidP="00FB265E">
            <w:pPr>
              <w:jc w:val="center"/>
              <w:rPr>
                <w:color w:val="000000"/>
                <w:lang w:val="en-US" w:eastAsia="en-US"/>
              </w:rPr>
            </w:pPr>
            <w:r w:rsidRPr="00D94B08">
              <w:rPr>
                <w:color w:val="000000"/>
                <w:sz w:val="22"/>
                <w:szCs w:val="22"/>
                <w:lang w:val="en-US" w:eastAsia="en-US"/>
              </w:rPr>
              <w:t>4.2</w:t>
            </w:r>
          </w:p>
        </w:tc>
        <w:tc>
          <w:tcPr>
            <w:tcW w:w="3600" w:type="dxa"/>
            <w:tcBorders>
              <w:top w:val="nil"/>
              <w:left w:val="nil"/>
              <w:bottom w:val="single" w:sz="4" w:space="0" w:color="auto"/>
              <w:right w:val="single" w:sz="4" w:space="0" w:color="auto"/>
            </w:tcBorders>
            <w:noWrap/>
            <w:vAlign w:val="bottom"/>
          </w:tcPr>
          <w:p w14:paraId="64A67206" w14:textId="77777777" w:rsidR="00583B86" w:rsidRPr="00D94B08" w:rsidRDefault="00583B86" w:rsidP="00FB265E">
            <w:pPr>
              <w:jc w:val="center"/>
              <w:rPr>
                <w:color w:val="000000"/>
                <w:lang w:val="en-US" w:eastAsia="en-US"/>
              </w:rPr>
            </w:pPr>
            <w:r w:rsidRPr="00D94B08">
              <w:rPr>
                <w:color w:val="000000"/>
                <w:sz w:val="22"/>
                <w:szCs w:val="22"/>
                <w:lang w:val="en-US" w:eastAsia="en-US"/>
              </w:rPr>
              <w:t>1.79 (1.29 - 2.47)</w:t>
            </w:r>
          </w:p>
        </w:tc>
      </w:tr>
      <w:tr w:rsidR="00583B86" w:rsidRPr="00D94B08" w14:paraId="10B0E6F2"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743FC720" w14:textId="77777777" w:rsidR="00583B86" w:rsidRPr="00D94B08" w:rsidRDefault="00583B86" w:rsidP="00FB265E">
            <w:pPr>
              <w:rPr>
                <w:color w:val="000000"/>
                <w:lang w:val="en-US" w:eastAsia="en-US"/>
              </w:rPr>
            </w:pPr>
            <w:r w:rsidRPr="00D94B08">
              <w:rPr>
                <w:color w:val="000000"/>
                <w:sz w:val="22"/>
                <w:szCs w:val="18"/>
                <w:lang w:eastAsia="en-US"/>
              </w:rPr>
              <w:t xml:space="preserve">   70 – 74 </w:t>
            </w:r>
          </w:p>
        </w:tc>
        <w:tc>
          <w:tcPr>
            <w:tcW w:w="1620" w:type="dxa"/>
            <w:tcBorders>
              <w:top w:val="nil"/>
              <w:left w:val="nil"/>
              <w:bottom w:val="single" w:sz="4" w:space="0" w:color="auto"/>
              <w:right w:val="single" w:sz="4" w:space="0" w:color="auto"/>
            </w:tcBorders>
            <w:noWrap/>
            <w:vAlign w:val="bottom"/>
          </w:tcPr>
          <w:p w14:paraId="4DC71C4C" w14:textId="77777777" w:rsidR="00583B86" w:rsidRPr="00D94B08" w:rsidRDefault="00583B86" w:rsidP="00FB265E">
            <w:pPr>
              <w:jc w:val="center"/>
              <w:rPr>
                <w:color w:val="000000"/>
                <w:lang w:val="en-US" w:eastAsia="en-US"/>
              </w:rPr>
            </w:pPr>
            <w:r w:rsidRPr="00D94B08">
              <w:rPr>
                <w:color w:val="000000"/>
                <w:sz w:val="22"/>
                <w:szCs w:val="22"/>
                <w:lang w:val="en-US" w:eastAsia="en-US"/>
              </w:rPr>
              <w:t>379</w:t>
            </w:r>
          </w:p>
        </w:tc>
        <w:tc>
          <w:tcPr>
            <w:tcW w:w="2160" w:type="dxa"/>
            <w:tcBorders>
              <w:top w:val="nil"/>
              <w:left w:val="nil"/>
              <w:bottom w:val="single" w:sz="4" w:space="0" w:color="auto"/>
              <w:right w:val="single" w:sz="4" w:space="0" w:color="auto"/>
            </w:tcBorders>
            <w:noWrap/>
            <w:vAlign w:val="bottom"/>
          </w:tcPr>
          <w:p w14:paraId="6A956B3F" w14:textId="77777777" w:rsidR="00583B86" w:rsidRPr="00D94B08" w:rsidRDefault="00583B86" w:rsidP="00FB265E">
            <w:pPr>
              <w:jc w:val="center"/>
              <w:rPr>
                <w:color w:val="000000"/>
                <w:lang w:val="en-US" w:eastAsia="en-US"/>
              </w:rPr>
            </w:pPr>
            <w:r w:rsidRPr="00D94B08">
              <w:rPr>
                <w:color w:val="000000"/>
                <w:sz w:val="22"/>
                <w:szCs w:val="22"/>
                <w:lang w:val="en-US" w:eastAsia="en-US"/>
              </w:rPr>
              <w:t>6.9</w:t>
            </w:r>
          </w:p>
        </w:tc>
        <w:tc>
          <w:tcPr>
            <w:tcW w:w="1080" w:type="dxa"/>
            <w:tcBorders>
              <w:top w:val="nil"/>
              <w:left w:val="nil"/>
              <w:bottom w:val="single" w:sz="4" w:space="0" w:color="auto"/>
              <w:right w:val="single" w:sz="4" w:space="0" w:color="auto"/>
            </w:tcBorders>
            <w:noWrap/>
            <w:vAlign w:val="bottom"/>
          </w:tcPr>
          <w:p w14:paraId="01402F59" w14:textId="77777777" w:rsidR="00583B86" w:rsidRPr="00D94B08" w:rsidRDefault="00583B86" w:rsidP="00FB265E">
            <w:pPr>
              <w:jc w:val="center"/>
              <w:rPr>
                <w:color w:val="000000"/>
                <w:lang w:val="en-US" w:eastAsia="en-US"/>
              </w:rPr>
            </w:pPr>
            <w:r w:rsidRPr="00D94B08">
              <w:rPr>
                <w:color w:val="000000"/>
                <w:sz w:val="22"/>
                <w:szCs w:val="22"/>
                <w:lang w:val="en-US" w:eastAsia="en-US"/>
              </w:rPr>
              <w:t>6.2</w:t>
            </w:r>
          </w:p>
        </w:tc>
        <w:tc>
          <w:tcPr>
            <w:tcW w:w="1260" w:type="dxa"/>
            <w:tcBorders>
              <w:top w:val="nil"/>
              <w:left w:val="nil"/>
              <w:bottom w:val="single" w:sz="4" w:space="0" w:color="auto"/>
              <w:right w:val="single" w:sz="4" w:space="0" w:color="auto"/>
            </w:tcBorders>
            <w:noWrap/>
            <w:vAlign w:val="bottom"/>
          </w:tcPr>
          <w:p w14:paraId="16652C8C" w14:textId="77777777" w:rsidR="00583B86" w:rsidRPr="00D94B08" w:rsidRDefault="00583B86" w:rsidP="00FB265E">
            <w:pPr>
              <w:jc w:val="center"/>
              <w:rPr>
                <w:color w:val="000000"/>
                <w:lang w:val="en-US" w:eastAsia="en-US"/>
              </w:rPr>
            </w:pPr>
            <w:r w:rsidRPr="00D94B08">
              <w:rPr>
                <w:color w:val="000000"/>
                <w:sz w:val="22"/>
                <w:szCs w:val="22"/>
                <w:lang w:val="en-US" w:eastAsia="en-US"/>
              </w:rPr>
              <w:t>7.6</w:t>
            </w:r>
          </w:p>
        </w:tc>
        <w:tc>
          <w:tcPr>
            <w:tcW w:w="3600" w:type="dxa"/>
            <w:tcBorders>
              <w:top w:val="nil"/>
              <w:left w:val="nil"/>
              <w:bottom w:val="single" w:sz="4" w:space="0" w:color="auto"/>
              <w:right w:val="single" w:sz="4" w:space="0" w:color="auto"/>
            </w:tcBorders>
            <w:noWrap/>
            <w:vAlign w:val="bottom"/>
          </w:tcPr>
          <w:p w14:paraId="426AA7B7" w14:textId="77777777" w:rsidR="00583B86" w:rsidRPr="00D94B08" w:rsidRDefault="00583B86" w:rsidP="00FB265E">
            <w:pPr>
              <w:jc w:val="center"/>
              <w:rPr>
                <w:color w:val="000000"/>
                <w:lang w:val="en-US" w:eastAsia="en-US"/>
              </w:rPr>
            </w:pPr>
            <w:r w:rsidRPr="00D94B08">
              <w:rPr>
                <w:color w:val="000000"/>
                <w:sz w:val="22"/>
                <w:szCs w:val="22"/>
                <w:lang w:val="en-US" w:eastAsia="en-US"/>
              </w:rPr>
              <w:t>3.30 (2.43 - 4.48)</w:t>
            </w:r>
          </w:p>
        </w:tc>
      </w:tr>
      <w:tr w:rsidR="00583B86" w:rsidRPr="00D94B08" w14:paraId="061C70BC"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6D988A68" w14:textId="77777777" w:rsidR="00583B86" w:rsidRPr="00D94B08" w:rsidRDefault="00583B86" w:rsidP="00FB265E">
            <w:pPr>
              <w:rPr>
                <w:color w:val="000000"/>
                <w:lang w:val="en-US" w:eastAsia="en-US"/>
              </w:rPr>
            </w:pPr>
            <w:r w:rsidRPr="00D94B08">
              <w:rPr>
                <w:color w:val="000000"/>
                <w:sz w:val="22"/>
                <w:szCs w:val="18"/>
                <w:lang w:eastAsia="en-US"/>
              </w:rPr>
              <w:t xml:space="preserve">   75 – 79 </w:t>
            </w:r>
          </w:p>
        </w:tc>
        <w:tc>
          <w:tcPr>
            <w:tcW w:w="1620" w:type="dxa"/>
            <w:tcBorders>
              <w:top w:val="nil"/>
              <w:left w:val="nil"/>
              <w:bottom w:val="single" w:sz="4" w:space="0" w:color="auto"/>
              <w:right w:val="single" w:sz="4" w:space="0" w:color="auto"/>
            </w:tcBorders>
            <w:noWrap/>
            <w:vAlign w:val="bottom"/>
          </w:tcPr>
          <w:p w14:paraId="1002B657" w14:textId="77777777" w:rsidR="00583B86" w:rsidRPr="00D94B08" w:rsidRDefault="00583B86" w:rsidP="00FB265E">
            <w:pPr>
              <w:jc w:val="center"/>
              <w:rPr>
                <w:color w:val="000000"/>
                <w:lang w:val="en-US" w:eastAsia="en-US"/>
              </w:rPr>
            </w:pPr>
            <w:r w:rsidRPr="00D94B08">
              <w:rPr>
                <w:color w:val="000000"/>
                <w:sz w:val="22"/>
                <w:szCs w:val="22"/>
                <w:lang w:val="en-US" w:eastAsia="en-US"/>
              </w:rPr>
              <w:t>686</w:t>
            </w:r>
          </w:p>
        </w:tc>
        <w:tc>
          <w:tcPr>
            <w:tcW w:w="2160" w:type="dxa"/>
            <w:tcBorders>
              <w:top w:val="nil"/>
              <w:left w:val="nil"/>
              <w:bottom w:val="single" w:sz="4" w:space="0" w:color="auto"/>
              <w:right w:val="single" w:sz="4" w:space="0" w:color="auto"/>
            </w:tcBorders>
            <w:noWrap/>
            <w:vAlign w:val="bottom"/>
          </w:tcPr>
          <w:p w14:paraId="5319D323" w14:textId="77777777" w:rsidR="00583B86" w:rsidRPr="00D94B08" w:rsidRDefault="00583B86" w:rsidP="00FB265E">
            <w:pPr>
              <w:jc w:val="center"/>
              <w:rPr>
                <w:color w:val="000000"/>
                <w:lang w:val="en-US" w:eastAsia="en-US"/>
              </w:rPr>
            </w:pPr>
            <w:r w:rsidRPr="00D94B08">
              <w:rPr>
                <w:color w:val="000000"/>
                <w:sz w:val="22"/>
                <w:szCs w:val="22"/>
                <w:lang w:val="en-US" w:eastAsia="en-US"/>
              </w:rPr>
              <w:t>10.3</w:t>
            </w:r>
          </w:p>
        </w:tc>
        <w:tc>
          <w:tcPr>
            <w:tcW w:w="1080" w:type="dxa"/>
            <w:tcBorders>
              <w:top w:val="nil"/>
              <w:left w:val="nil"/>
              <w:bottom w:val="single" w:sz="4" w:space="0" w:color="auto"/>
              <w:right w:val="single" w:sz="4" w:space="0" w:color="auto"/>
            </w:tcBorders>
            <w:noWrap/>
            <w:vAlign w:val="bottom"/>
          </w:tcPr>
          <w:p w14:paraId="20C5D403" w14:textId="77777777" w:rsidR="00583B86" w:rsidRPr="00D94B08" w:rsidRDefault="00583B86" w:rsidP="00FB265E">
            <w:pPr>
              <w:jc w:val="center"/>
              <w:rPr>
                <w:color w:val="000000"/>
                <w:lang w:val="en-US" w:eastAsia="en-US"/>
              </w:rPr>
            </w:pPr>
            <w:r w:rsidRPr="00D94B08">
              <w:rPr>
                <w:color w:val="000000"/>
                <w:sz w:val="22"/>
                <w:szCs w:val="22"/>
                <w:lang w:val="en-US" w:eastAsia="en-US"/>
              </w:rPr>
              <w:t>9.5</w:t>
            </w:r>
          </w:p>
        </w:tc>
        <w:tc>
          <w:tcPr>
            <w:tcW w:w="1260" w:type="dxa"/>
            <w:tcBorders>
              <w:top w:val="nil"/>
              <w:left w:val="nil"/>
              <w:bottom w:val="single" w:sz="4" w:space="0" w:color="auto"/>
              <w:right w:val="single" w:sz="4" w:space="0" w:color="auto"/>
            </w:tcBorders>
            <w:noWrap/>
            <w:vAlign w:val="bottom"/>
          </w:tcPr>
          <w:p w14:paraId="606338F3" w14:textId="77777777" w:rsidR="00583B86" w:rsidRPr="00D94B08" w:rsidRDefault="00583B86" w:rsidP="00FB265E">
            <w:pPr>
              <w:jc w:val="center"/>
              <w:rPr>
                <w:color w:val="000000"/>
                <w:lang w:val="en-US" w:eastAsia="en-US"/>
              </w:rPr>
            </w:pPr>
            <w:r w:rsidRPr="00D94B08">
              <w:rPr>
                <w:color w:val="000000"/>
                <w:sz w:val="22"/>
                <w:szCs w:val="22"/>
                <w:lang w:val="en-US" w:eastAsia="en-US"/>
              </w:rPr>
              <w:t>11.0</w:t>
            </w:r>
          </w:p>
        </w:tc>
        <w:tc>
          <w:tcPr>
            <w:tcW w:w="3600" w:type="dxa"/>
            <w:tcBorders>
              <w:top w:val="nil"/>
              <w:left w:val="nil"/>
              <w:bottom w:val="single" w:sz="4" w:space="0" w:color="auto"/>
              <w:right w:val="single" w:sz="4" w:space="0" w:color="auto"/>
            </w:tcBorders>
            <w:noWrap/>
            <w:vAlign w:val="bottom"/>
          </w:tcPr>
          <w:p w14:paraId="598CB584" w14:textId="77777777" w:rsidR="00583B86" w:rsidRPr="00D94B08" w:rsidRDefault="00583B86" w:rsidP="00FB265E">
            <w:pPr>
              <w:jc w:val="center"/>
              <w:rPr>
                <w:color w:val="000000"/>
                <w:lang w:val="en-US" w:eastAsia="en-US"/>
              </w:rPr>
            </w:pPr>
            <w:r w:rsidRPr="00D94B08">
              <w:rPr>
                <w:color w:val="000000"/>
                <w:sz w:val="22"/>
                <w:szCs w:val="22"/>
                <w:lang w:val="en-US" w:eastAsia="en-US"/>
              </w:rPr>
              <w:t>4.83 (3.58 - 6.51)</w:t>
            </w:r>
          </w:p>
        </w:tc>
      </w:tr>
      <w:tr w:rsidR="00583B86" w:rsidRPr="00D94B08" w14:paraId="7CEAFAA5"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0C1D7F5E" w14:textId="77777777" w:rsidR="00583B86" w:rsidRPr="00D94B08" w:rsidRDefault="00583B86" w:rsidP="00FB265E">
            <w:pPr>
              <w:rPr>
                <w:color w:val="000000"/>
                <w:lang w:val="en-US" w:eastAsia="en-US"/>
              </w:rPr>
            </w:pPr>
            <w:r w:rsidRPr="00D94B08">
              <w:rPr>
                <w:color w:val="000000"/>
                <w:sz w:val="22"/>
                <w:szCs w:val="18"/>
                <w:lang w:eastAsia="en-US"/>
              </w:rPr>
              <w:t xml:space="preserve">   80 – 84 </w:t>
            </w:r>
          </w:p>
        </w:tc>
        <w:tc>
          <w:tcPr>
            <w:tcW w:w="1620" w:type="dxa"/>
            <w:tcBorders>
              <w:top w:val="nil"/>
              <w:left w:val="nil"/>
              <w:bottom w:val="single" w:sz="4" w:space="0" w:color="auto"/>
              <w:right w:val="single" w:sz="4" w:space="0" w:color="auto"/>
            </w:tcBorders>
            <w:noWrap/>
            <w:vAlign w:val="bottom"/>
          </w:tcPr>
          <w:p w14:paraId="62ABECEC" w14:textId="77777777" w:rsidR="00583B86" w:rsidRPr="00D94B08" w:rsidRDefault="00583B86" w:rsidP="00FB265E">
            <w:pPr>
              <w:jc w:val="center"/>
              <w:rPr>
                <w:color w:val="000000"/>
                <w:lang w:val="en-US" w:eastAsia="en-US"/>
              </w:rPr>
            </w:pPr>
            <w:r w:rsidRPr="00D94B08">
              <w:rPr>
                <w:color w:val="000000"/>
                <w:sz w:val="22"/>
                <w:szCs w:val="22"/>
                <w:lang w:val="en-US" w:eastAsia="en-US"/>
              </w:rPr>
              <w:t>1250</w:t>
            </w:r>
          </w:p>
        </w:tc>
        <w:tc>
          <w:tcPr>
            <w:tcW w:w="2160" w:type="dxa"/>
            <w:tcBorders>
              <w:top w:val="nil"/>
              <w:left w:val="nil"/>
              <w:bottom w:val="single" w:sz="4" w:space="0" w:color="auto"/>
              <w:right w:val="single" w:sz="4" w:space="0" w:color="auto"/>
            </w:tcBorders>
            <w:noWrap/>
            <w:vAlign w:val="bottom"/>
          </w:tcPr>
          <w:p w14:paraId="78AD0747" w14:textId="77777777" w:rsidR="00583B86" w:rsidRPr="00D94B08" w:rsidRDefault="00583B86" w:rsidP="00FB265E">
            <w:pPr>
              <w:jc w:val="center"/>
              <w:rPr>
                <w:color w:val="000000"/>
                <w:lang w:val="en-US" w:eastAsia="en-US"/>
              </w:rPr>
            </w:pPr>
            <w:r w:rsidRPr="00D94B08">
              <w:rPr>
                <w:color w:val="000000"/>
                <w:sz w:val="22"/>
                <w:szCs w:val="22"/>
                <w:lang w:val="en-US" w:eastAsia="en-US"/>
              </w:rPr>
              <w:t>17.2</w:t>
            </w:r>
          </w:p>
        </w:tc>
        <w:tc>
          <w:tcPr>
            <w:tcW w:w="1080" w:type="dxa"/>
            <w:tcBorders>
              <w:top w:val="nil"/>
              <w:left w:val="nil"/>
              <w:bottom w:val="single" w:sz="4" w:space="0" w:color="auto"/>
              <w:right w:val="single" w:sz="4" w:space="0" w:color="auto"/>
            </w:tcBorders>
            <w:noWrap/>
            <w:vAlign w:val="bottom"/>
          </w:tcPr>
          <w:p w14:paraId="20FD1E10" w14:textId="77777777" w:rsidR="00583B86" w:rsidRPr="00D94B08" w:rsidRDefault="00583B86" w:rsidP="00FB265E">
            <w:pPr>
              <w:jc w:val="center"/>
              <w:rPr>
                <w:color w:val="000000"/>
                <w:lang w:val="en-US" w:eastAsia="en-US"/>
              </w:rPr>
            </w:pPr>
            <w:r w:rsidRPr="00D94B08">
              <w:rPr>
                <w:color w:val="000000"/>
                <w:sz w:val="22"/>
                <w:szCs w:val="22"/>
                <w:lang w:val="en-US" w:eastAsia="en-US"/>
              </w:rPr>
              <w:t>16.3</w:t>
            </w:r>
          </w:p>
        </w:tc>
        <w:tc>
          <w:tcPr>
            <w:tcW w:w="1260" w:type="dxa"/>
            <w:tcBorders>
              <w:top w:val="nil"/>
              <w:left w:val="nil"/>
              <w:bottom w:val="single" w:sz="4" w:space="0" w:color="auto"/>
              <w:right w:val="single" w:sz="4" w:space="0" w:color="auto"/>
            </w:tcBorders>
            <w:noWrap/>
            <w:vAlign w:val="bottom"/>
          </w:tcPr>
          <w:p w14:paraId="29771B9D" w14:textId="77777777" w:rsidR="00583B86" w:rsidRPr="00D94B08" w:rsidRDefault="00583B86" w:rsidP="00FB265E">
            <w:pPr>
              <w:jc w:val="center"/>
              <w:rPr>
                <w:color w:val="000000"/>
                <w:lang w:val="en-US" w:eastAsia="en-US"/>
              </w:rPr>
            </w:pPr>
            <w:r w:rsidRPr="00D94B08">
              <w:rPr>
                <w:color w:val="000000"/>
                <w:sz w:val="22"/>
                <w:szCs w:val="22"/>
                <w:lang w:val="en-US" w:eastAsia="en-US"/>
              </w:rPr>
              <w:t>18.2</w:t>
            </w:r>
          </w:p>
        </w:tc>
        <w:tc>
          <w:tcPr>
            <w:tcW w:w="3600" w:type="dxa"/>
            <w:tcBorders>
              <w:top w:val="nil"/>
              <w:left w:val="nil"/>
              <w:bottom w:val="single" w:sz="4" w:space="0" w:color="auto"/>
              <w:right w:val="single" w:sz="4" w:space="0" w:color="auto"/>
            </w:tcBorders>
            <w:noWrap/>
            <w:vAlign w:val="bottom"/>
          </w:tcPr>
          <w:p w14:paraId="596B1AAB" w14:textId="77777777" w:rsidR="00583B86" w:rsidRPr="00D94B08" w:rsidRDefault="00583B86" w:rsidP="00FB265E">
            <w:pPr>
              <w:jc w:val="center"/>
              <w:rPr>
                <w:color w:val="000000"/>
                <w:lang w:val="en-US" w:eastAsia="en-US"/>
              </w:rPr>
            </w:pPr>
            <w:r w:rsidRPr="00D94B08">
              <w:rPr>
                <w:color w:val="000000"/>
                <w:sz w:val="22"/>
                <w:szCs w:val="22"/>
                <w:lang w:val="en-US" w:eastAsia="en-US"/>
              </w:rPr>
              <w:t>7.99 (5.95 - 10.7)</w:t>
            </w:r>
          </w:p>
        </w:tc>
      </w:tr>
      <w:tr w:rsidR="00583B86" w:rsidRPr="00D94B08" w14:paraId="01D35D55"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5D9E74B1" w14:textId="77777777" w:rsidR="00583B86" w:rsidRPr="00D94B08" w:rsidRDefault="00583B86" w:rsidP="00FB265E">
            <w:pPr>
              <w:rPr>
                <w:color w:val="000000"/>
                <w:lang w:val="en-US" w:eastAsia="en-US"/>
              </w:rPr>
            </w:pPr>
            <w:r w:rsidRPr="00D94B08">
              <w:rPr>
                <w:color w:val="000000"/>
                <w:sz w:val="22"/>
                <w:szCs w:val="18"/>
                <w:lang w:eastAsia="en-US"/>
              </w:rPr>
              <w:t xml:space="preserve">   85 – 89  </w:t>
            </w:r>
          </w:p>
        </w:tc>
        <w:tc>
          <w:tcPr>
            <w:tcW w:w="1620" w:type="dxa"/>
            <w:tcBorders>
              <w:top w:val="nil"/>
              <w:left w:val="nil"/>
              <w:bottom w:val="single" w:sz="4" w:space="0" w:color="auto"/>
              <w:right w:val="single" w:sz="4" w:space="0" w:color="auto"/>
            </w:tcBorders>
            <w:noWrap/>
            <w:vAlign w:val="bottom"/>
          </w:tcPr>
          <w:p w14:paraId="22EF81BF" w14:textId="77777777" w:rsidR="00583B86" w:rsidRPr="00D94B08" w:rsidRDefault="00583B86" w:rsidP="00FB265E">
            <w:pPr>
              <w:jc w:val="center"/>
              <w:rPr>
                <w:color w:val="000000"/>
                <w:lang w:val="en-US" w:eastAsia="en-US"/>
              </w:rPr>
            </w:pPr>
            <w:r w:rsidRPr="00D94B08">
              <w:rPr>
                <w:color w:val="000000"/>
                <w:sz w:val="22"/>
                <w:szCs w:val="22"/>
                <w:lang w:val="en-US" w:eastAsia="en-US"/>
              </w:rPr>
              <w:t>1704</w:t>
            </w:r>
          </w:p>
        </w:tc>
        <w:tc>
          <w:tcPr>
            <w:tcW w:w="2160" w:type="dxa"/>
            <w:tcBorders>
              <w:top w:val="nil"/>
              <w:left w:val="nil"/>
              <w:bottom w:val="single" w:sz="4" w:space="0" w:color="auto"/>
              <w:right w:val="single" w:sz="4" w:space="0" w:color="auto"/>
            </w:tcBorders>
            <w:noWrap/>
            <w:vAlign w:val="bottom"/>
          </w:tcPr>
          <w:p w14:paraId="59512EE3" w14:textId="77777777" w:rsidR="00583B86" w:rsidRPr="00D94B08" w:rsidRDefault="00583B86" w:rsidP="00FB265E">
            <w:pPr>
              <w:jc w:val="center"/>
              <w:rPr>
                <w:color w:val="000000"/>
                <w:lang w:val="en-US" w:eastAsia="en-US"/>
              </w:rPr>
            </w:pPr>
            <w:r w:rsidRPr="00D94B08">
              <w:rPr>
                <w:color w:val="000000"/>
                <w:sz w:val="22"/>
                <w:szCs w:val="22"/>
                <w:lang w:val="en-US" w:eastAsia="en-US"/>
              </w:rPr>
              <w:t>27.9</w:t>
            </w:r>
          </w:p>
        </w:tc>
        <w:tc>
          <w:tcPr>
            <w:tcW w:w="1080" w:type="dxa"/>
            <w:tcBorders>
              <w:top w:val="nil"/>
              <w:left w:val="nil"/>
              <w:bottom w:val="single" w:sz="4" w:space="0" w:color="auto"/>
              <w:right w:val="single" w:sz="4" w:space="0" w:color="auto"/>
            </w:tcBorders>
            <w:noWrap/>
            <w:vAlign w:val="bottom"/>
          </w:tcPr>
          <w:p w14:paraId="1A80A4A4" w14:textId="77777777" w:rsidR="00583B86" w:rsidRPr="00D94B08" w:rsidRDefault="00583B86" w:rsidP="00FB265E">
            <w:pPr>
              <w:jc w:val="center"/>
              <w:rPr>
                <w:color w:val="000000"/>
                <w:lang w:val="en-US" w:eastAsia="en-US"/>
              </w:rPr>
            </w:pPr>
            <w:r w:rsidRPr="00D94B08">
              <w:rPr>
                <w:color w:val="000000"/>
                <w:sz w:val="22"/>
                <w:szCs w:val="22"/>
                <w:lang w:val="en-US" w:eastAsia="en-US"/>
              </w:rPr>
              <w:t>26.6</w:t>
            </w:r>
          </w:p>
        </w:tc>
        <w:tc>
          <w:tcPr>
            <w:tcW w:w="1260" w:type="dxa"/>
            <w:tcBorders>
              <w:top w:val="nil"/>
              <w:left w:val="nil"/>
              <w:bottom w:val="single" w:sz="4" w:space="0" w:color="auto"/>
              <w:right w:val="single" w:sz="4" w:space="0" w:color="auto"/>
            </w:tcBorders>
            <w:noWrap/>
            <w:vAlign w:val="bottom"/>
          </w:tcPr>
          <w:p w14:paraId="5438E9D0" w14:textId="77777777" w:rsidR="00583B86" w:rsidRPr="00D94B08" w:rsidRDefault="00583B86" w:rsidP="00FB265E">
            <w:pPr>
              <w:jc w:val="center"/>
              <w:rPr>
                <w:color w:val="000000"/>
                <w:lang w:val="en-US" w:eastAsia="en-US"/>
              </w:rPr>
            </w:pPr>
            <w:r w:rsidRPr="00D94B08">
              <w:rPr>
                <w:color w:val="000000"/>
                <w:sz w:val="22"/>
                <w:szCs w:val="22"/>
                <w:lang w:val="en-US" w:eastAsia="en-US"/>
              </w:rPr>
              <w:t>29.2</w:t>
            </w:r>
          </w:p>
        </w:tc>
        <w:tc>
          <w:tcPr>
            <w:tcW w:w="3600" w:type="dxa"/>
            <w:tcBorders>
              <w:top w:val="nil"/>
              <w:left w:val="nil"/>
              <w:bottom w:val="single" w:sz="4" w:space="0" w:color="auto"/>
              <w:right w:val="single" w:sz="4" w:space="0" w:color="auto"/>
            </w:tcBorders>
            <w:noWrap/>
            <w:vAlign w:val="bottom"/>
          </w:tcPr>
          <w:p w14:paraId="266EC048" w14:textId="77777777" w:rsidR="00583B86" w:rsidRPr="00D94B08" w:rsidRDefault="00583B86" w:rsidP="00FB265E">
            <w:pPr>
              <w:jc w:val="center"/>
              <w:rPr>
                <w:color w:val="000000"/>
                <w:lang w:val="en-US" w:eastAsia="en-US"/>
              </w:rPr>
            </w:pPr>
            <w:r w:rsidRPr="00D94B08">
              <w:rPr>
                <w:color w:val="000000"/>
                <w:sz w:val="22"/>
                <w:szCs w:val="22"/>
                <w:lang w:val="en-US" w:eastAsia="en-US"/>
              </w:rPr>
              <w:t>12.9 (9.59 -17.2)</w:t>
            </w:r>
          </w:p>
        </w:tc>
      </w:tr>
      <w:tr w:rsidR="00583B86" w:rsidRPr="00D94B08" w14:paraId="6D123A72" w14:textId="77777777" w:rsidTr="00FB265E">
        <w:trPr>
          <w:trHeight w:val="300"/>
        </w:trPr>
        <w:tc>
          <w:tcPr>
            <w:tcW w:w="2355" w:type="dxa"/>
            <w:tcBorders>
              <w:top w:val="nil"/>
              <w:left w:val="single" w:sz="4" w:space="0" w:color="auto"/>
              <w:bottom w:val="single" w:sz="4" w:space="0" w:color="auto"/>
              <w:right w:val="single" w:sz="4" w:space="0" w:color="auto"/>
            </w:tcBorders>
            <w:vAlign w:val="center"/>
          </w:tcPr>
          <w:p w14:paraId="24B02AD2" w14:textId="77777777" w:rsidR="00583B86" w:rsidRPr="00D94B08" w:rsidRDefault="00583B86" w:rsidP="00FB265E">
            <w:pPr>
              <w:rPr>
                <w:color w:val="000000"/>
                <w:lang w:val="en-US" w:eastAsia="en-US"/>
              </w:rPr>
            </w:pPr>
            <w:r w:rsidRPr="00D94B08">
              <w:rPr>
                <w:color w:val="000000"/>
                <w:sz w:val="22"/>
                <w:szCs w:val="18"/>
                <w:lang w:eastAsia="en-US"/>
              </w:rPr>
              <w:t xml:space="preserve">   90 +</w:t>
            </w:r>
          </w:p>
        </w:tc>
        <w:tc>
          <w:tcPr>
            <w:tcW w:w="1620" w:type="dxa"/>
            <w:tcBorders>
              <w:top w:val="nil"/>
              <w:left w:val="nil"/>
              <w:bottom w:val="single" w:sz="4" w:space="0" w:color="auto"/>
              <w:right w:val="single" w:sz="4" w:space="0" w:color="auto"/>
            </w:tcBorders>
            <w:noWrap/>
            <w:vAlign w:val="bottom"/>
          </w:tcPr>
          <w:p w14:paraId="156782D3" w14:textId="77777777" w:rsidR="00583B86" w:rsidRPr="00D94B08" w:rsidRDefault="00583B86" w:rsidP="00FB265E">
            <w:pPr>
              <w:jc w:val="center"/>
              <w:rPr>
                <w:color w:val="000000"/>
                <w:lang w:val="en-US" w:eastAsia="en-US"/>
              </w:rPr>
            </w:pPr>
            <w:r w:rsidRPr="00D94B08">
              <w:rPr>
                <w:color w:val="000000"/>
                <w:sz w:val="22"/>
                <w:szCs w:val="22"/>
                <w:lang w:val="en-US" w:eastAsia="en-US"/>
              </w:rPr>
              <w:t>2152</w:t>
            </w:r>
          </w:p>
        </w:tc>
        <w:tc>
          <w:tcPr>
            <w:tcW w:w="2160" w:type="dxa"/>
            <w:tcBorders>
              <w:top w:val="nil"/>
              <w:left w:val="nil"/>
              <w:bottom w:val="single" w:sz="4" w:space="0" w:color="auto"/>
              <w:right w:val="single" w:sz="4" w:space="0" w:color="auto"/>
            </w:tcBorders>
            <w:noWrap/>
            <w:vAlign w:val="bottom"/>
          </w:tcPr>
          <w:p w14:paraId="3F129C8A" w14:textId="77777777" w:rsidR="00583B86" w:rsidRPr="00D94B08" w:rsidRDefault="00583B86" w:rsidP="00FB265E">
            <w:pPr>
              <w:jc w:val="center"/>
              <w:rPr>
                <w:color w:val="000000"/>
                <w:lang w:val="en-US" w:eastAsia="en-US"/>
              </w:rPr>
            </w:pPr>
            <w:r w:rsidRPr="00D94B08">
              <w:rPr>
                <w:color w:val="000000"/>
                <w:sz w:val="22"/>
                <w:szCs w:val="22"/>
                <w:lang w:val="en-US" w:eastAsia="en-US"/>
              </w:rPr>
              <w:t>50.2</w:t>
            </w:r>
          </w:p>
        </w:tc>
        <w:tc>
          <w:tcPr>
            <w:tcW w:w="1080" w:type="dxa"/>
            <w:tcBorders>
              <w:top w:val="nil"/>
              <w:left w:val="nil"/>
              <w:bottom w:val="single" w:sz="4" w:space="0" w:color="auto"/>
              <w:right w:val="single" w:sz="4" w:space="0" w:color="auto"/>
            </w:tcBorders>
            <w:noWrap/>
            <w:vAlign w:val="bottom"/>
          </w:tcPr>
          <w:p w14:paraId="480C2356" w14:textId="77777777" w:rsidR="00583B86" w:rsidRPr="00D94B08" w:rsidRDefault="00583B86" w:rsidP="00FB265E">
            <w:pPr>
              <w:jc w:val="center"/>
              <w:rPr>
                <w:color w:val="000000"/>
                <w:lang w:val="en-US" w:eastAsia="en-US"/>
              </w:rPr>
            </w:pPr>
            <w:r w:rsidRPr="00D94B08">
              <w:rPr>
                <w:color w:val="000000"/>
                <w:sz w:val="22"/>
                <w:szCs w:val="22"/>
                <w:lang w:val="en-US" w:eastAsia="en-US"/>
              </w:rPr>
              <w:t>48.1</w:t>
            </w:r>
          </w:p>
        </w:tc>
        <w:tc>
          <w:tcPr>
            <w:tcW w:w="1260" w:type="dxa"/>
            <w:tcBorders>
              <w:top w:val="nil"/>
              <w:left w:val="nil"/>
              <w:bottom w:val="single" w:sz="4" w:space="0" w:color="auto"/>
              <w:right w:val="single" w:sz="4" w:space="0" w:color="auto"/>
            </w:tcBorders>
            <w:noWrap/>
            <w:vAlign w:val="bottom"/>
          </w:tcPr>
          <w:p w14:paraId="14B485D8" w14:textId="77777777" w:rsidR="00583B86" w:rsidRPr="00D94B08" w:rsidRDefault="00583B86" w:rsidP="00FB265E">
            <w:pPr>
              <w:jc w:val="center"/>
              <w:rPr>
                <w:color w:val="000000"/>
                <w:lang w:val="en-US" w:eastAsia="en-US"/>
              </w:rPr>
            </w:pPr>
            <w:r w:rsidRPr="00D94B08">
              <w:rPr>
                <w:color w:val="000000"/>
                <w:sz w:val="22"/>
                <w:szCs w:val="22"/>
                <w:lang w:val="en-US" w:eastAsia="en-US"/>
              </w:rPr>
              <w:t>52.4</w:t>
            </w:r>
          </w:p>
        </w:tc>
        <w:tc>
          <w:tcPr>
            <w:tcW w:w="3600" w:type="dxa"/>
            <w:tcBorders>
              <w:top w:val="nil"/>
              <w:left w:val="nil"/>
              <w:bottom w:val="single" w:sz="4" w:space="0" w:color="auto"/>
              <w:right w:val="single" w:sz="4" w:space="0" w:color="auto"/>
            </w:tcBorders>
            <w:noWrap/>
            <w:vAlign w:val="bottom"/>
          </w:tcPr>
          <w:p w14:paraId="6C7F5CA6" w14:textId="77777777" w:rsidR="00583B86" w:rsidRPr="00D94B08" w:rsidRDefault="00583B86" w:rsidP="00854890">
            <w:pPr>
              <w:jc w:val="center"/>
              <w:rPr>
                <w:color w:val="000000"/>
                <w:lang w:val="en-US" w:eastAsia="en-US"/>
              </w:rPr>
            </w:pPr>
            <w:r w:rsidRPr="00D94B08">
              <w:rPr>
                <w:color w:val="000000"/>
                <w:sz w:val="22"/>
                <w:szCs w:val="22"/>
                <w:lang w:val="en-US" w:eastAsia="en-US"/>
              </w:rPr>
              <w:t>22.5 (16.8 - 30.1)</w:t>
            </w:r>
          </w:p>
        </w:tc>
      </w:tr>
      <w:tr w:rsidR="00583B86" w:rsidRPr="00D94B08" w14:paraId="207B623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F592837" w14:textId="77777777" w:rsidR="00583B86" w:rsidRPr="00D94B08" w:rsidRDefault="00583B86" w:rsidP="00FB265E">
            <w:pPr>
              <w:rPr>
                <w:color w:val="000000"/>
                <w:lang w:val="en-US" w:eastAsia="en-US"/>
              </w:rPr>
            </w:pPr>
            <w:r w:rsidRPr="00D94B08">
              <w:rPr>
                <w:color w:val="000000"/>
                <w:sz w:val="22"/>
                <w:szCs w:val="22"/>
                <w:lang w:val="en-US" w:eastAsia="en-US"/>
              </w:rPr>
              <w:t>By ethnicity</w:t>
            </w:r>
          </w:p>
        </w:tc>
        <w:tc>
          <w:tcPr>
            <w:tcW w:w="1620" w:type="dxa"/>
            <w:tcBorders>
              <w:top w:val="nil"/>
              <w:left w:val="nil"/>
              <w:bottom w:val="single" w:sz="4" w:space="0" w:color="auto"/>
              <w:right w:val="single" w:sz="4" w:space="0" w:color="auto"/>
            </w:tcBorders>
            <w:noWrap/>
            <w:vAlign w:val="bottom"/>
          </w:tcPr>
          <w:p w14:paraId="4A68A91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2C2C7D00"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41C43D12"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2067ADBD"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4480E91A"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37CB048C"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387299D0" w14:textId="77777777" w:rsidR="00583B86" w:rsidRPr="00D94B08" w:rsidRDefault="00583B86" w:rsidP="00FB265E">
            <w:pPr>
              <w:rPr>
                <w:color w:val="000000"/>
                <w:lang w:val="en-US" w:eastAsia="en-US"/>
              </w:rPr>
            </w:pPr>
            <w:r w:rsidRPr="00D94B08">
              <w:rPr>
                <w:color w:val="000000"/>
                <w:sz w:val="22"/>
                <w:szCs w:val="22"/>
                <w:lang w:val="en-US" w:eastAsia="en-US"/>
              </w:rPr>
              <w:t xml:space="preserve">   White</w:t>
            </w:r>
          </w:p>
        </w:tc>
        <w:tc>
          <w:tcPr>
            <w:tcW w:w="1620" w:type="dxa"/>
            <w:tcBorders>
              <w:top w:val="nil"/>
              <w:left w:val="nil"/>
              <w:bottom w:val="single" w:sz="4" w:space="0" w:color="auto"/>
              <w:right w:val="single" w:sz="4" w:space="0" w:color="auto"/>
            </w:tcBorders>
            <w:noWrap/>
            <w:vAlign w:val="bottom"/>
          </w:tcPr>
          <w:p w14:paraId="1F839A41" w14:textId="77777777" w:rsidR="00583B86" w:rsidRPr="00D94B08" w:rsidRDefault="00583B86" w:rsidP="00FB265E">
            <w:pPr>
              <w:jc w:val="center"/>
              <w:rPr>
                <w:color w:val="000000"/>
                <w:lang w:val="en-US" w:eastAsia="en-US"/>
              </w:rPr>
            </w:pPr>
            <w:r w:rsidRPr="00D94B08">
              <w:rPr>
                <w:color w:val="000000"/>
                <w:sz w:val="22"/>
                <w:szCs w:val="22"/>
                <w:lang w:val="en-US" w:eastAsia="en-US"/>
              </w:rPr>
              <w:t>5180</w:t>
            </w:r>
          </w:p>
        </w:tc>
        <w:tc>
          <w:tcPr>
            <w:tcW w:w="2160" w:type="dxa"/>
            <w:tcBorders>
              <w:top w:val="nil"/>
              <w:left w:val="nil"/>
              <w:bottom w:val="single" w:sz="4" w:space="0" w:color="auto"/>
              <w:right w:val="single" w:sz="4" w:space="0" w:color="auto"/>
            </w:tcBorders>
            <w:noWrap/>
            <w:vAlign w:val="bottom"/>
          </w:tcPr>
          <w:p w14:paraId="16C1735A" w14:textId="77777777" w:rsidR="00583B86" w:rsidRPr="00D94B08" w:rsidRDefault="00583B86" w:rsidP="00FB265E">
            <w:pPr>
              <w:jc w:val="center"/>
              <w:rPr>
                <w:color w:val="000000"/>
                <w:lang w:val="en-US" w:eastAsia="en-US"/>
              </w:rPr>
            </w:pPr>
            <w:r w:rsidRPr="00D94B08">
              <w:rPr>
                <w:color w:val="000000"/>
                <w:sz w:val="22"/>
                <w:szCs w:val="22"/>
                <w:lang w:val="en-US" w:eastAsia="en-US"/>
              </w:rPr>
              <w:t>13.7</w:t>
            </w:r>
          </w:p>
        </w:tc>
        <w:tc>
          <w:tcPr>
            <w:tcW w:w="1080" w:type="dxa"/>
            <w:tcBorders>
              <w:top w:val="nil"/>
              <w:left w:val="nil"/>
              <w:bottom w:val="single" w:sz="4" w:space="0" w:color="auto"/>
              <w:right w:val="single" w:sz="4" w:space="0" w:color="auto"/>
            </w:tcBorders>
            <w:noWrap/>
            <w:vAlign w:val="bottom"/>
          </w:tcPr>
          <w:p w14:paraId="1672FEF7" w14:textId="77777777" w:rsidR="00583B86" w:rsidRPr="00D94B08" w:rsidRDefault="00583B86" w:rsidP="00FB265E">
            <w:pPr>
              <w:jc w:val="center"/>
              <w:rPr>
                <w:color w:val="000000"/>
                <w:lang w:val="en-US" w:eastAsia="en-US"/>
              </w:rPr>
            </w:pPr>
            <w:r w:rsidRPr="00D94B08">
              <w:rPr>
                <w:color w:val="000000"/>
                <w:sz w:val="22"/>
                <w:szCs w:val="22"/>
                <w:lang w:val="en-US" w:eastAsia="en-US"/>
              </w:rPr>
              <w:t>13.3</w:t>
            </w:r>
          </w:p>
        </w:tc>
        <w:tc>
          <w:tcPr>
            <w:tcW w:w="1260" w:type="dxa"/>
            <w:tcBorders>
              <w:top w:val="nil"/>
              <w:left w:val="nil"/>
              <w:bottom w:val="single" w:sz="4" w:space="0" w:color="auto"/>
              <w:right w:val="single" w:sz="4" w:space="0" w:color="auto"/>
            </w:tcBorders>
            <w:noWrap/>
            <w:vAlign w:val="bottom"/>
          </w:tcPr>
          <w:p w14:paraId="54AC1735" w14:textId="77777777" w:rsidR="00583B86" w:rsidRPr="00D94B08" w:rsidRDefault="00583B86" w:rsidP="00FB265E">
            <w:pPr>
              <w:jc w:val="center"/>
              <w:rPr>
                <w:color w:val="000000"/>
                <w:lang w:val="en-US" w:eastAsia="en-US"/>
              </w:rPr>
            </w:pPr>
            <w:r w:rsidRPr="00D94B08">
              <w:rPr>
                <w:color w:val="000000"/>
                <w:sz w:val="22"/>
                <w:szCs w:val="22"/>
                <w:lang w:val="en-US" w:eastAsia="en-US"/>
              </w:rPr>
              <w:t>14.0</w:t>
            </w:r>
          </w:p>
        </w:tc>
        <w:tc>
          <w:tcPr>
            <w:tcW w:w="3600" w:type="dxa"/>
            <w:tcBorders>
              <w:top w:val="nil"/>
              <w:left w:val="nil"/>
              <w:bottom w:val="single" w:sz="4" w:space="0" w:color="auto"/>
              <w:right w:val="single" w:sz="4" w:space="0" w:color="auto"/>
            </w:tcBorders>
            <w:noWrap/>
            <w:vAlign w:val="bottom"/>
          </w:tcPr>
          <w:p w14:paraId="69031F0C"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49E9C6C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027A4C00" w14:textId="77777777" w:rsidR="00583B86" w:rsidRPr="00D94B08" w:rsidRDefault="00583B86" w:rsidP="00FB265E">
            <w:pPr>
              <w:rPr>
                <w:color w:val="000000"/>
                <w:lang w:val="en-US" w:eastAsia="en-US"/>
              </w:rPr>
            </w:pPr>
            <w:r w:rsidRPr="00D94B08">
              <w:rPr>
                <w:color w:val="000000"/>
                <w:sz w:val="22"/>
                <w:szCs w:val="22"/>
                <w:lang w:val="en-US" w:eastAsia="en-US"/>
              </w:rPr>
              <w:t xml:space="preserve">   Black</w:t>
            </w:r>
          </w:p>
        </w:tc>
        <w:tc>
          <w:tcPr>
            <w:tcW w:w="1620" w:type="dxa"/>
            <w:tcBorders>
              <w:top w:val="nil"/>
              <w:left w:val="nil"/>
              <w:bottom w:val="single" w:sz="4" w:space="0" w:color="auto"/>
              <w:right w:val="single" w:sz="4" w:space="0" w:color="auto"/>
            </w:tcBorders>
            <w:noWrap/>
            <w:vAlign w:val="bottom"/>
          </w:tcPr>
          <w:p w14:paraId="28C24703" w14:textId="77777777" w:rsidR="00583B86" w:rsidRPr="00D94B08" w:rsidRDefault="00583B86" w:rsidP="00FB265E">
            <w:pPr>
              <w:jc w:val="center"/>
              <w:rPr>
                <w:color w:val="000000"/>
                <w:lang w:val="en-US" w:eastAsia="en-US"/>
              </w:rPr>
            </w:pPr>
            <w:r w:rsidRPr="00D94B08">
              <w:rPr>
                <w:color w:val="000000"/>
                <w:sz w:val="22"/>
                <w:szCs w:val="22"/>
                <w:lang w:val="en-US" w:eastAsia="en-US"/>
              </w:rPr>
              <w:t>10</w:t>
            </w:r>
          </w:p>
        </w:tc>
        <w:tc>
          <w:tcPr>
            <w:tcW w:w="2160" w:type="dxa"/>
            <w:tcBorders>
              <w:top w:val="nil"/>
              <w:left w:val="nil"/>
              <w:bottom w:val="single" w:sz="4" w:space="0" w:color="auto"/>
              <w:right w:val="single" w:sz="4" w:space="0" w:color="auto"/>
            </w:tcBorders>
            <w:noWrap/>
            <w:vAlign w:val="bottom"/>
          </w:tcPr>
          <w:p w14:paraId="402AFB9C" w14:textId="77777777" w:rsidR="00583B86" w:rsidRPr="00D94B08" w:rsidRDefault="00583B86" w:rsidP="00FB265E">
            <w:pPr>
              <w:jc w:val="center"/>
              <w:rPr>
                <w:color w:val="000000"/>
                <w:lang w:val="en-US" w:eastAsia="en-US"/>
              </w:rPr>
            </w:pPr>
            <w:r w:rsidRPr="00D94B08">
              <w:rPr>
                <w:color w:val="000000"/>
                <w:sz w:val="22"/>
                <w:szCs w:val="22"/>
                <w:lang w:val="en-US" w:eastAsia="en-US"/>
              </w:rPr>
              <w:t>12.8</w:t>
            </w:r>
          </w:p>
        </w:tc>
        <w:tc>
          <w:tcPr>
            <w:tcW w:w="1080" w:type="dxa"/>
            <w:tcBorders>
              <w:top w:val="nil"/>
              <w:left w:val="nil"/>
              <w:bottom w:val="single" w:sz="4" w:space="0" w:color="auto"/>
              <w:right w:val="single" w:sz="4" w:space="0" w:color="auto"/>
            </w:tcBorders>
            <w:noWrap/>
            <w:vAlign w:val="bottom"/>
          </w:tcPr>
          <w:p w14:paraId="4C035F05" w14:textId="77777777" w:rsidR="00583B86" w:rsidRPr="00D94B08" w:rsidRDefault="00583B86" w:rsidP="00FB265E">
            <w:pPr>
              <w:jc w:val="center"/>
              <w:rPr>
                <w:color w:val="000000"/>
                <w:lang w:val="en-US" w:eastAsia="en-US"/>
              </w:rPr>
            </w:pPr>
            <w:r w:rsidRPr="00D94B08">
              <w:rPr>
                <w:color w:val="000000"/>
                <w:sz w:val="22"/>
                <w:szCs w:val="22"/>
                <w:lang w:val="en-US" w:eastAsia="en-US"/>
              </w:rPr>
              <w:t>4.9</w:t>
            </w:r>
          </w:p>
        </w:tc>
        <w:tc>
          <w:tcPr>
            <w:tcW w:w="1260" w:type="dxa"/>
            <w:tcBorders>
              <w:top w:val="nil"/>
              <w:left w:val="nil"/>
              <w:bottom w:val="single" w:sz="4" w:space="0" w:color="auto"/>
              <w:right w:val="single" w:sz="4" w:space="0" w:color="auto"/>
            </w:tcBorders>
            <w:noWrap/>
            <w:vAlign w:val="bottom"/>
          </w:tcPr>
          <w:p w14:paraId="38612A5E" w14:textId="77777777" w:rsidR="00583B86" w:rsidRPr="00D94B08" w:rsidRDefault="00583B86" w:rsidP="00FB265E">
            <w:pPr>
              <w:jc w:val="center"/>
              <w:rPr>
                <w:color w:val="000000"/>
                <w:lang w:val="en-US" w:eastAsia="en-US"/>
              </w:rPr>
            </w:pPr>
            <w:r w:rsidRPr="00D94B08">
              <w:rPr>
                <w:color w:val="000000"/>
                <w:sz w:val="22"/>
                <w:szCs w:val="22"/>
                <w:lang w:val="en-US" w:eastAsia="en-US"/>
              </w:rPr>
              <w:t>20.8</w:t>
            </w:r>
          </w:p>
        </w:tc>
        <w:tc>
          <w:tcPr>
            <w:tcW w:w="3600" w:type="dxa"/>
            <w:tcBorders>
              <w:top w:val="nil"/>
              <w:left w:val="nil"/>
              <w:bottom w:val="single" w:sz="4" w:space="0" w:color="auto"/>
              <w:right w:val="single" w:sz="4" w:space="0" w:color="auto"/>
            </w:tcBorders>
            <w:noWrap/>
            <w:vAlign w:val="bottom"/>
          </w:tcPr>
          <w:p w14:paraId="02A3330A" w14:textId="77777777" w:rsidR="00583B86" w:rsidRPr="00D94B08" w:rsidRDefault="00583B86" w:rsidP="00FB265E">
            <w:pPr>
              <w:jc w:val="center"/>
              <w:rPr>
                <w:color w:val="000000"/>
                <w:lang w:val="en-US" w:eastAsia="en-US"/>
              </w:rPr>
            </w:pPr>
            <w:r w:rsidRPr="00D94B08">
              <w:rPr>
                <w:color w:val="000000"/>
                <w:sz w:val="22"/>
                <w:szCs w:val="22"/>
                <w:lang w:val="en-US" w:eastAsia="en-US"/>
              </w:rPr>
              <w:t>1.70 (0.92 - 3.17)</w:t>
            </w:r>
          </w:p>
        </w:tc>
      </w:tr>
      <w:tr w:rsidR="00583B86" w:rsidRPr="00D94B08" w14:paraId="748679FB"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87B5FFE" w14:textId="77777777" w:rsidR="00583B86" w:rsidRPr="00D94B08" w:rsidRDefault="00583B86" w:rsidP="00FB265E">
            <w:pPr>
              <w:rPr>
                <w:color w:val="000000"/>
                <w:lang w:val="en-US" w:eastAsia="en-US"/>
              </w:rPr>
            </w:pPr>
            <w:r w:rsidRPr="00D94B08">
              <w:rPr>
                <w:color w:val="000000"/>
                <w:sz w:val="22"/>
                <w:szCs w:val="22"/>
                <w:lang w:val="en-US" w:eastAsia="en-US"/>
              </w:rPr>
              <w:t xml:space="preserve">   Mixed</w:t>
            </w:r>
          </w:p>
        </w:tc>
        <w:tc>
          <w:tcPr>
            <w:tcW w:w="1620" w:type="dxa"/>
            <w:tcBorders>
              <w:top w:val="nil"/>
              <w:left w:val="nil"/>
              <w:bottom w:val="single" w:sz="4" w:space="0" w:color="auto"/>
              <w:right w:val="single" w:sz="4" w:space="0" w:color="auto"/>
            </w:tcBorders>
            <w:noWrap/>
            <w:vAlign w:val="bottom"/>
          </w:tcPr>
          <w:p w14:paraId="201E5763" w14:textId="77777777" w:rsidR="00583B86" w:rsidRPr="00D94B08" w:rsidRDefault="00583B86" w:rsidP="00FB265E">
            <w:pPr>
              <w:jc w:val="center"/>
              <w:rPr>
                <w:color w:val="000000"/>
                <w:lang w:val="en-US" w:eastAsia="en-US"/>
              </w:rPr>
            </w:pPr>
            <w:r w:rsidRPr="00D94B08">
              <w:rPr>
                <w:color w:val="000000"/>
                <w:sz w:val="22"/>
                <w:szCs w:val="22"/>
                <w:lang w:val="en-US" w:eastAsia="en-US"/>
              </w:rPr>
              <w:t>4</w:t>
            </w:r>
          </w:p>
        </w:tc>
        <w:tc>
          <w:tcPr>
            <w:tcW w:w="2160" w:type="dxa"/>
            <w:tcBorders>
              <w:top w:val="nil"/>
              <w:left w:val="nil"/>
              <w:bottom w:val="single" w:sz="4" w:space="0" w:color="auto"/>
              <w:right w:val="single" w:sz="4" w:space="0" w:color="auto"/>
            </w:tcBorders>
            <w:noWrap/>
            <w:vAlign w:val="bottom"/>
          </w:tcPr>
          <w:p w14:paraId="470B28B6" w14:textId="77777777" w:rsidR="00583B86" w:rsidRPr="00D94B08" w:rsidRDefault="00583B86" w:rsidP="00FB265E">
            <w:pPr>
              <w:jc w:val="center"/>
              <w:rPr>
                <w:color w:val="000000"/>
                <w:lang w:val="en-US" w:eastAsia="en-US"/>
              </w:rPr>
            </w:pPr>
            <w:r w:rsidRPr="00D94B08">
              <w:rPr>
                <w:color w:val="000000"/>
                <w:sz w:val="22"/>
                <w:szCs w:val="22"/>
                <w:lang w:val="en-US" w:eastAsia="en-US"/>
              </w:rPr>
              <w:t>11.8</w:t>
            </w:r>
          </w:p>
        </w:tc>
        <w:tc>
          <w:tcPr>
            <w:tcW w:w="1080" w:type="dxa"/>
            <w:tcBorders>
              <w:top w:val="nil"/>
              <w:left w:val="nil"/>
              <w:bottom w:val="single" w:sz="4" w:space="0" w:color="auto"/>
              <w:right w:val="single" w:sz="4" w:space="0" w:color="auto"/>
            </w:tcBorders>
            <w:noWrap/>
            <w:vAlign w:val="bottom"/>
          </w:tcPr>
          <w:p w14:paraId="1225AD5B" w14:textId="77777777" w:rsidR="00583B86" w:rsidRPr="00D94B08" w:rsidRDefault="00583B86" w:rsidP="00FB265E">
            <w:pPr>
              <w:jc w:val="center"/>
              <w:rPr>
                <w:color w:val="000000"/>
                <w:lang w:val="en-US" w:eastAsia="en-US"/>
              </w:rPr>
            </w:pPr>
            <w:r w:rsidRPr="00D94B08">
              <w:rPr>
                <w:color w:val="000000"/>
                <w:sz w:val="22"/>
                <w:szCs w:val="22"/>
                <w:lang w:val="en-US" w:eastAsia="en-US"/>
              </w:rPr>
              <w:t>0.2</w:t>
            </w:r>
          </w:p>
        </w:tc>
        <w:tc>
          <w:tcPr>
            <w:tcW w:w="1260" w:type="dxa"/>
            <w:tcBorders>
              <w:top w:val="nil"/>
              <w:left w:val="nil"/>
              <w:bottom w:val="single" w:sz="4" w:space="0" w:color="auto"/>
              <w:right w:val="single" w:sz="4" w:space="0" w:color="auto"/>
            </w:tcBorders>
            <w:noWrap/>
            <w:vAlign w:val="bottom"/>
          </w:tcPr>
          <w:p w14:paraId="4A782A5D" w14:textId="77777777" w:rsidR="00583B86" w:rsidRPr="00D94B08" w:rsidRDefault="00583B86" w:rsidP="00FB265E">
            <w:pPr>
              <w:jc w:val="center"/>
              <w:rPr>
                <w:color w:val="000000"/>
                <w:lang w:val="en-US" w:eastAsia="en-US"/>
              </w:rPr>
            </w:pPr>
            <w:r w:rsidRPr="00D94B08">
              <w:rPr>
                <w:color w:val="000000"/>
                <w:sz w:val="22"/>
                <w:szCs w:val="22"/>
                <w:lang w:val="en-US" w:eastAsia="en-US"/>
              </w:rPr>
              <w:t>23.3</w:t>
            </w:r>
          </w:p>
        </w:tc>
        <w:tc>
          <w:tcPr>
            <w:tcW w:w="3600" w:type="dxa"/>
            <w:tcBorders>
              <w:top w:val="nil"/>
              <w:left w:val="nil"/>
              <w:bottom w:val="single" w:sz="4" w:space="0" w:color="auto"/>
              <w:right w:val="single" w:sz="4" w:space="0" w:color="auto"/>
            </w:tcBorders>
            <w:noWrap/>
            <w:vAlign w:val="bottom"/>
          </w:tcPr>
          <w:p w14:paraId="7EFE155D" w14:textId="77777777" w:rsidR="00583B86" w:rsidRPr="00D94B08" w:rsidRDefault="00583B86" w:rsidP="00FB265E">
            <w:pPr>
              <w:jc w:val="center"/>
              <w:rPr>
                <w:color w:val="000000"/>
                <w:lang w:val="en-US" w:eastAsia="en-US"/>
              </w:rPr>
            </w:pPr>
            <w:r w:rsidRPr="00D94B08">
              <w:rPr>
                <w:color w:val="000000"/>
                <w:sz w:val="22"/>
                <w:szCs w:val="22"/>
                <w:lang w:val="en-US" w:eastAsia="en-US"/>
              </w:rPr>
              <w:t>1.79 (0.67 - 4.78)</w:t>
            </w:r>
          </w:p>
        </w:tc>
      </w:tr>
      <w:tr w:rsidR="00583B86" w:rsidRPr="00D94B08" w14:paraId="37D208A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66029348" w14:textId="77777777" w:rsidR="00583B86" w:rsidRPr="00D94B08" w:rsidRDefault="00583B86" w:rsidP="00FB265E">
            <w:pPr>
              <w:rPr>
                <w:color w:val="000000"/>
                <w:lang w:val="en-US" w:eastAsia="en-US"/>
              </w:rPr>
            </w:pPr>
            <w:r w:rsidRPr="00D94B08">
              <w:rPr>
                <w:color w:val="000000"/>
                <w:sz w:val="22"/>
                <w:szCs w:val="22"/>
                <w:lang w:val="en-US" w:eastAsia="en-US"/>
              </w:rPr>
              <w:t xml:space="preserve">   Other</w:t>
            </w:r>
          </w:p>
        </w:tc>
        <w:tc>
          <w:tcPr>
            <w:tcW w:w="1620" w:type="dxa"/>
            <w:tcBorders>
              <w:top w:val="nil"/>
              <w:left w:val="nil"/>
              <w:bottom w:val="single" w:sz="4" w:space="0" w:color="auto"/>
              <w:right w:val="single" w:sz="4" w:space="0" w:color="auto"/>
            </w:tcBorders>
            <w:noWrap/>
            <w:vAlign w:val="bottom"/>
          </w:tcPr>
          <w:p w14:paraId="0BD9302A" w14:textId="77777777" w:rsidR="00583B86" w:rsidRPr="00D94B08" w:rsidRDefault="00583B86" w:rsidP="00FB265E">
            <w:pPr>
              <w:jc w:val="center"/>
              <w:rPr>
                <w:color w:val="000000"/>
                <w:lang w:val="en-US" w:eastAsia="en-US"/>
              </w:rPr>
            </w:pPr>
            <w:r w:rsidRPr="00D94B08">
              <w:rPr>
                <w:color w:val="000000"/>
                <w:sz w:val="22"/>
                <w:szCs w:val="22"/>
                <w:lang w:val="en-US" w:eastAsia="en-US"/>
              </w:rPr>
              <w:t>38</w:t>
            </w:r>
          </w:p>
        </w:tc>
        <w:tc>
          <w:tcPr>
            <w:tcW w:w="2160" w:type="dxa"/>
            <w:tcBorders>
              <w:top w:val="nil"/>
              <w:left w:val="nil"/>
              <w:bottom w:val="single" w:sz="4" w:space="0" w:color="auto"/>
              <w:right w:val="single" w:sz="4" w:space="0" w:color="auto"/>
            </w:tcBorders>
            <w:noWrap/>
            <w:vAlign w:val="bottom"/>
          </w:tcPr>
          <w:p w14:paraId="26196A2A" w14:textId="77777777" w:rsidR="00583B86" w:rsidRPr="00D94B08" w:rsidRDefault="00583B86" w:rsidP="00FB265E">
            <w:pPr>
              <w:jc w:val="center"/>
              <w:rPr>
                <w:color w:val="000000"/>
                <w:lang w:val="en-US" w:eastAsia="en-US"/>
              </w:rPr>
            </w:pPr>
            <w:r w:rsidRPr="00D94B08">
              <w:rPr>
                <w:color w:val="000000"/>
                <w:sz w:val="22"/>
                <w:szCs w:val="22"/>
                <w:lang w:val="en-US" w:eastAsia="en-US"/>
              </w:rPr>
              <w:t>15.8</w:t>
            </w:r>
          </w:p>
        </w:tc>
        <w:tc>
          <w:tcPr>
            <w:tcW w:w="1080" w:type="dxa"/>
            <w:tcBorders>
              <w:top w:val="nil"/>
              <w:left w:val="nil"/>
              <w:bottom w:val="single" w:sz="4" w:space="0" w:color="auto"/>
              <w:right w:val="single" w:sz="4" w:space="0" w:color="auto"/>
            </w:tcBorders>
            <w:noWrap/>
            <w:vAlign w:val="bottom"/>
          </w:tcPr>
          <w:p w14:paraId="380A9BDC" w14:textId="77777777" w:rsidR="00583B86" w:rsidRPr="00D94B08" w:rsidRDefault="00583B86" w:rsidP="00FB265E">
            <w:pPr>
              <w:jc w:val="center"/>
              <w:rPr>
                <w:color w:val="000000"/>
                <w:lang w:val="en-US" w:eastAsia="en-US"/>
              </w:rPr>
            </w:pPr>
            <w:r w:rsidRPr="00D94B08">
              <w:rPr>
                <w:color w:val="000000"/>
                <w:sz w:val="22"/>
                <w:szCs w:val="22"/>
                <w:lang w:val="en-US" w:eastAsia="en-US"/>
              </w:rPr>
              <w:t>10.8</w:t>
            </w:r>
          </w:p>
        </w:tc>
        <w:tc>
          <w:tcPr>
            <w:tcW w:w="1260" w:type="dxa"/>
            <w:tcBorders>
              <w:top w:val="nil"/>
              <w:left w:val="nil"/>
              <w:bottom w:val="single" w:sz="4" w:space="0" w:color="auto"/>
              <w:right w:val="single" w:sz="4" w:space="0" w:color="auto"/>
            </w:tcBorders>
            <w:noWrap/>
            <w:vAlign w:val="bottom"/>
          </w:tcPr>
          <w:p w14:paraId="0A0A0F28" w14:textId="77777777" w:rsidR="00583B86" w:rsidRPr="00D94B08" w:rsidRDefault="00583B86" w:rsidP="00FB265E">
            <w:pPr>
              <w:jc w:val="center"/>
              <w:rPr>
                <w:color w:val="000000"/>
                <w:lang w:val="en-US" w:eastAsia="en-US"/>
              </w:rPr>
            </w:pPr>
            <w:r w:rsidRPr="00D94B08">
              <w:rPr>
                <w:color w:val="000000"/>
                <w:sz w:val="22"/>
                <w:szCs w:val="22"/>
                <w:lang w:val="en-US" w:eastAsia="en-US"/>
              </w:rPr>
              <w:t>20.8</w:t>
            </w:r>
          </w:p>
        </w:tc>
        <w:tc>
          <w:tcPr>
            <w:tcW w:w="3600" w:type="dxa"/>
            <w:tcBorders>
              <w:top w:val="nil"/>
              <w:left w:val="nil"/>
              <w:bottom w:val="single" w:sz="4" w:space="0" w:color="auto"/>
              <w:right w:val="single" w:sz="4" w:space="0" w:color="auto"/>
            </w:tcBorders>
            <w:noWrap/>
            <w:vAlign w:val="bottom"/>
          </w:tcPr>
          <w:p w14:paraId="3EF428E7" w14:textId="77777777" w:rsidR="00583B86" w:rsidRPr="00D94B08" w:rsidRDefault="00583B86" w:rsidP="00FB265E">
            <w:pPr>
              <w:jc w:val="center"/>
              <w:rPr>
                <w:color w:val="000000"/>
                <w:lang w:val="en-US" w:eastAsia="en-US"/>
              </w:rPr>
            </w:pPr>
            <w:r w:rsidRPr="00D94B08">
              <w:rPr>
                <w:color w:val="000000"/>
                <w:sz w:val="22"/>
                <w:szCs w:val="22"/>
                <w:lang w:val="en-US" w:eastAsia="en-US"/>
              </w:rPr>
              <w:t>1.65 (1.20 - 2.27)</w:t>
            </w:r>
          </w:p>
        </w:tc>
      </w:tr>
      <w:tr w:rsidR="00583B86" w:rsidRPr="00D94B08" w14:paraId="1360682D"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0FA397C3"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Asian</w:t>
            </w:r>
          </w:p>
        </w:tc>
        <w:tc>
          <w:tcPr>
            <w:tcW w:w="1620" w:type="dxa"/>
            <w:tcBorders>
              <w:top w:val="nil"/>
              <w:left w:val="nil"/>
              <w:bottom w:val="single" w:sz="4" w:space="0" w:color="auto"/>
              <w:right w:val="single" w:sz="4" w:space="0" w:color="auto"/>
            </w:tcBorders>
            <w:noWrap/>
            <w:vAlign w:val="bottom"/>
          </w:tcPr>
          <w:p w14:paraId="1201CF30" w14:textId="77777777" w:rsidR="00583B86" w:rsidRPr="00D94B08" w:rsidRDefault="00583B86" w:rsidP="00FB265E">
            <w:pPr>
              <w:jc w:val="center"/>
              <w:rPr>
                <w:color w:val="000000"/>
                <w:lang w:val="en-US" w:eastAsia="en-US"/>
              </w:rPr>
            </w:pPr>
            <w:r w:rsidRPr="00D94B08">
              <w:rPr>
                <w:color w:val="000000"/>
                <w:sz w:val="22"/>
                <w:szCs w:val="22"/>
                <w:lang w:val="en-US" w:eastAsia="en-US"/>
              </w:rPr>
              <w:t>24</w:t>
            </w:r>
          </w:p>
        </w:tc>
        <w:tc>
          <w:tcPr>
            <w:tcW w:w="2160" w:type="dxa"/>
            <w:tcBorders>
              <w:top w:val="nil"/>
              <w:left w:val="nil"/>
              <w:bottom w:val="single" w:sz="4" w:space="0" w:color="auto"/>
              <w:right w:val="single" w:sz="4" w:space="0" w:color="auto"/>
            </w:tcBorders>
            <w:noWrap/>
            <w:vAlign w:val="bottom"/>
          </w:tcPr>
          <w:p w14:paraId="6A761284" w14:textId="77777777" w:rsidR="00583B86" w:rsidRPr="00D94B08" w:rsidRDefault="00583B86" w:rsidP="00FB265E">
            <w:pPr>
              <w:jc w:val="center"/>
              <w:rPr>
                <w:color w:val="000000"/>
                <w:lang w:val="en-US" w:eastAsia="en-US"/>
              </w:rPr>
            </w:pPr>
            <w:r w:rsidRPr="00D94B08">
              <w:rPr>
                <w:color w:val="000000"/>
                <w:sz w:val="22"/>
                <w:szCs w:val="22"/>
                <w:lang w:val="en-US" w:eastAsia="en-US"/>
              </w:rPr>
              <w:t>8.0</w:t>
            </w:r>
          </w:p>
        </w:tc>
        <w:tc>
          <w:tcPr>
            <w:tcW w:w="1080" w:type="dxa"/>
            <w:tcBorders>
              <w:top w:val="nil"/>
              <w:left w:val="nil"/>
              <w:bottom w:val="single" w:sz="4" w:space="0" w:color="auto"/>
              <w:right w:val="single" w:sz="4" w:space="0" w:color="auto"/>
            </w:tcBorders>
            <w:noWrap/>
            <w:vAlign w:val="bottom"/>
          </w:tcPr>
          <w:p w14:paraId="4EB146FE" w14:textId="77777777" w:rsidR="00583B86" w:rsidRPr="00D94B08" w:rsidRDefault="00583B86" w:rsidP="00FB265E">
            <w:pPr>
              <w:jc w:val="center"/>
              <w:rPr>
                <w:color w:val="000000"/>
                <w:lang w:val="en-US" w:eastAsia="en-US"/>
              </w:rPr>
            </w:pPr>
            <w:r w:rsidRPr="00D94B08">
              <w:rPr>
                <w:color w:val="000000"/>
                <w:sz w:val="22"/>
                <w:szCs w:val="22"/>
                <w:lang w:val="en-US" w:eastAsia="en-US"/>
              </w:rPr>
              <w:t>4.8</w:t>
            </w:r>
          </w:p>
        </w:tc>
        <w:tc>
          <w:tcPr>
            <w:tcW w:w="1260" w:type="dxa"/>
            <w:tcBorders>
              <w:top w:val="nil"/>
              <w:left w:val="nil"/>
              <w:bottom w:val="single" w:sz="4" w:space="0" w:color="auto"/>
              <w:right w:val="single" w:sz="4" w:space="0" w:color="auto"/>
            </w:tcBorders>
            <w:noWrap/>
            <w:vAlign w:val="bottom"/>
          </w:tcPr>
          <w:p w14:paraId="01FD4D7A" w14:textId="77777777" w:rsidR="00583B86" w:rsidRPr="00D94B08" w:rsidRDefault="00583B86" w:rsidP="00FB265E">
            <w:pPr>
              <w:jc w:val="center"/>
              <w:rPr>
                <w:color w:val="000000"/>
                <w:lang w:val="en-US" w:eastAsia="en-US"/>
              </w:rPr>
            </w:pPr>
            <w:r w:rsidRPr="00D94B08">
              <w:rPr>
                <w:color w:val="000000"/>
                <w:sz w:val="22"/>
                <w:szCs w:val="22"/>
                <w:lang w:val="en-US" w:eastAsia="en-US"/>
              </w:rPr>
              <w:t>11.2</w:t>
            </w:r>
          </w:p>
        </w:tc>
        <w:tc>
          <w:tcPr>
            <w:tcW w:w="3600" w:type="dxa"/>
            <w:tcBorders>
              <w:top w:val="nil"/>
              <w:left w:val="nil"/>
              <w:bottom w:val="single" w:sz="4" w:space="0" w:color="auto"/>
              <w:right w:val="single" w:sz="4" w:space="0" w:color="auto"/>
            </w:tcBorders>
            <w:noWrap/>
            <w:vAlign w:val="bottom"/>
          </w:tcPr>
          <w:p w14:paraId="6D91F492" w14:textId="77777777" w:rsidR="00583B86" w:rsidRPr="00D94B08" w:rsidRDefault="00583B86" w:rsidP="00FB265E">
            <w:pPr>
              <w:jc w:val="center"/>
              <w:rPr>
                <w:color w:val="000000"/>
                <w:lang w:val="en-US" w:eastAsia="en-US"/>
              </w:rPr>
            </w:pPr>
            <w:r w:rsidRPr="00D94B08">
              <w:rPr>
                <w:color w:val="000000"/>
                <w:sz w:val="22"/>
                <w:szCs w:val="22"/>
                <w:lang w:val="en-US" w:eastAsia="en-US"/>
              </w:rPr>
              <w:t>0.99 (0.67 - 1.48)</w:t>
            </w:r>
          </w:p>
        </w:tc>
      </w:tr>
      <w:tr w:rsidR="00583B86" w:rsidRPr="00D94B08" w14:paraId="1D1996C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4893660" w14:textId="77777777" w:rsidR="00583B86" w:rsidRPr="00D94B08" w:rsidRDefault="00583B86" w:rsidP="00FB265E">
            <w:pPr>
              <w:rPr>
                <w:color w:val="000000"/>
                <w:lang w:val="en-US" w:eastAsia="en-US"/>
              </w:rPr>
            </w:pPr>
            <w:r w:rsidRPr="00D94B08">
              <w:rPr>
                <w:color w:val="000000"/>
                <w:sz w:val="22"/>
                <w:szCs w:val="22"/>
                <w:lang w:val="en-US" w:eastAsia="en-US"/>
              </w:rPr>
              <w:t xml:space="preserve">   Unknown</w:t>
            </w:r>
          </w:p>
        </w:tc>
        <w:tc>
          <w:tcPr>
            <w:tcW w:w="1620" w:type="dxa"/>
            <w:tcBorders>
              <w:top w:val="nil"/>
              <w:left w:val="nil"/>
              <w:bottom w:val="single" w:sz="4" w:space="0" w:color="auto"/>
              <w:right w:val="single" w:sz="4" w:space="0" w:color="auto"/>
            </w:tcBorders>
            <w:noWrap/>
            <w:vAlign w:val="bottom"/>
          </w:tcPr>
          <w:p w14:paraId="4EF7EB46" w14:textId="77777777" w:rsidR="00583B86" w:rsidRPr="00D94B08" w:rsidRDefault="00583B86" w:rsidP="00FB265E">
            <w:pPr>
              <w:jc w:val="center"/>
              <w:rPr>
                <w:color w:val="000000"/>
                <w:lang w:val="en-US" w:eastAsia="en-US"/>
              </w:rPr>
            </w:pPr>
            <w:r w:rsidRPr="00D94B08">
              <w:rPr>
                <w:color w:val="000000"/>
                <w:sz w:val="22"/>
                <w:szCs w:val="22"/>
                <w:lang w:val="en-US" w:eastAsia="en-US"/>
              </w:rPr>
              <w:t>1311</w:t>
            </w:r>
          </w:p>
        </w:tc>
        <w:tc>
          <w:tcPr>
            <w:tcW w:w="2160" w:type="dxa"/>
            <w:tcBorders>
              <w:top w:val="nil"/>
              <w:left w:val="nil"/>
              <w:bottom w:val="single" w:sz="4" w:space="0" w:color="auto"/>
              <w:right w:val="single" w:sz="4" w:space="0" w:color="auto"/>
            </w:tcBorders>
            <w:noWrap/>
            <w:vAlign w:val="bottom"/>
          </w:tcPr>
          <w:p w14:paraId="1809B393" w14:textId="77777777" w:rsidR="00583B86" w:rsidRPr="00D94B08" w:rsidRDefault="00583B86" w:rsidP="00FB265E">
            <w:pPr>
              <w:jc w:val="center"/>
              <w:rPr>
                <w:color w:val="000000"/>
                <w:lang w:val="en-US" w:eastAsia="en-US"/>
              </w:rPr>
            </w:pPr>
            <w:r w:rsidRPr="00D94B08">
              <w:rPr>
                <w:color w:val="000000"/>
                <w:sz w:val="22"/>
                <w:szCs w:val="22"/>
                <w:lang w:val="en-US" w:eastAsia="en-US"/>
              </w:rPr>
              <w:t>20.7</w:t>
            </w:r>
          </w:p>
        </w:tc>
        <w:tc>
          <w:tcPr>
            <w:tcW w:w="1080" w:type="dxa"/>
            <w:tcBorders>
              <w:top w:val="nil"/>
              <w:left w:val="nil"/>
              <w:bottom w:val="single" w:sz="4" w:space="0" w:color="auto"/>
              <w:right w:val="single" w:sz="4" w:space="0" w:color="auto"/>
            </w:tcBorders>
            <w:noWrap/>
            <w:vAlign w:val="bottom"/>
          </w:tcPr>
          <w:p w14:paraId="473ACB65" w14:textId="77777777" w:rsidR="00583B86" w:rsidRPr="00D94B08" w:rsidRDefault="00583B86" w:rsidP="00FB265E">
            <w:pPr>
              <w:jc w:val="center"/>
              <w:rPr>
                <w:color w:val="000000"/>
                <w:lang w:val="en-US" w:eastAsia="en-US"/>
              </w:rPr>
            </w:pPr>
            <w:r w:rsidRPr="00D94B08">
              <w:rPr>
                <w:color w:val="000000"/>
                <w:sz w:val="22"/>
                <w:szCs w:val="22"/>
                <w:lang w:val="en-US" w:eastAsia="en-US"/>
              </w:rPr>
              <w:t>19.6</w:t>
            </w:r>
          </w:p>
        </w:tc>
        <w:tc>
          <w:tcPr>
            <w:tcW w:w="1260" w:type="dxa"/>
            <w:tcBorders>
              <w:top w:val="nil"/>
              <w:left w:val="nil"/>
              <w:bottom w:val="single" w:sz="4" w:space="0" w:color="auto"/>
              <w:right w:val="single" w:sz="4" w:space="0" w:color="auto"/>
            </w:tcBorders>
            <w:noWrap/>
            <w:vAlign w:val="bottom"/>
          </w:tcPr>
          <w:p w14:paraId="3599B5FD" w14:textId="77777777" w:rsidR="00583B86" w:rsidRPr="00D94B08" w:rsidRDefault="00583B86" w:rsidP="00FB265E">
            <w:pPr>
              <w:jc w:val="center"/>
              <w:rPr>
                <w:color w:val="000000"/>
                <w:lang w:val="en-US" w:eastAsia="en-US"/>
              </w:rPr>
            </w:pPr>
            <w:r w:rsidRPr="00D94B08">
              <w:rPr>
                <w:color w:val="000000"/>
                <w:sz w:val="22"/>
                <w:szCs w:val="22"/>
                <w:lang w:val="en-US" w:eastAsia="en-US"/>
              </w:rPr>
              <w:t>21.9</w:t>
            </w:r>
          </w:p>
        </w:tc>
        <w:tc>
          <w:tcPr>
            <w:tcW w:w="3600" w:type="dxa"/>
            <w:tcBorders>
              <w:top w:val="nil"/>
              <w:left w:val="nil"/>
              <w:bottom w:val="single" w:sz="4" w:space="0" w:color="auto"/>
              <w:right w:val="single" w:sz="4" w:space="0" w:color="auto"/>
            </w:tcBorders>
            <w:noWrap/>
            <w:vAlign w:val="bottom"/>
          </w:tcPr>
          <w:p w14:paraId="64E76BA5" w14:textId="77777777" w:rsidR="00583B86" w:rsidRPr="00D94B08" w:rsidRDefault="00583B86" w:rsidP="00FB265E">
            <w:pPr>
              <w:jc w:val="center"/>
              <w:rPr>
                <w:color w:val="000000"/>
                <w:lang w:val="en-US" w:eastAsia="en-US"/>
              </w:rPr>
            </w:pPr>
            <w:r w:rsidRPr="00D94B08">
              <w:rPr>
                <w:color w:val="000000"/>
                <w:sz w:val="22"/>
                <w:szCs w:val="22"/>
                <w:lang w:val="en-US" w:eastAsia="en-US"/>
              </w:rPr>
              <w:t>1.50 (1.41 - 1.59)</w:t>
            </w:r>
          </w:p>
        </w:tc>
      </w:tr>
      <w:tr w:rsidR="00583B86" w:rsidRPr="00D94B08" w14:paraId="4777626C"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9B8F640" w14:textId="77777777" w:rsidR="00583B86" w:rsidRPr="00D94B08" w:rsidRDefault="00583B86" w:rsidP="00FB265E">
            <w:pPr>
              <w:rPr>
                <w:color w:val="000000"/>
                <w:lang w:val="en-US" w:eastAsia="en-US"/>
              </w:rPr>
            </w:pPr>
            <w:r w:rsidRPr="00D94B08">
              <w:rPr>
                <w:color w:val="000000"/>
                <w:sz w:val="22"/>
                <w:szCs w:val="22"/>
                <w:lang w:val="en-US" w:eastAsia="en-US"/>
              </w:rPr>
              <w:t>By region</w:t>
            </w:r>
          </w:p>
        </w:tc>
        <w:tc>
          <w:tcPr>
            <w:tcW w:w="1620" w:type="dxa"/>
            <w:tcBorders>
              <w:top w:val="nil"/>
              <w:left w:val="nil"/>
              <w:bottom w:val="single" w:sz="4" w:space="0" w:color="auto"/>
              <w:right w:val="single" w:sz="4" w:space="0" w:color="auto"/>
            </w:tcBorders>
            <w:noWrap/>
            <w:vAlign w:val="bottom"/>
          </w:tcPr>
          <w:p w14:paraId="47CBDF6C"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2160" w:type="dxa"/>
            <w:tcBorders>
              <w:top w:val="nil"/>
              <w:left w:val="nil"/>
              <w:bottom w:val="single" w:sz="4" w:space="0" w:color="auto"/>
              <w:right w:val="single" w:sz="4" w:space="0" w:color="auto"/>
            </w:tcBorders>
            <w:noWrap/>
            <w:vAlign w:val="bottom"/>
          </w:tcPr>
          <w:p w14:paraId="73471AE8"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080" w:type="dxa"/>
            <w:tcBorders>
              <w:top w:val="nil"/>
              <w:left w:val="nil"/>
              <w:bottom w:val="single" w:sz="4" w:space="0" w:color="auto"/>
              <w:right w:val="single" w:sz="4" w:space="0" w:color="auto"/>
            </w:tcBorders>
            <w:noWrap/>
            <w:vAlign w:val="bottom"/>
          </w:tcPr>
          <w:p w14:paraId="09E02CF9"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1260" w:type="dxa"/>
            <w:tcBorders>
              <w:top w:val="nil"/>
              <w:left w:val="nil"/>
              <w:bottom w:val="single" w:sz="4" w:space="0" w:color="auto"/>
              <w:right w:val="single" w:sz="4" w:space="0" w:color="auto"/>
            </w:tcBorders>
            <w:noWrap/>
            <w:vAlign w:val="bottom"/>
          </w:tcPr>
          <w:p w14:paraId="7829F524" w14:textId="77777777" w:rsidR="00583B86" w:rsidRPr="00D94B08" w:rsidRDefault="00583B86" w:rsidP="00FB265E">
            <w:pP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7CAE581E" w14:textId="77777777" w:rsidR="00583B86" w:rsidRPr="00D94B08" w:rsidRDefault="00583B86" w:rsidP="00FB265E">
            <w:pPr>
              <w:rPr>
                <w:color w:val="000000"/>
                <w:lang w:val="en-US" w:eastAsia="en-US"/>
              </w:rPr>
            </w:pPr>
            <w:r w:rsidRPr="00D94B08">
              <w:rPr>
                <w:color w:val="000000"/>
                <w:sz w:val="22"/>
                <w:szCs w:val="22"/>
                <w:lang w:val="en-US" w:eastAsia="en-US"/>
              </w:rPr>
              <w:t> </w:t>
            </w:r>
          </w:p>
        </w:tc>
      </w:tr>
      <w:tr w:rsidR="00583B86" w:rsidRPr="00D94B08" w14:paraId="59AC49EA"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A0795E3" w14:textId="77777777" w:rsidR="00583B86" w:rsidRPr="00D94B08" w:rsidRDefault="00583B86" w:rsidP="00FB265E">
            <w:pPr>
              <w:rPr>
                <w:color w:val="000000"/>
                <w:lang w:val="en-US" w:eastAsia="en-US"/>
              </w:rPr>
            </w:pPr>
            <w:r w:rsidRPr="00D94B08">
              <w:rPr>
                <w:color w:val="000000"/>
                <w:sz w:val="22"/>
                <w:szCs w:val="22"/>
                <w:lang w:val="en-US" w:eastAsia="en-US"/>
              </w:rPr>
              <w:t xml:space="preserve">   London</w:t>
            </w:r>
          </w:p>
        </w:tc>
        <w:tc>
          <w:tcPr>
            <w:tcW w:w="1620" w:type="dxa"/>
            <w:tcBorders>
              <w:top w:val="nil"/>
              <w:left w:val="nil"/>
              <w:bottom w:val="single" w:sz="4" w:space="0" w:color="auto"/>
              <w:right w:val="single" w:sz="4" w:space="0" w:color="auto"/>
            </w:tcBorders>
            <w:noWrap/>
            <w:vAlign w:val="bottom"/>
          </w:tcPr>
          <w:p w14:paraId="200DF856" w14:textId="77777777" w:rsidR="00583B86" w:rsidRPr="00D94B08" w:rsidRDefault="00583B86" w:rsidP="00FB265E">
            <w:pPr>
              <w:jc w:val="center"/>
              <w:rPr>
                <w:color w:val="000000"/>
                <w:lang w:val="en-US" w:eastAsia="en-US"/>
              </w:rPr>
            </w:pPr>
            <w:r w:rsidRPr="00D94B08">
              <w:rPr>
                <w:color w:val="000000"/>
                <w:sz w:val="22"/>
                <w:szCs w:val="22"/>
                <w:lang w:val="en-US" w:eastAsia="en-US"/>
              </w:rPr>
              <w:t>587</w:t>
            </w:r>
          </w:p>
        </w:tc>
        <w:tc>
          <w:tcPr>
            <w:tcW w:w="2160" w:type="dxa"/>
            <w:tcBorders>
              <w:top w:val="nil"/>
              <w:left w:val="nil"/>
              <w:bottom w:val="single" w:sz="4" w:space="0" w:color="auto"/>
              <w:right w:val="single" w:sz="4" w:space="0" w:color="auto"/>
            </w:tcBorders>
            <w:noWrap/>
            <w:vAlign w:val="bottom"/>
          </w:tcPr>
          <w:p w14:paraId="52FCD109" w14:textId="77777777" w:rsidR="00583B86" w:rsidRPr="00D94B08" w:rsidRDefault="00583B86" w:rsidP="00FB265E">
            <w:pPr>
              <w:jc w:val="center"/>
              <w:rPr>
                <w:color w:val="000000"/>
                <w:lang w:val="en-US" w:eastAsia="en-US"/>
              </w:rPr>
            </w:pPr>
            <w:r w:rsidRPr="00D94B08">
              <w:rPr>
                <w:color w:val="000000"/>
                <w:sz w:val="22"/>
                <w:szCs w:val="22"/>
                <w:lang w:val="en-US" w:eastAsia="en-US"/>
              </w:rPr>
              <w:t>13.0</w:t>
            </w:r>
          </w:p>
        </w:tc>
        <w:tc>
          <w:tcPr>
            <w:tcW w:w="1080" w:type="dxa"/>
            <w:tcBorders>
              <w:top w:val="nil"/>
              <w:left w:val="nil"/>
              <w:bottom w:val="single" w:sz="4" w:space="0" w:color="auto"/>
              <w:right w:val="single" w:sz="4" w:space="0" w:color="auto"/>
            </w:tcBorders>
            <w:noWrap/>
            <w:vAlign w:val="bottom"/>
          </w:tcPr>
          <w:p w14:paraId="47EC1F49" w14:textId="77777777" w:rsidR="00583B86" w:rsidRPr="00D94B08" w:rsidRDefault="00583B86" w:rsidP="00FB265E">
            <w:pPr>
              <w:jc w:val="center"/>
              <w:rPr>
                <w:color w:val="000000"/>
                <w:lang w:val="en-US" w:eastAsia="en-US"/>
              </w:rPr>
            </w:pPr>
            <w:r w:rsidRPr="00D94B08">
              <w:rPr>
                <w:color w:val="000000"/>
                <w:sz w:val="22"/>
                <w:szCs w:val="22"/>
                <w:lang w:val="en-US" w:eastAsia="en-US"/>
              </w:rPr>
              <w:t>11.9</w:t>
            </w:r>
          </w:p>
        </w:tc>
        <w:tc>
          <w:tcPr>
            <w:tcW w:w="1260" w:type="dxa"/>
            <w:tcBorders>
              <w:top w:val="nil"/>
              <w:left w:val="nil"/>
              <w:bottom w:val="single" w:sz="4" w:space="0" w:color="auto"/>
              <w:right w:val="single" w:sz="4" w:space="0" w:color="auto"/>
            </w:tcBorders>
            <w:noWrap/>
            <w:vAlign w:val="bottom"/>
          </w:tcPr>
          <w:p w14:paraId="48790544" w14:textId="77777777" w:rsidR="00583B86" w:rsidRPr="00D94B08" w:rsidRDefault="00583B86" w:rsidP="00FB265E">
            <w:pPr>
              <w:jc w:val="center"/>
              <w:rPr>
                <w:color w:val="000000"/>
                <w:lang w:val="en-US" w:eastAsia="en-US"/>
              </w:rPr>
            </w:pPr>
            <w:r w:rsidRPr="00D94B08">
              <w:rPr>
                <w:color w:val="000000"/>
                <w:sz w:val="22"/>
                <w:szCs w:val="22"/>
                <w:lang w:val="en-US" w:eastAsia="en-US"/>
              </w:rPr>
              <w:t>14.0</w:t>
            </w:r>
          </w:p>
        </w:tc>
        <w:tc>
          <w:tcPr>
            <w:tcW w:w="3600" w:type="dxa"/>
            <w:tcBorders>
              <w:top w:val="nil"/>
              <w:left w:val="nil"/>
              <w:bottom w:val="single" w:sz="4" w:space="0" w:color="auto"/>
              <w:right w:val="single" w:sz="4" w:space="0" w:color="auto"/>
            </w:tcBorders>
            <w:noWrap/>
            <w:vAlign w:val="bottom"/>
          </w:tcPr>
          <w:p w14:paraId="65CBE20F" w14:textId="77777777" w:rsidR="00583B86" w:rsidRPr="00D94B08" w:rsidRDefault="00583B86" w:rsidP="00FB265E">
            <w:pPr>
              <w:jc w:val="center"/>
              <w:rPr>
                <w:color w:val="000000"/>
                <w:lang w:val="en-US" w:eastAsia="en-US"/>
              </w:rPr>
            </w:pPr>
            <w:r w:rsidRPr="00D94B08">
              <w:rPr>
                <w:color w:val="000000"/>
                <w:sz w:val="22"/>
                <w:szCs w:val="22"/>
                <w:lang w:val="en-US" w:eastAsia="en-US"/>
              </w:rPr>
              <w:t>Reference</w:t>
            </w:r>
          </w:p>
        </w:tc>
      </w:tr>
      <w:tr w:rsidR="00583B86" w:rsidRPr="00D94B08" w14:paraId="6462374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19C8880"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Midlands</w:t>
            </w:r>
          </w:p>
        </w:tc>
        <w:tc>
          <w:tcPr>
            <w:tcW w:w="1620" w:type="dxa"/>
            <w:tcBorders>
              <w:top w:val="nil"/>
              <w:left w:val="nil"/>
              <w:bottom w:val="single" w:sz="4" w:space="0" w:color="auto"/>
              <w:right w:val="single" w:sz="4" w:space="0" w:color="auto"/>
            </w:tcBorders>
            <w:noWrap/>
            <w:vAlign w:val="bottom"/>
          </w:tcPr>
          <w:p w14:paraId="2D2D5EF5" w14:textId="77777777" w:rsidR="00583B86" w:rsidRPr="00D94B08" w:rsidRDefault="00583B86" w:rsidP="00FB265E">
            <w:pPr>
              <w:jc w:val="center"/>
              <w:rPr>
                <w:color w:val="000000"/>
                <w:lang w:val="en-US" w:eastAsia="en-US"/>
              </w:rPr>
            </w:pPr>
            <w:r w:rsidRPr="00D94B08">
              <w:rPr>
                <w:color w:val="000000"/>
                <w:sz w:val="22"/>
                <w:szCs w:val="22"/>
                <w:lang w:val="en-US" w:eastAsia="en-US"/>
              </w:rPr>
              <w:t>235</w:t>
            </w:r>
          </w:p>
        </w:tc>
        <w:tc>
          <w:tcPr>
            <w:tcW w:w="2160" w:type="dxa"/>
            <w:tcBorders>
              <w:top w:val="nil"/>
              <w:left w:val="nil"/>
              <w:bottom w:val="single" w:sz="4" w:space="0" w:color="auto"/>
              <w:right w:val="single" w:sz="4" w:space="0" w:color="auto"/>
            </w:tcBorders>
            <w:noWrap/>
            <w:vAlign w:val="bottom"/>
          </w:tcPr>
          <w:p w14:paraId="40A0A948" w14:textId="77777777" w:rsidR="00583B86" w:rsidRPr="00D94B08" w:rsidRDefault="00583B86" w:rsidP="00FB265E">
            <w:pPr>
              <w:jc w:val="center"/>
              <w:rPr>
                <w:color w:val="000000"/>
                <w:lang w:val="en-US" w:eastAsia="en-US"/>
              </w:rPr>
            </w:pPr>
            <w:r w:rsidRPr="00D94B08">
              <w:rPr>
                <w:color w:val="000000"/>
                <w:sz w:val="22"/>
                <w:szCs w:val="22"/>
                <w:lang w:val="en-US" w:eastAsia="en-US"/>
              </w:rPr>
              <w:t>16.6</w:t>
            </w:r>
          </w:p>
        </w:tc>
        <w:tc>
          <w:tcPr>
            <w:tcW w:w="1080" w:type="dxa"/>
            <w:tcBorders>
              <w:top w:val="nil"/>
              <w:left w:val="nil"/>
              <w:bottom w:val="single" w:sz="4" w:space="0" w:color="auto"/>
              <w:right w:val="single" w:sz="4" w:space="0" w:color="auto"/>
            </w:tcBorders>
            <w:noWrap/>
            <w:vAlign w:val="bottom"/>
          </w:tcPr>
          <w:p w14:paraId="6E8B058C" w14:textId="77777777" w:rsidR="00583B86" w:rsidRPr="00D94B08" w:rsidRDefault="00583B86" w:rsidP="00FB265E">
            <w:pPr>
              <w:jc w:val="center"/>
              <w:rPr>
                <w:color w:val="000000"/>
                <w:lang w:val="en-US" w:eastAsia="en-US"/>
              </w:rPr>
            </w:pPr>
            <w:r w:rsidRPr="00D94B08">
              <w:rPr>
                <w:color w:val="000000"/>
                <w:sz w:val="22"/>
                <w:szCs w:val="22"/>
                <w:lang w:val="en-US" w:eastAsia="en-US"/>
              </w:rPr>
              <w:t>14.5</w:t>
            </w:r>
          </w:p>
        </w:tc>
        <w:tc>
          <w:tcPr>
            <w:tcW w:w="1260" w:type="dxa"/>
            <w:tcBorders>
              <w:top w:val="nil"/>
              <w:left w:val="nil"/>
              <w:bottom w:val="single" w:sz="4" w:space="0" w:color="auto"/>
              <w:right w:val="single" w:sz="4" w:space="0" w:color="auto"/>
            </w:tcBorders>
            <w:noWrap/>
            <w:vAlign w:val="bottom"/>
          </w:tcPr>
          <w:p w14:paraId="6660B641" w14:textId="77777777" w:rsidR="00583B86" w:rsidRPr="00D94B08" w:rsidRDefault="00583B86" w:rsidP="00FB265E">
            <w:pPr>
              <w:jc w:val="center"/>
              <w:rPr>
                <w:color w:val="000000"/>
                <w:lang w:val="en-US" w:eastAsia="en-US"/>
              </w:rPr>
            </w:pPr>
            <w:r w:rsidRPr="00D94B08">
              <w:rPr>
                <w:color w:val="000000"/>
                <w:sz w:val="22"/>
                <w:szCs w:val="22"/>
                <w:lang w:val="en-US" w:eastAsia="en-US"/>
              </w:rPr>
              <w:t>18.7</w:t>
            </w:r>
          </w:p>
        </w:tc>
        <w:tc>
          <w:tcPr>
            <w:tcW w:w="3600" w:type="dxa"/>
            <w:tcBorders>
              <w:top w:val="nil"/>
              <w:left w:val="nil"/>
              <w:bottom w:val="single" w:sz="4" w:space="0" w:color="auto"/>
              <w:right w:val="single" w:sz="4" w:space="0" w:color="auto"/>
            </w:tcBorders>
            <w:noWrap/>
            <w:vAlign w:val="bottom"/>
          </w:tcPr>
          <w:p w14:paraId="273CD91F" w14:textId="77777777" w:rsidR="00583B86" w:rsidRPr="00D94B08" w:rsidRDefault="00583B86" w:rsidP="00FB265E">
            <w:pPr>
              <w:jc w:val="center"/>
              <w:rPr>
                <w:color w:val="000000"/>
                <w:lang w:val="en-US" w:eastAsia="en-US"/>
              </w:rPr>
            </w:pPr>
            <w:r w:rsidRPr="00D94B08">
              <w:rPr>
                <w:color w:val="000000"/>
                <w:sz w:val="22"/>
                <w:szCs w:val="22"/>
                <w:lang w:val="en-US" w:eastAsia="en-US"/>
              </w:rPr>
              <w:t>1.35 (1.16 - 1.57)</w:t>
            </w:r>
          </w:p>
        </w:tc>
      </w:tr>
      <w:tr w:rsidR="00583B86" w:rsidRPr="00D94B08" w14:paraId="42620A2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6EE8CE9" w14:textId="77777777" w:rsidR="00583B86" w:rsidRPr="00D94B08" w:rsidRDefault="00583B86" w:rsidP="00FB265E">
            <w:pPr>
              <w:rPr>
                <w:color w:val="000000"/>
                <w:lang w:val="en-US" w:eastAsia="en-US"/>
              </w:rPr>
            </w:pPr>
            <w:r w:rsidRPr="00D94B08">
              <w:rPr>
                <w:color w:val="000000"/>
                <w:sz w:val="22"/>
                <w:szCs w:val="22"/>
                <w:lang w:val="en-US" w:eastAsia="en-US"/>
              </w:rPr>
              <w:t xml:space="preserve">   East of England</w:t>
            </w:r>
          </w:p>
        </w:tc>
        <w:tc>
          <w:tcPr>
            <w:tcW w:w="1620" w:type="dxa"/>
            <w:tcBorders>
              <w:top w:val="nil"/>
              <w:left w:val="nil"/>
              <w:bottom w:val="single" w:sz="4" w:space="0" w:color="auto"/>
              <w:right w:val="single" w:sz="4" w:space="0" w:color="auto"/>
            </w:tcBorders>
            <w:noWrap/>
            <w:vAlign w:val="bottom"/>
          </w:tcPr>
          <w:p w14:paraId="28A08762" w14:textId="77777777" w:rsidR="00583B86" w:rsidRPr="00D94B08" w:rsidRDefault="00583B86" w:rsidP="00FB265E">
            <w:pPr>
              <w:jc w:val="center"/>
              <w:rPr>
                <w:color w:val="000000"/>
                <w:lang w:val="en-US" w:eastAsia="en-US"/>
              </w:rPr>
            </w:pPr>
            <w:r w:rsidRPr="00D94B08">
              <w:rPr>
                <w:color w:val="000000"/>
                <w:sz w:val="22"/>
                <w:szCs w:val="22"/>
                <w:lang w:val="en-US" w:eastAsia="en-US"/>
              </w:rPr>
              <w:t>813</w:t>
            </w:r>
          </w:p>
        </w:tc>
        <w:tc>
          <w:tcPr>
            <w:tcW w:w="2160" w:type="dxa"/>
            <w:tcBorders>
              <w:top w:val="nil"/>
              <w:left w:val="nil"/>
              <w:bottom w:val="single" w:sz="4" w:space="0" w:color="auto"/>
              <w:right w:val="single" w:sz="4" w:space="0" w:color="auto"/>
            </w:tcBorders>
            <w:noWrap/>
            <w:vAlign w:val="bottom"/>
          </w:tcPr>
          <w:p w14:paraId="3176920B" w14:textId="77777777" w:rsidR="00583B86" w:rsidRPr="00D94B08" w:rsidRDefault="00583B86" w:rsidP="00FB265E">
            <w:pPr>
              <w:jc w:val="center"/>
              <w:rPr>
                <w:color w:val="000000"/>
                <w:lang w:val="en-US" w:eastAsia="en-US"/>
              </w:rPr>
            </w:pPr>
            <w:r w:rsidRPr="00D94B08">
              <w:rPr>
                <w:color w:val="000000"/>
                <w:sz w:val="22"/>
                <w:szCs w:val="22"/>
                <w:lang w:val="en-US" w:eastAsia="en-US"/>
              </w:rPr>
              <w:t>15.9</w:t>
            </w:r>
          </w:p>
        </w:tc>
        <w:tc>
          <w:tcPr>
            <w:tcW w:w="1080" w:type="dxa"/>
            <w:tcBorders>
              <w:top w:val="nil"/>
              <w:left w:val="nil"/>
              <w:bottom w:val="single" w:sz="4" w:space="0" w:color="auto"/>
              <w:right w:val="single" w:sz="4" w:space="0" w:color="auto"/>
            </w:tcBorders>
            <w:noWrap/>
            <w:vAlign w:val="bottom"/>
          </w:tcPr>
          <w:p w14:paraId="2CCD88DD" w14:textId="77777777" w:rsidR="00583B86" w:rsidRPr="00D94B08" w:rsidRDefault="00583B86" w:rsidP="00FB265E">
            <w:pPr>
              <w:jc w:val="center"/>
              <w:rPr>
                <w:color w:val="000000"/>
                <w:lang w:val="en-US" w:eastAsia="en-US"/>
              </w:rPr>
            </w:pPr>
            <w:r w:rsidRPr="00D94B08">
              <w:rPr>
                <w:color w:val="000000"/>
                <w:sz w:val="22"/>
                <w:szCs w:val="22"/>
                <w:lang w:val="en-US" w:eastAsia="en-US"/>
              </w:rPr>
              <w:t>14.8</w:t>
            </w:r>
          </w:p>
        </w:tc>
        <w:tc>
          <w:tcPr>
            <w:tcW w:w="1260" w:type="dxa"/>
            <w:tcBorders>
              <w:top w:val="nil"/>
              <w:left w:val="nil"/>
              <w:bottom w:val="single" w:sz="4" w:space="0" w:color="auto"/>
              <w:right w:val="single" w:sz="4" w:space="0" w:color="auto"/>
            </w:tcBorders>
            <w:noWrap/>
            <w:vAlign w:val="bottom"/>
          </w:tcPr>
          <w:p w14:paraId="64084A18" w14:textId="77777777" w:rsidR="00583B86" w:rsidRPr="00D94B08" w:rsidRDefault="00583B86" w:rsidP="00FB265E">
            <w:pPr>
              <w:jc w:val="center"/>
              <w:rPr>
                <w:color w:val="000000"/>
                <w:lang w:val="en-US" w:eastAsia="en-US"/>
              </w:rPr>
            </w:pPr>
            <w:r w:rsidRPr="00D94B08">
              <w:rPr>
                <w:color w:val="000000"/>
                <w:sz w:val="22"/>
                <w:szCs w:val="22"/>
                <w:lang w:val="en-US" w:eastAsia="en-US"/>
              </w:rPr>
              <w:t>17.0</w:t>
            </w:r>
          </w:p>
        </w:tc>
        <w:tc>
          <w:tcPr>
            <w:tcW w:w="3600" w:type="dxa"/>
            <w:tcBorders>
              <w:top w:val="nil"/>
              <w:left w:val="nil"/>
              <w:bottom w:val="single" w:sz="4" w:space="0" w:color="auto"/>
              <w:right w:val="single" w:sz="4" w:space="0" w:color="auto"/>
            </w:tcBorders>
            <w:noWrap/>
            <w:vAlign w:val="bottom"/>
          </w:tcPr>
          <w:p w14:paraId="2D0F6352" w14:textId="77777777" w:rsidR="00583B86" w:rsidRPr="00D94B08" w:rsidRDefault="00583B86" w:rsidP="00FB265E">
            <w:pPr>
              <w:jc w:val="center"/>
              <w:rPr>
                <w:color w:val="000000"/>
                <w:lang w:val="en-US" w:eastAsia="en-US"/>
              </w:rPr>
            </w:pPr>
            <w:r w:rsidRPr="00D94B08">
              <w:rPr>
                <w:color w:val="000000"/>
                <w:sz w:val="22"/>
                <w:szCs w:val="22"/>
                <w:lang w:val="en-US" w:eastAsia="en-US"/>
              </w:rPr>
              <w:t>1.22 (1.10 - 1.36)</w:t>
            </w:r>
          </w:p>
        </w:tc>
      </w:tr>
      <w:tr w:rsidR="00583B86" w:rsidRPr="00D94B08" w14:paraId="1881DA6C"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62C009D"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East</w:t>
            </w:r>
          </w:p>
        </w:tc>
        <w:tc>
          <w:tcPr>
            <w:tcW w:w="1620" w:type="dxa"/>
            <w:tcBorders>
              <w:top w:val="nil"/>
              <w:left w:val="nil"/>
              <w:bottom w:val="single" w:sz="4" w:space="0" w:color="auto"/>
              <w:right w:val="single" w:sz="4" w:space="0" w:color="auto"/>
            </w:tcBorders>
            <w:noWrap/>
            <w:vAlign w:val="bottom"/>
          </w:tcPr>
          <w:p w14:paraId="21205257" w14:textId="77777777" w:rsidR="00583B86" w:rsidRPr="00D94B08" w:rsidRDefault="00583B86" w:rsidP="00FB265E">
            <w:pPr>
              <w:jc w:val="center"/>
              <w:rPr>
                <w:color w:val="000000"/>
                <w:lang w:val="en-US" w:eastAsia="en-US"/>
              </w:rPr>
            </w:pPr>
            <w:r w:rsidRPr="00D94B08">
              <w:rPr>
                <w:color w:val="000000"/>
                <w:sz w:val="22"/>
                <w:szCs w:val="22"/>
                <w:lang w:val="en-US" w:eastAsia="en-US"/>
              </w:rPr>
              <w:t>146</w:t>
            </w:r>
          </w:p>
        </w:tc>
        <w:tc>
          <w:tcPr>
            <w:tcW w:w="2160" w:type="dxa"/>
            <w:tcBorders>
              <w:top w:val="nil"/>
              <w:left w:val="nil"/>
              <w:bottom w:val="single" w:sz="4" w:space="0" w:color="auto"/>
              <w:right w:val="single" w:sz="4" w:space="0" w:color="auto"/>
            </w:tcBorders>
            <w:noWrap/>
            <w:vAlign w:val="bottom"/>
          </w:tcPr>
          <w:p w14:paraId="70039C22" w14:textId="77777777" w:rsidR="00583B86" w:rsidRPr="00D94B08" w:rsidRDefault="00583B86" w:rsidP="00FB265E">
            <w:pPr>
              <w:jc w:val="center"/>
              <w:rPr>
                <w:color w:val="000000"/>
                <w:lang w:val="en-US" w:eastAsia="en-US"/>
              </w:rPr>
            </w:pPr>
            <w:r w:rsidRPr="00D94B08">
              <w:rPr>
                <w:color w:val="000000"/>
                <w:sz w:val="22"/>
                <w:szCs w:val="22"/>
                <w:lang w:val="en-US" w:eastAsia="en-US"/>
              </w:rPr>
              <w:t>13.0</w:t>
            </w:r>
          </w:p>
        </w:tc>
        <w:tc>
          <w:tcPr>
            <w:tcW w:w="1080" w:type="dxa"/>
            <w:tcBorders>
              <w:top w:val="nil"/>
              <w:left w:val="nil"/>
              <w:bottom w:val="single" w:sz="4" w:space="0" w:color="auto"/>
              <w:right w:val="single" w:sz="4" w:space="0" w:color="auto"/>
            </w:tcBorders>
            <w:noWrap/>
            <w:vAlign w:val="bottom"/>
          </w:tcPr>
          <w:p w14:paraId="5589BDF6" w14:textId="77777777" w:rsidR="00583B86" w:rsidRPr="00D94B08" w:rsidRDefault="00583B86" w:rsidP="00FB265E">
            <w:pPr>
              <w:jc w:val="center"/>
              <w:rPr>
                <w:color w:val="000000"/>
                <w:lang w:val="en-US" w:eastAsia="en-US"/>
              </w:rPr>
            </w:pPr>
            <w:r w:rsidRPr="00D94B08">
              <w:rPr>
                <w:color w:val="000000"/>
                <w:sz w:val="22"/>
                <w:szCs w:val="22"/>
                <w:lang w:val="en-US" w:eastAsia="en-US"/>
              </w:rPr>
              <w:t>10.9</w:t>
            </w:r>
          </w:p>
        </w:tc>
        <w:tc>
          <w:tcPr>
            <w:tcW w:w="1260" w:type="dxa"/>
            <w:tcBorders>
              <w:top w:val="nil"/>
              <w:left w:val="nil"/>
              <w:bottom w:val="single" w:sz="4" w:space="0" w:color="auto"/>
              <w:right w:val="single" w:sz="4" w:space="0" w:color="auto"/>
            </w:tcBorders>
            <w:noWrap/>
            <w:vAlign w:val="bottom"/>
          </w:tcPr>
          <w:p w14:paraId="204958B7" w14:textId="77777777" w:rsidR="00583B86" w:rsidRPr="00D94B08" w:rsidRDefault="00583B86" w:rsidP="00FB265E">
            <w:pPr>
              <w:jc w:val="center"/>
              <w:rPr>
                <w:color w:val="000000"/>
                <w:lang w:val="en-US" w:eastAsia="en-US"/>
              </w:rPr>
            </w:pPr>
            <w:r w:rsidRPr="00D94B08">
              <w:rPr>
                <w:color w:val="000000"/>
                <w:sz w:val="22"/>
                <w:szCs w:val="22"/>
                <w:lang w:val="en-US" w:eastAsia="en-US"/>
              </w:rPr>
              <w:t>15.2</w:t>
            </w:r>
          </w:p>
        </w:tc>
        <w:tc>
          <w:tcPr>
            <w:tcW w:w="3600" w:type="dxa"/>
            <w:tcBorders>
              <w:top w:val="nil"/>
              <w:left w:val="nil"/>
              <w:bottom w:val="single" w:sz="4" w:space="0" w:color="auto"/>
              <w:right w:val="single" w:sz="4" w:space="0" w:color="auto"/>
            </w:tcBorders>
            <w:noWrap/>
            <w:vAlign w:val="bottom"/>
          </w:tcPr>
          <w:p w14:paraId="38DD2FDC" w14:textId="77777777" w:rsidR="00583B86" w:rsidRPr="00D94B08" w:rsidRDefault="00583B86" w:rsidP="00FB265E">
            <w:pPr>
              <w:jc w:val="center"/>
              <w:rPr>
                <w:color w:val="000000"/>
                <w:lang w:val="en-US" w:eastAsia="en-US"/>
              </w:rPr>
            </w:pPr>
            <w:r w:rsidRPr="00D94B08">
              <w:rPr>
                <w:color w:val="000000"/>
                <w:sz w:val="22"/>
                <w:szCs w:val="22"/>
                <w:lang w:val="en-US" w:eastAsia="en-US"/>
              </w:rPr>
              <w:t>1.19 (0.99 - 1.43)</w:t>
            </w:r>
          </w:p>
        </w:tc>
      </w:tr>
      <w:tr w:rsidR="00583B86" w:rsidRPr="00D94B08" w14:paraId="183CE704"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48A5305C" w14:textId="77777777" w:rsidR="00583B86" w:rsidRPr="00D94B08" w:rsidRDefault="00583B86" w:rsidP="00FB265E">
            <w:pPr>
              <w:rPr>
                <w:color w:val="000000"/>
                <w:lang w:val="en-US" w:eastAsia="en-US"/>
              </w:rPr>
            </w:pPr>
            <w:r w:rsidRPr="00D94B08">
              <w:rPr>
                <w:color w:val="000000"/>
                <w:sz w:val="22"/>
                <w:szCs w:val="22"/>
                <w:lang w:val="en-US" w:eastAsia="en-US"/>
              </w:rPr>
              <w:t xml:space="preserve">   North West</w:t>
            </w:r>
          </w:p>
        </w:tc>
        <w:tc>
          <w:tcPr>
            <w:tcW w:w="1620" w:type="dxa"/>
            <w:tcBorders>
              <w:top w:val="nil"/>
              <w:left w:val="nil"/>
              <w:bottom w:val="single" w:sz="4" w:space="0" w:color="auto"/>
              <w:right w:val="single" w:sz="4" w:space="0" w:color="auto"/>
            </w:tcBorders>
            <w:noWrap/>
            <w:vAlign w:val="bottom"/>
          </w:tcPr>
          <w:p w14:paraId="043D0C12" w14:textId="77777777" w:rsidR="00583B86" w:rsidRPr="00D94B08" w:rsidRDefault="00583B86" w:rsidP="00FB265E">
            <w:pPr>
              <w:jc w:val="center"/>
              <w:rPr>
                <w:color w:val="000000"/>
                <w:lang w:val="en-US" w:eastAsia="en-US"/>
              </w:rPr>
            </w:pPr>
            <w:r w:rsidRPr="00D94B08">
              <w:rPr>
                <w:color w:val="000000"/>
                <w:sz w:val="22"/>
                <w:szCs w:val="22"/>
                <w:lang w:val="en-US" w:eastAsia="en-US"/>
              </w:rPr>
              <w:t>1167</w:t>
            </w:r>
          </w:p>
        </w:tc>
        <w:tc>
          <w:tcPr>
            <w:tcW w:w="2160" w:type="dxa"/>
            <w:tcBorders>
              <w:top w:val="nil"/>
              <w:left w:val="nil"/>
              <w:bottom w:val="single" w:sz="4" w:space="0" w:color="auto"/>
              <w:right w:val="single" w:sz="4" w:space="0" w:color="auto"/>
            </w:tcBorders>
            <w:noWrap/>
            <w:vAlign w:val="bottom"/>
          </w:tcPr>
          <w:p w14:paraId="3504CF6E" w14:textId="77777777" w:rsidR="00583B86" w:rsidRPr="00D94B08" w:rsidRDefault="00583B86" w:rsidP="00FB265E">
            <w:pPr>
              <w:jc w:val="center"/>
              <w:rPr>
                <w:color w:val="000000"/>
                <w:lang w:val="en-US" w:eastAsia="en-US"/>
              </w:rPr>
            </w:pPr>
            <w:r w:rsidRPr="00D94B08">
              <w:rPr>
                <w:color w:val="000000"/>
                <w:sz w:val="22"/>
                <w:szCs w:val="22"/>
                <w:lang w:val="en-US" w:eastAsia="en-US"/>
              </w:rPr>
              <w:t>14.8</w:t>
            </w:r>
          </w:p>
        </w:tc>
        <w:tc>
          <w:tcPr>
            <w:tcW w:w="1080" w:type="dxa"/>
            <w:tcBorders>
              <w:top w:val="nil"/>
              <w:left w:val="nil"/>
              <w:bottom w:val="single" w:sz="4" w:space="0" w:color="auto"/>
              <w:right w:val="single" w:sz="4" w:space="0" w:color="auto"/>
            </w:tcBorders>
            <w:noWrap/>
            <w:vAlign w:val="bottom"/>
          </w:tcPr>
          <w:p w14:paraId="14966DFB" w14:textId="77777777" w:rsidR="00583B86" w:rsidRPr="00D94B08" w:rsidRDefault="00583B86" w:rsidP="00FB265E">
            <w:pPr>
              <w:jc w:val="center"/>
              <w:rPr>
                <w:color w:val="000000"/>
                <w:lang w:val="en-US" w:eastAsia="en-US"/>
              </w:rPr>
            </w:pPr>
            <w:r w:rsidRPr="00D94B08">
              <w:rPr>
                <w:color w:val="000000"/>
                <w:sz w:val="22"/>
                <w:szCs w:val="22"/>
                <w:lang w:val="en-US" w:eastAsia="en-US"/>
              </w:rPr>
              <w:t>13.9</w:t>
            </w:r>
          </w:p>
        </w:tc>
        <w:tc>
          <w:tcPr>
            <w:tcW w:w="1260" w:type="dxa"/>
            <w:tcBorders>
              <w:top w:val="nil"/>
              <w:left w:val="nil"/>
              <w:bottom w:val="single" w:sz="4" w:space="0" w:color="auto"/>
              <w:right w:val="single" w:sz="4" w:space="0" w:color="auto"/>
            </w:tcBorders>
            <w:noWrap/>
            <w:vAlign w:val="bottom"/>
          </w:tcPr>
          <w:p w14:paraId="6A05E071" w14:textId="77777777" w:rsidR="00583B86" w:rsidRPr="00D94B08" w:rsidRDefault="00583B86" w:rsidP="00FB265E">
            <w:pPr>
              <w:jc w:val="center"/>
              <w:rPr>
                <w:color w:val="000000"/>
                <w:lang w:val="en-US" w:eastAsia="en-US"/>
              </w:rPr>
            </w:pPr>
            <w:r w:rsidRPr="00D94B08">
              <w:rPr>
                <w:color w:val="000000"/>
                <w:sz w:val="22"/>
                <w:szCs w:val="22"/>
                <w:lang w:val="en-US" w:eastAsia="en-US"/>
              </w:rPr>
              <w:t>15.6</w:t>
            </w:r>
          </w:p>
        </w:tc>
        <w:tc>
          <w:tcPr>
            <w:tcW w:w="3600" w:type="dxa"/>
            <w:tcBorders>
              <w:top w:val="nil"/>
              <w:left w:val="nil"/>
              <w:bottom w:val="single" w:sz="4" w:space="0" w:color="auto"/>
              <w:right w:val="single" w:sz="4" w:space="0" w:color="auto"/>
            </w:tcBorders>
            <w:noWrap/>
            <w:vAlign w:val="bottom"/>
          </w:tcPr>
          <w:p w14:paraId="7E8039F8" w14:textId="77777777" w:rsidR="00583B86" w:rsidRPr="00D94B08" w:rsidRDefault="00583B86" w:rsidP="00FB265E">
            <w:pPr>
              <w:jc w:val="center"/>
              <w:rPr>
                <w:color w:val="000000"/>
                <w:lang w:val="en-US" w:eastAsia="en-US"/>
              </w:rPr>
            </w:pPr>
            <w:r w:rsidRPr="00D94B08">
              <w:rPr>
                <w:color w:val="000000"/>
                <w:sz w:val="22"/>
                <w:szCs w:val="22"/>
                <w:lang w:val="en-US" w:eastAsia="en-US"/>
              </w:rPr>
              <w:t>1.26 (1.14 - 1.39)</w:t>
            </w:r>
          </w:p>
        </w:tc>
      </w:tr>
      <w:tr w:rsidR="00583B86" w:rsidRPr="00D94B08" w14:paraId="2890B4C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73774B1C"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Central</w:t>
            </w:r>
          </w:p>
        </w:tc>
        <w:tc>
          <w:tcPr>
            <w:tcW w:w="1620" w:type="dxa"/>
            <w:tcBorders>
              <w:top w:val="nil"/>
              <w:left w:val="nil"/>
              <w:bottom w:val="single" w:sz="4" w:space="0" w:color="auto"/>
              <w:right w:val="single" w:sz="4" w:space="0" w:color="auto"/>
            </w:tcBorders>
            <w:noWrap/>
            <w:vAlign w:val="bottom"/>
          </w:tcPr>
          <w:p w14:paraId="42895607" w14:textId="77777777" w:rsidR="00583B86" w:rsidRPr="00D94B08" w:rsidRDefault="00583B86" w:rsidP="00FB265E">
            <w:pPr>
              <w:jc w:val="center"/>
              <w:rPr>
                <w:color w:val="000000"/>
                <w:lang w:val="en-US" w:eastAsia="en-US"/>
              </w:rPr>
            </w:pPr>
            <w:r w:rsidRPr="00D94B08">
              <w:rPr>
                <w:color w:val="000000"/>
                <w:sz w:val="22"/>
                <w:szCs w:val="22"/>
                <w:lang w:val="en-US" w:eastAsia="en-US"/>
              </w:rPr>
              <w:t>860</w:t>
            </w:r>
          </w:p>
        </w:tc>
        <w:tc>
          <w:tcPr>
            <w:tcW w:w="2160" w:type="dxa"/>
            <w:tcBorders>
              <w:top w:val="nil"/>
              <w:left w:val="nil"/>
              <w:bottom w:val="single" w:sz="4" w:space="0" w:color="auto"/>
              <w:right w:val="single" w:sz="4" w:space="0" w:color="auto"/>
            </w:tcBorders>
            <w:noWrap/>
            <w:vAlign w:val="bottom"/>
          </w:tcPr>
          <w:p w14:paraId="29B610E7" w14:textId="77777777" w:rsidR="00583B86" w:rsidRPr="00D94B08" w:rsidRDefault="00583B86" w:rsidP="00FB265E">
            <w:pPr>
              <w:jc w:val="center"/>
              <w:rPr>
                <w:color w:val="000000"/>
                <w:lang w:val="en-US" w:eastAsia="en-US"/>
              </w:rPr>
            </w:pPr>
            <w:r w:rsidRPr="00D94B08">
              <w:rPr>
                <w:color w:val="000000"/>
                <w:sz w:val="22"/>
                <w:szCs w:val="22"/>
                <w:lang w:val="en-US" w:eastAsia="en-US"/>
              </w:rPr>
              <w:t>15.1</w:t>
            </w:r>
          </w:p>
        </w:tc>
        <w:tc>
          <w:tcPr>
            <w:tcW w:w="1080" w:type="dxa"/>
            <w:tcBorders>
              <w:top w:val="nil"/>
              <w:left w:val="nil"/>
              <w:bottom w:val="single" w:sz="4" w:space="0" w:color="auto"/>
              <w:right w:val="single" w:sz="4" w:space="0" w:color="auto"/>
            </w:tcBorders>
            <w:noWrap/>
            <w:vAlign w:val="bottom"/>
          </w:tcPr>
          <w:p w14:paraId="48B336E6" w14:textId="77777777" w:rsidR="00583B86" w:rsidRPr="00D94B08" w:rsidRDefault="00583B86" w:rsidP="00FB265E">
            <w:pPr>
              <w:jc w:val="center"/>
              <w:rPr>
                <w:color w:val="000000"/>
                <w:lang w:val="en-US" w:eastAsia="en-US"/>
              </w:rPr>
            </w:pPr>
            <w:r w:rsidRPr="00D94B08">
              <w:rPr>
                <w:color w:val="000000"/>
                <w:sz w:val="22"/>
                <w:szCs w:val="22"/>
                <w:lang w:val="en-US" w:eastAsia="en-US"/>
              </w:rPr>
              <w:t>14.1</w:t>
            </w:r>
          </w:p>
        </w:tc>
        <w:tc>
          <w:tcPr>
            <w:tcW w:w="1260" w:type="dxa"/>
            <w:tcBorders>
              <w:top w:val="nil"/>
              <w:left w:val="nil"/>
              <w:bottom w:val="single" w:sz="4" w:space="0" w:color="auto"/>
              <w:right w:val="single" w:sz="4" w:space="0" w:color="auto"/>
            </w:tcBorders>
            <w:noWrap/>
            <w:vAlign w:val="bottom"/>
          </w:tcPr>
          <w:p w14:paraId="1E4DEC40" w14:textId="77777777" w:rsidR="00583B86" w:rsidRPr="00D94B08" w:rsidRDefault="00583B86" w:rsidP="00FB265E">
            <w:pPr>
              <w:jc w:val="center"/>
              <w:rPr>
                <w:color w:val="000000"/>
                <w:lang w:val="en-US" w:eastAsia="en-US"/>
              </w:rPr>
            </w:pPr>
            <w:r w:rsidRPr="00D94B08">
              <w:rPr>
                <w:color w:val="000000"/>
                <w:sz w:val="22"/>
                <w:szCs w:val="22"/>
                <w:lang w:val="en-US" w:eastAsia="en-US"/>
              </w:rPr>
              <w:t>16.1</w:t>
            </w:r>
          </w:p>
        </w:tc>
        <w:tc>
          <w:tcPr>
            <w:tcW w:w="3600" w:type="dxa"/>
            <w:tcBorders>
              <w:top w:val="nil"/>
              <w:left w:val="nil"/>
              <w:bottom w:val="single" w:sz="4" w:space="0" w:color="auto"/>
              <w:right w:val="single" w:sz="4" w:space="0" w:color="auto"/>
            </w:tcBorders>
            <w:noWrap/>
            <w:vAlign w:val="bottom"/>
          </w:tcPr>
          <w:p w14:paraId="2E6D0CCC" w14:textId="77777777" w:rsidR="00583B86" w:rsidRPr="00D94B08" w:rsidRDefault="00583B86" w:rsidP="00FB265E">
            <w:pPr>
              <w:jc w:val="center"/>
              <w:rPr>
                <w:color w:val="000000"/>
                <w:lang w:val="en-US" w:eastAsia="en-US"/>
              </w:rPr>
            </w:pPr>
            <w:r w:rsidRPr="00D94B08">
              <w:rPr>
                <w:color w:val="000000"/>
                <w:sz w:val="22"/>
                <w:szCs w:val="22"/>
                <w:lang w:val="en-US" w:eastAsia="en-US"/>
              </w:rPr>
              <w:t>1.17 (1.05 - 1.30)</w:t>
            </w:r>
          </w:p>
        </w:tc>
      </w:tr>
      <w:tr w:rsidR="00583B86" w:rsidRPr="00D94B08" w14:paraId="3057A51A"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5273A80E"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East Coast</w:t>
            </w:r>
          </w:p>
        </w:tc>
        <w:tc>
          <w:tcPr>
            <w:tcW w:w="1620" w:type="dxa"/>
            <w:tcBorders>
              <w:top w:val="nil"/>
              <w:left w:val="nil"/>
              <w:bottom w:val="single" w:sz="4" w:space="0" w:color="auto"/>
              <w:right w:val="single" w:sz="4" w:space="0" w:color="auto"/>
            </w:tcBorders>
            <w:noWrap/>
            <w:vAlign w:val="bottom"/>
          </w:tcPr>
          <w:p w14:paraId="3A030DA8" w14:textId="77777777" w:rsidR="00583B86" w:rsidRPr="00D94B08" w:rsidRDefault="00583B86" w:rsidP="00FB265E">
            <w:pPr>
              <w:jc w:val="center"/>
              <w:rPr>
                <w:color w:val="000000"/>
                <w:lang w:val="en-US" w:eastAsia="en-US"/>
              </w:rPr>
            </w:pPr>
            <w:r w:rsidRPr="00D94B08">
              <w:rPr>
                <w:color w:val="000000"/>
                <w:sz w:val="22"/>
                <w:szCs w:val="22"/>
                <w:lang w:val="en-US" w:eastAsia="en-US"/>
              </w:rPr>
              <w:t>789</w:t>
            </w:r>
          </w:p>
        </w:tc>
        <w:tc>
          <w:tcPr>
            <w:tcW w:w="2160" w:type="dxa"/>
            <w:tcBorders>
              <w:top w:val="nil"/>
              <w:left w:val="nil"/>
              <w:bottom w:val="single" w:sz="4" w:space="0" w:color="auto"/>
              <w:right w:val="single" w:sz="4" w:space="0" w:color="auto"/>
            </w:tcBorders>
            <w:noWrap/>
            <w:vAlign w:val="bottom"/>
          </w:tcPr>
          <w:p w14:paraId="222FC771" w14:textId="77777777" w:rsidR="00583B86" w:rsidRPr="00D94B08" w:rsidRDefault="00583B86" w:rsidP="00FB265E">
            <w:pPr>
              <w:jc w:val="center"/>
              <w:rPr>
                <w:color w:val="000000"/>
                <w:lang w:val="en-US" w:eastAsia="en-US"/>
              </w:rPr>
            </w:pPr>
            <w:r w:rsidRPr="00D94B08">
              <w:rPr>
                <w:color w:val="000000"/>
                <w:sz w:val="22"/>
                <w:szCs w:val="22"/>
                <w:lang w:val="en-US" w:eastAsia="en-US"/>
              </w:rPr>
              <w:t>14.0</w:t>
            </w:r>
          </w:p>
        </w:tc>
        <w:tc>
          <w:tcPr>
            <w:tcW w:w="1080" w:type="dxa"/>
            <w:tcBorders>
              <w:top w:val="nil"/>
              <w:left w:val="nil"/>
              <w:bottom w:val="single" w:sz="4" w:space="0" w:color="auto"/>
              <w:right w:val="single" w:sz="4" w:space="0" w:color="auto"/>
            </w:tcBorders>
            <w:noWrap/>
            <w:vAlign w:val="bottom"/>
          </w:tcPr>
          <w:p w14:paraId="1E02F2A0" w14:textId="77777777" w:rsidR="00583B86" w:rsidRPr="00D94B08" w:rsidRDefault="00583B86" w:rsidP="00FB265E">
            <w:pPr>
              <w:jc w:val="center"/>
              <w:rPr>
                <w:color w:val="000000"/>
                <w:lang w:val="en-US" w:eastAsia="en-US"/>
              </w:rPr>
            </w:pPr>
            <w:r w:rsidRPr="00D94B08">
              <w:rPr>
                <w:color w:val="000000"/>
                <w:sz w:val="22"/>
                <w:szCs w:val="22"/>
                <w:lang w:val="en-US" w:eastAsia="en-US"/>
              </w:rPr>
              <w:t>13.0</w:t>
            </w:r>
          </w:p>
        </w:tc>
        <w:tc>
          <w:tcPr>
            <w:tcW w:w="1260" w:type="dxa"/>
            <w:tcBorders>
              <w:top w:val="nil"/>
              <w:left w:val="nil"/>
              <w:bottom w:val="single" w:sz="4" w:space="0" w:color="auto"/>
              <w:right w:val="single" w:sz="4" w:space="0" w:color="auto"/>
            </w:tcBorders>
            <w:noWrap/>
            <w:vAlign w:val="bottom"/>
          </w:tcPr>
          <w:p w14:paraId="72229CEB" w14:textId="77777777" w:rsidR="00583B86" w:rsidRPr="00D94B08" w:rsidRDefault="00583B86" w:rsidP="00FB265E">
            <w:pPr>
              <w:jc w:val="center"/>
              <w:rPr>
                <w:color w:val="000000"/>
                <w:lang w:val="en-US" w:eastAsia="en-US"/>
              </w:rPr>
            </w:pPr>
            <w:r w:rsidRPr="00D94B08">
              <w:rPr>
                <w:color w:val="000000"/>
                <w:sz w:val="22"/>
                <w:szCs w:val="22"/>
                <w:lang w:val="en-US" w:eastAsia="en-US"/>
              </w:rPr>
              <w:t>15.0</w:t>
            </w:r>
          </w:p>
        </w:tc>
        <w:tc>
          <w:tcPr>
            <w:tcW w:w="3600" w:type="dxa"/>
            <w:tcBorders>
              <w:top w:val="nil"/>
              <w:left w:val="nil"/>
              <w:bottom w:val="single" w:sz="4" w:space="0" w:color="auto"/>
              <w:right w:val="single" w:sz="4" w:space="0" w:color="auto"/>
            </w:tcBorders>
            <w:noWrap/>
            <w:vAlign w:val="bottom"/>
          </w:tcPr>
          <w:p w14:paraId="34EAD770" w14:textId="77777777" w:rsidR="00583B86" w:rsidRPr="00D94B08" w:rsidRDefault="00583B86" w:rsidP="00FB265E">
            <w:pPr>
              <w:jc w:val="center"/>
              <w:rPr>
                <w:color w:val="000000"/>
                <w:lang w:val="en-US" w:eastAsia="en-US"/>
              </w:rPr>
            </w:pPr>
            <w:r w:rsidRPr="00D94B08">
              <w:rPr>
                <w:color w:val="000000"/>
                <w:sz w:val="22"/>
                <w:szCs w:val="22"/>
                <w:lang w:val="en-US" w:eastAsia="en-US"/>
              </w:rPr>
              <w:t>1.07 (0.96 - 1.19)</w:t>
            </w:r>
          </w:p>
        </w:tc>
      </w:tr>
      <w:tr w:rsidR="00583B86" w:rsidRPr="00D94B08" w14:paraId="31292DA0"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D659FE0" w14:textId="77777777" w:rsidR="00583B86" w:rsidRPr="00D94B08" w:rsidRDefault="00583B86" w:rsidP="00FB265E">
            <w:pPr>
              <w:rPr>
                <w:color w:val="000000"/>
                <w:lang w:val="en-US" w:eastAsia="en-US"/>
              </w:rPr>
            </w:pPr>
            <w:r w:rsidRPr="00D94B08">
              <w:rPr>
                <w:color w:val="000000"/>
                <w:sz w:val="22"/>
                <w:szCs w:val="22"/>
                <w:lang w:val="en-US" w:eastAsia="en-US"/>
              </w:rPr>
              <w:t xml:space="preserve">   South West</w:t>
            </w:r>
          </w:p>
        </w:tc>
        <w:tc>
          <w:tcPr>
            <w:tcW w:w="1620" w:type="dxa"/>
            <w:tcBorders>
              <w:top w:val="nil"/>
              <w:left w:val="nil"/>
              <w:bottom w:val="single" w:sz="4" w:space="0" w:color="auto"/>
              <w:right w:val="single" w:sz="4" w:space="0" w:color="auto"/>
            </w:tcBorders>
            <w:noWrap/>
            <w:vAlign w:val="bottom"/>
          </w:tcPr>
          <w:p w14:paraId="2EB32E84" w14:textId="77777777" w:rsidR="00583B86" w:rsidRPr="00D94B08" w:rsidRDefault="00583B86" w:rsidP="00FB265E">
            <w:pPr>
              <w:jc w:val="center"/>
              <w:rPr>
                <w:color w:val="000000"/>
                <w:lang w:val="en-US" w:eastAsia="en-US"/>
              </w:rPr>
            </w:pPr>
            <w:r w:rsidRPr="00D94B08">
              <w:rPr>
                <w:color w:val="000000"/>
                <w:sz w:val="22"/>
                <w:szCs w:val="22"/>
                <w:lang w:val="en-US" w:eastAsia="en-US"/>
              </w:rPr>
              <w:t>901</w:t>
            </w:r>
          </w:p>
        </w:tc>
        <w:tc>
          <w:tcPr>
            <w:tcW w:w="2160" w:type="dxa"/>
            <w:tcBorders>
              <w:top w:val="nil"/>
              <w:left w:val="nil"/>
              <w:bottom w:val="single" w:sz="4" w:space="0" w:color="auto"/>
              <w:right w:val="single" w:sz="4" w:space="0" w:color="auto"/>
            </w:tcBorders>
            <w:noWrap/>
            <w:vAlign w:val="bottom"/>
          </w:tcPr>
          <w:p w14:paraId="2B0C4523" w14:textId="77777777" w:rsidR="00583B86" w:rsidRPr="00D94B08" w:rsidRDefault="00583B86" w:rsidP="00FB265E">
            <w:pPr>
              <w:jc w:val="center"/>
              <w:rPr>
                <w:color w:val="000000"/>
                <w:lang w:val="en-US" w:eastAsia="en-US"/>
              </w:rPr>
            </w:pPr>
            <w:r w:rsidRPr="00D94B08">
              <w:rPr>
                <w:color w:val="000000"/>
                <w:sz w:val="22"/>
                <w:szCs w:val="22"/>
                <w:lang w:val="en-US" w:eastAsia="en-US"/>
              </w:rPr>
              <w:t>14.6</w:t>
            </w:r>
          </w:p>
        </w:tc>
        <w:tc>
          <w:tcPr>
            <w:tcW w:w="1080" w:type="dxa"/>
            <w:tcBorders>
              <w:top w:val="nil"/>
              <w:left w:val="nil"/>
              <w:bottom w:val="single" w:sz="4" w:space="0" w:color="auto"/>
              <w:right w:val="single" w:sz="4" w:space="0" w:color="auto"/>
            </w:tcBorders>
            <w:noWrap/>
            <w:vAlign w:val="bottom"/>
          </w:tcPr>
          <w:p w14:paraId="10C518A0" w14:textId="77777777" w:rsidR="00583B86" w:rsidRPr="00D94B08" w:rsidRDefault="00583B86" w:rsidP="00FB265E">
            <w:pPr>
              <w:jc w:val="center"/>
              <w:rPr>
                <w:color w:val="000000"/>
                <w:lang w:val="en-US" w:eastAsia="en-US"/>
              </w:rPr>
            </w:pPr>
            <w:r w:rsidRPr="00D94B08">
              <w:rPr>
                <w:color w:val="000000"/>
                <w:sz w:val="22"/>
                <w:szCs w:val="22"/>
                <w:lang w:val="en-US" w:eastAsia="en-US"/>
              </w:rPr>
              <w:t>13.6</w:t>
            </w:r>
          </w:p>
        </w:tc>
        <w:tc>
          <w:tcPr>
            <w:tcW w:w="1260" w:type="dxa"/>
            <w:tcBorders>
              <w:top w:val="nil"/>
              <w:left w:val="nil"/>
              <w:bottom w:val="single" w:sz="4" w:space="0" w:color="auto"/>
              <w:right w:val="single" w:sz="4" w:space="0" w:color="auto"/>
            </w:tcBorders>
            <w:noWrap/>
            <w:vAlign w:val="bottom"/>
          </w:tcPr>
          <w:p w14:paraId="744E5B7C"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3600" w:type="dxa"/>
            <w:tcBorders>
              <w:top w:val="nil"/>
              <w:left w:val="nil"/>
              <w:bottom w:val="single" w:sz="4" w:space="0" w:color="auto"/>
              <w:right w:val="single" w:sz="4" w:space="0" w:color="auto"/>
            </w:tcBorders>
            <w:noWrap/>
            <w:vAlign w:val="bottom"/>
          </w:tcPr>
          <w:p w14:paraId="7D188813" w14:textId="77777777" w:rsidR="00583B86" w:rsidRPr="00D94B08" w:rsidRDefault="00583B86" w:rsidP="00FB265E">
            <w:pPr>
              <w:jc w:val="center"/>
              <w:rPr>
                <w:color w:val="000000"/>
                <w:lang w:val="en-US" w:eastAsia="en-US"/>
              </w:rPr>
            </w:pPr>
            <w:r w:rsidRPr="00D94B08">
              <w:rPr>
                <w:color w:val="000000"/>
                <w:sz w:val="22"/>
                <w:szCs w:val="22"/>
                <w:lang w:val="en-US" w:eastAsia="en-US"/>
              </w:rPr>
              <w:t>1.06 (0.95 - 1.17)</w:t>
            </w:r>
          </w:p>
        </w:tc>
      </w:tr>
      <w:tr w:rsidR="00583B86" w:rsidRPr="00D94B08" w14:paraId="405F49F9"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13C81C2F" w14:textId="77777777" w:rsidR="00583B86" w:rsidRPr="00D94B08" w:rsidRDefault="00583B86" w:rsidP="00FB265E">
            <w:pPr>
              <w:rPr>
                <w:color w:val="000000"/>
                <w:lang w:val="en-US" w:eastAsia="en-US"/>
              </w:rPr>
            </w:pPr>
            <w:r w:rsidRPr="00D94B08">
              <w:rPr>
                <w:color w:val="000000"/>
                <w:sz w:val="22"/>
                <w:szCs w:val="22"/>
                <w:lang w:val="en-US" w:eastAsia="en-US"/>
              </w:rPr>
              <w:t xml:space="preserve">   West Midlands</w:t>
            </w:r>
          </w:p>
        </w:tc>
        <w:tc>
          <w:tcPr>
            <w:tcW w:w="1620" w:type="dxa"/>
            <w:tcBorders>
              <w:top w:val="nil"/>
              <w:left w:val="nil"/>
              <w:bottom w:val="single" w:sz="4" w:space="0" w:color="auto"/>
              <w:right w:val="single" w:sz="4" w:space="0" w:color="auto"/>
            </w:tcBorders>
            <w:noWrap/>
            <w:vAlign w:val="bottom"/>
          </w:tcPr>
          <w:p w14:paraId="7EEDEE5E" w14:textId="77777777" w:rsidR="00583B86" w:rsidRPr="00D94B08" w:rsidRDefault="00583B86" w:rsidP="00FB265E">
            <w:pPr>
              <w:jc w:val="center"/>
              <w:rPr>
                <w:color w:val="000000"/>
                <w:lang w:val="en-US" w:eastAsia="en-US"/>
              </w:rPr>
            </w:pPr>
            <w:r w:rsidRPr="00D94B08">
              <w:rPr>
                <w:color w:val="000000"/>
                <w:sz w:val="22"/>
                <w:szCs w:val="22"/>
                <w:lang w:val="en-US" w:eastAsia="en-US"/>
              </w:rPr>
              <w:t>740</w:t>
            </w:r>
          </w:p>
        </w:tc>
        <w:tc>
          <w:tcPr>
            <w:tcW w:w="2160" w:type="dxa"/>
            <w:tcBorders>
              <w:top w:val="nil"/>
              <w:left w:val="nil"/>
              <w:bottom w:val="single" w:sz="4" w:space="0" w:color="auto"/>
              <w:right w:val="single" w:sz="4" w:space="0" w:color="auto"/>
            </w:tcBorders>
            <w:noWrap/>
            <w:vAlign w:val="bottom"/>
          </w:tcPr>
          <w:p w14:paraId="08DE8E4D" w14:textId="77777777" w:rsidR="00583B86" w:rsidRPr="00D94B08" w:rsidRDefault="00583B86" w:rsidP="00FB265E">
            <w:pPr>
              <w:jc w:val="center"/>
              <w:rPr>
                <w:color w:val="000000"/>
                <w:lang w:val="en-US" w:eastAsia="en-US"/>
              </w:rPr>
            </w:pPr>
            <w:r w:rsidRPr="00D94B08">
              <w:rPr>
                <w:color w:val="000000"/>
                <w:sz w:val="22"/>
                <w:szCs w:val="22"/>
                <w:lang w:val="en-US" w:eastAsia="en-US"/>
              </w:rPr>
              <w:t>14.5</w:t>
            </w:r>
          </w:p>
        </w:tc>
        <w:tc>
          <w:tcPr>
            <w:tcW w:w="1080" w:type="dxa"/>
            <w:tcBorders>
              <w:top w:val="nil"/>
              <w:left w:val="nil"/>
              <w:bottom w:val="single" w:sz="4" w:space="0" w:color="auto"/>
              <w:right w:val="single" w:sz="4" w:space="0" w:color="auto"/>
            </w:tcBorders>
            <w:noWrap/>
            <w:vAlign w:val="bottom"/>
          </w:tcPr>
          <w:p w14:paraId="5D05E714" w14:textId="77777777" w:rsidR="00583B86" w:rsidRPr="00D94B08" w:rsidRDefault="00583B86" w:rsidP="00FB265E">
            <w:pPr>
              <w:jc w:val="center"/>
              <w:rPr>
                <w:color w:val="000000"/>
                <w:lang w:val="en-US" w:eastAsia="en-US"/>
              </w:rPr>
            </w:pPr>
            <w:r w:rsidRPr="00D94B08">
              <w:rPr>
                <w:color w:val="000000"/>
                <w:sz w:val="22"/>
                <w:szCs w:val="22"/>
                <w:lang w:val="en-US" w:eastAsia="en-US"/>
              </w:rPr>
              <w:t>13.4</w:t>
            </w:r>
          </w:p>
        </w:tc>
        <w:tc>
          <w:tcPr>
            <w:tcW w:w="1260" w:type="dxa"/>
            <w:tcBorders>
              <w:top w:val="nil"/>
              <w:left w:val="nil"/>
              <w:bottom w:val="single" w:sz="4" w:space="0" w:color="auto"/>
              <w:right w:val="single" w:sz="4" w:space="0" w:color="auto"/>
            </w:tcBorders>
            <w:noWrap/>
            <w:vAlign w:val="bottom"/>
          </w:tcPr>
          <w:p w14:paraId="467ED291" w14:textId="77777777" w:rsidR="00583B86" w:rsidRPr="00D94B08" w:rsidRDefault="00583B86" w:rsidP="00FB265E">
            <w:pPr>
              <w:jc w:val="center"/>
              <w:rPr>
                <w:color w:val="000000"/>
                <w:lang w:val="en-US" w:eastAsia="en-US"/>
              </w:rPr>
            </w:pPr>
            <w:r w:rsidRPr="00D94B08">
              <w:rPr>
                <w:color w:val="000000"/>
                <w:sz w:val="22"/>
                <w:szCs w:val="22"/>
                <w:lang w:val="en-US" w:eastAsia="en-US"/>
              </w:rPr>
              <w:t>15.5</w:t>
            </w:r>
          </w:p>
        </w:tc>
        <w:tc>
          <w:tcPr>
            <w:tcW w:w="3600" w:type="dxa"/>
            <w:tcBorders>
              <w:top w:val="nil"/>
              <w:left w:val="nil"/>
              <w:bottom w:val="single" w:sz="4" w:space="0" w:color="auto"/>
              <w:right w:val="single" w:sz="4" w:space="0" w:color="auto"/>
            </w:tcBorders>
            <w:noWrap/>
            <w:vAlign w:val="bottom"/>
          </w:tcPr>
          <w:p w14:paraId="0A60D886" w14:textId="77777777" w:rsidR="00583B86" w:rsidRPr="00D94B08" w:rsidRDefault="00583B86" w:rsidP="00FB265E">
            <w:pPr>
              <w:jc w:val="center"/>
              <w:rPr>
                <w:color w:val="000000"/>
                <w:lang w:val="en-US" w:eastAsia="en-US"/>
              </w:rPr>
            </w:pPr>
            <w:r w:rsidRPr="00D94B08">
              <w:rPr>
                <w:color w:val="000000"/>
                <w:sz w:val="22"/>
                <w:szCs w:val="22"/>
                <w:lang w:val="en-US" w:eastAsia="en-US"/>
              </w:rPr>
              <w:t>1.18 (1.06 - 1.32)</w:t>
            </w:r>
          </w:p>
        </w:tc>
      </w:tr>
      <w:tr w:rsidR="00583B86" w:rsidRPr="00D94B08" w14:paraId="481F1965" w14:textId="77777777" w:rsidTr="00FB265E">
        <w:trPr>
          <w:trHeight w:val="300"/>
        </w:trPr>
        <w:tc>
          <w:tcPr>
            <w:tcW w:w="2355" w:type="dxa"/>
            <w:tcBorders>
              <w:top w:val="nil"/>
              <w:left w:val="single" w:sz="4" w:space="0" w:color="auto"/>
              <w:bottom w:val="single" w:sz="4" w:space="0" w:color="auto"/>
              <w:right w:val="single" w:sz="4" w:space="0" w:color="auto"/>
            </w:tcBorders>
            <w:noWrap/>
            <w:vAlign w:val="bottom"/>
          </w:tcPr>
          <w:p w14:paraId="22A59F43" w14:textId="77777777" w:rsidR="00583B86" w:rsidRPr="00D94B08" w:rsidRDefault="00583B86" w:rsidP="00FB265E">
            <w:pPr>
              <w:rPr>
                <w:color w:val="000000"/>
                <w:lang w:val="en-US" w:eastAsia="en-US"/>
              </w:rPr>
            </w:pPr>
            <w:r w:rsidRPr="00D94B08">
              <w:rPr>
                <w:color w:val="000000"/>
                <w:sz w:val="22"/>
                <w:szCs w:val="22"/>
                <w:lang w:val="en-US" w:eastAsia="en-US"/>
              </w:rPr>
              <w:lastRenderedPageBreak/>
              <w:t xml:space="preserve">   Yorkshire &amp; The Humber </w:t>
            </w:r>
          </w:p>
        </w:tc>
        <w:tc>
          <w:tcPr>
            <w:tcW w:w="1620" w:type="dxa"/>
            <w:tcBorders>
              <w:top w:val="nil"/>
              <w:left w:val="nil"/>
              <w:bottom w:val="single" w:sz="4" w:space="0" w:color="auto"/>
              <w:right w:val="single" w:sz="4" w:space="0" w:color="auto"/>
            </w:tcBorders>
            <w:noWrap/>
            <w:vAlign w:val="bottom"/>
          </w:tcPr>
          <w:p w14:paraId="46DBA3F5" w14:textId="77777777" w:rsidR="00583B86" w:rsidRPr="00D94B08" w:rsidRDefault="00583B86" w:rsidP="00FB265E">
            <w:pPr>
              <w:jc w:val="center"/>
              <w:rPr>
                <w:color w:val="000000"/>
                <w:lang w:val="en-US" w:eastAsia="en-US"/>
              </w:rPr>
            </w:pPr>
            <w:r w:rsidRPr="00D94B08">
              <w:rPr>
                <w:color w:val="000000"/>
                <w:sz w:val="22"/>
                <w:szCs w:val="22"/>
                <w:lang w:val="en-US" w:eastAsia="en-US"/>
              </w:rPr>
              <w:t>329</w:t>
            </w:r>
          </w:p>
        </w:tc>
        <w:tc>
          <w:tcPr>
            <w:tcW w:w="2160" w:type="dxa"/>
            <w:tcBorders>
              <w:top w:val="nil"/>
              <w:left w:val="nil"/>
              <w:bottom w:val="single" w:sz="4" w:space="0" w:color="auto"/>
              <w:right w:val="single" w:sz="4" w:space="0" w:color="auto"/>
            </w:tcBorders>
            <w:noWrap/>
            <w:vAlign w:val="bottom"/>
          </w:tcPr>
          <w:p w14:paraId="732DC6F1" w14:textId="77777777" w:rsidR="00583B86" w:rsidRPr="00D94B08" w:rsidRDefault="00583B86" w:rsidP="00FB265E">
            <w:pPr>
              <w:jc w:val="center"/>
              <w:rPr>
                <w:color w:val="000000"/>
                <w:lang w:val="en-US" w:eastAsia="en-US"/>
              </w:rPr>
            </w:pPr>
            <w:r w:rsidRPr="00D94B08">
              <w:rPr>
                <w:color w:val="000000"/>
                <w:sz w:val="22"/>
                <w:szCs w:val="22"/>
                <w:lang w:val="en-US" w:eastAsia="en-US"/>
              </w:rPr>
              <w:t>15.2</w:t>
            </w:r>
          </w:p>
        </w:tc>
        <w:tc>
          <w:tcPr>
            <w:tcW w:w="1080" w:type="dxa"/>
            <w:tcBorders>
              <w:top w:val="nil"/>
              <w:left w:val="nil"/>
              <w:bottom w:val="single" w:sz="4" w:space="0" w:color="auto"/>
              <w:right w:val="single" w:sz="4" w:space="0" w:color="auto"/>
            </w:tcBorders>
            <w:noWrap/>
            <w:vAlign w:val="bottom"/>
          </w:tcPr>
          <w:p w14:paraId="3E35FCB1" w14:textId="77777777" w:rsidR="00583B86" w:rsidRPr="00D94B08" w:rsidRDefault="00583B86" w:rsidP="00FB265E">
            <w:pPr>
              <w:jc w:val="center"/>
              <w:rPr>
                <w:color w:val="000000"/>
                <w:lang w:val="en-US" w:eastAsia="en-US"/>
              </w:rPr>
            </w:pPr>
            <w:r w:rsidRPr="00D94B08">
              <w:rPr>
                <w:color w:val="000000"/>
                <w:sz w:val="22"/>
                <w:szCs w:val="22"/>
                <w:lang w:val="en-US" w:eastAsia="en-US"/>
              </w:rPr>
              <w:t>13.5</w:t>
            </w:r>
          </w:p>
        </w:tc>
        <w:tc>
          <w:tcPr>
            <w:tcW w:w="1260" w:type="dxa"/>
            <w:tcBorders>
              <w:top w:val="nil"/>
              <w:left w:val="nil"/>
              <w:bottom w:val="single" w:sz="4" w:space="0" w:color="auto"/>
              <w:right w:val="single" w:sz="4" w:space="0" w:color="auto"/>
            </w:tcBorders>
            <w:noWrap/>
            <w:vAlign w:val="bottom"/>
          </w:tcPr>
          <w:p w14:paraId="382BF6EE" w14:textId="77777777" w:rsidR="00583B86" w:rsidRPr="00D94B08" w:rsidRDefault="00583B86" w:rsidP="00FB265E">
            <w:pPr>
              <w:jc w:val="center"/>
              <w:rPr>
                <w:color w:val="000000"/>
                <w:lang w:val="en-US" w:eastAsia="en-US"/>
              </w:rPr>
            </w:pPr>
            <w:r w:rsidRPr="00D94B08">
              <w:rPr>
                <w:color w:val="000000"/>
                <w:sz w:val="22"/>
                <w:szCs w:val="22"/>
                <w:lang w:val="en-US" w:eastAsia="en-US"/>
              </w:rPr>
              <w:t>16.8</w:t>
            </w:r>
          </w:p>
        </w:tc>
        <w:tc>
          <w:tcPr>
            <w:tcW w:w="3600" w:type="dxa"/>
            <w:tcBorders>
              <w:top w:val="nil"/>
              <w:left w:val="nil"/>
              <w:bottom w:val="single" w:sz="4" w:space="0" w:color="auto"/>
              <w:right w:val="single" w:sz="4" w:space="0" w:color="auto"/>
            </w:tcBorders>
            <w:noWrap/>
            <w:vAlign w:val="bottom"/>
          </w:tcPr>
          <w:p w14:paraId="09ACE021" w14:textId="77777777" w:rsidR="00583B86" w:rsidRPr="00D94B08" w:rsidRDefault="00583B86" w:rsidP="00FB265E">
            <w:pPr>
              <w:jc w:val="center"/>
              <w:rPr>
                <w:color w:val="000000"/>
                <w:lang w:val="en-US" w:eastAsia="en-US"/>
              </w:rPr>
            </w:pPr>
            <w:r w:rsidRPr="00D94B08">
              <w:rPr>
                <w:color w:val="000000"/>
                <w:sz w:val="22"/>
                <w:szCs w:val="22"/>
                <w:lang w:val="en-US" w:eastAsia="en-US"/>
              </w:rPr>
              <w:t>1.19 (1.04 - 1.36)</w:t>
            </w:r>
          </w:p>
        </w:tc>
      </w:tr>
    </w:tbl>
    <w:p w14:paraId="6C1E1580" w14:textId="77777777" w:rsidR="00583B86" w:rsidRPr="00D94B08" w:rsidRDefault="00583B86" w:rsidP="00A4414D">
      <w:pPr>
        <w:spacing w:after="200" w:line="276" w:lineRule="auto"/>
        <w:rPr>
          <w:color w:val="000000"/>
          <w:sz w:val="22"/>
          <w:szCs w:val="22"/>
        </w:rPr>
      </w:pPr>
      <w:r w:rsidRPr="00D94B08">
        <w:rPr>
          <w:color w:val="000000"/>
          <w:sz w:val="22"/>
          <w:szCs w:val="22"/>
        </w:rPr>
        <w:t>IR: incidence rate; RR: rate ratio; py: person-years</w:t>
      </w:r>
    </w:p>
    <w:p w14:paraId="592BB939" w14:textId="77777777" w:rsidR="00583B86" w:rsidRPr="00D94B08" w:rsidRDefault="00583B86" w:rsidP="00231E35">
      <w:pPr>
        <w:spacing w:after="120"/>
        <w:jc w:val="both"/>
        <w:rPr>
          <w:color w:val="000000"/>
          <w:sz w:val="22"/>
          <w:szCs w:val="22"/>
        </w:rPr>
      </w:pPr>
    </w:p>
    <w:p w14:paraId="7D6DA4EF" w14:textId="77777777" w:rsidR="00583B86" w:rsidRPr="00D94B08" w:rsidRDefault="00583B86" w:rsidP="006D4496">
      <w:pPr>
        <w:spacing w:after="200" w:line="276" w:lineRule="auto"/>
        <w:rPr>
          <w:b/>
          <w:color w:val="000000"/>
          <w:sz w:val="20"/>
          <w:szCs w:val="18"/>
        </w:rPr>
      </w:pPr>
    </w:p>
    <w:p w14:paraId="725D4DDF" w14:textId="77777777" w:rsidR="00583B86" w:rsidRPr="00D94B08" w:rsidRDefault="00583B86" w:rsidP="006D4496">
      <w:pPr>
        <w:spacing w:after="200" w:line="276" w:lineRule="auto"/>
        <w:rPr>
          <w:b/>
          <w:color w:val="000000"/>
          <w:sz w:val="20"/>
          <w:szCs w:val="18"/>
        </w:rPr>
      </w:pPr>
      <w:r w:rsidRPr="00D94B08">
        <w:rPr>
          <w:b/>
          <w:color w:val="000000"/>
          <w:sz w:val="20"/>
          <w:szCs w:val="18"/>
        </w:rPr>
        <w:br w:type="page"/>
      </w:r>
    </w:p>
    <w:tbl>
      <w:tblPr>
        <w:tblW w:w="12075" w:type="dxa"/>
        <w:tblInd w:w="93" w:type="dxa"/>
        <w:tblLook w:val="00A0" w:firstRow="1" w:lastRow="0" w:firstColumn="1" w:lastColumn="0" w:noHBand="0" w:noVBand="0"/>
      </w:tblPr>
      <w:tblGrid>
        <w:gridCol w:w="3075"/>
        <w:gridCol w:w="2520"/>
        <w:gridCol w:w="2880"/>
        <w:gridCol w:w="3600"/>
      </w:tblGrid>
      <w:tr w:rsidR="00583B86" w:rsidRPr="00D94B08" w14:paraId="7CFFF9F8" w14:textId="77777777" w:rsidTr="00B06DCB">
        <w:trPr>
          <w:trHeight w:val="300"/>
        </w:trPr>
        <w:tc>
          <w:tcPr>
            <w:tcW w:w="12075" w:type="dxa"/>
            <w:gridSpan w:val="4"/>
            <w:tcBorders>
              <w:top w:val="single" w:sz="4" w:space="0" w:color="auto"/>
              <w:left w:val="single" w:sz="4" w:space="0" w:color="auto"/>
              <w:bottom w:val="single" w:sz="4" w:space="0" w:color="auto"/>
              <w:right w:val="single" w:sz="4" w:space="0" w:color="000000"/>
            </w:tcBorders>
            <w:noWrap/>
            <w:vAlign w:val="bottom"/>
          </w:tcPr>
          <w:p w14:paraId="00815755" w14:textId="39067948" w:rsidR="00583B86" w:rsidRPr="00D94B08" w:rsidRDefault="00583B86" w:rsidP="00B06DCB">
            <w:pPr>
              <w:rPr>
                <w:color w:val="000000"/>
                <w:lang w:val="en-US" w:eastAsia="en-US"/>
              </w:rPr>
            </w:pPr>
            <w:r w:rsidRPr="00D94B08">
              <w:rPr>
                <w:b/>
                <w:color w:val="000000"/>
                <w:sz w:val="22"/>
                <w:szCs w:val="22"/>
                <w:lang w:val="en-US" w:eastAsia="en-US"/>
              </w:rPr>
              <w:lastRenderedPageBreak/>
              <w:t>Supplementary Table 3.</w:t>
            </w:r>
            <w:r w:rsidRPr="00D94B08">
              <w:rPr>
                <w:color w:val="000000"/>
                <w:sz w:val="22"/>
                <w:szCs w:val="22"/>
                <w:lang w:val="en-US" w:eastAsia="en-US"/>
              </w:rPr>
              <w:t xml:space="preserve"> One-year excess mortality from all causes after fracture (FRAX definition), stratified by sex, index year, and major causes of death</w:t>
            </w:r>
          </w:p>
        </w:tc>
      </w:tr>
      <w:tr w:rsidR="00583B86" w:rsidRPr="00D94B08" w14:paraId="5445617B"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32591BD" w14:textId="77777777" w:rsidR="00583B86" w:rsidRPr="00D94B08" w:rsidRDefault="00583B86" w:rsidP="00B06DCB">
            <w:pPr>
              <w:rPr>
                <w:color w:val="000000"/>
                <w:lang w:val="en-US" w:eastAsia="en-US"/>
              </w:rPr>
            </w:pPr>
          </w:p>
        </w:tc>
        <w:tc>
          <w:tcPr>
            <w:tcW w:w="2520" w:type="dxa"/>
            <w:tcBorders>
              <w:top w:val="nil"/>
              <w:left w:val="nil"/>
              <w:bottom w:val="single" w:sz="4" w:space="0" w:color="auto"/>
              <w:right w:val="single" w:sz="4" w:space="0" w:color="auto"/>
            </w:tcBorders>
            <w:noWrap/>
            <w:vAlign w:val="bottom"/>
          </w:tcPr>
          <w:p w14:paraId="5354BB3A" w14:textId="77777777" w:rsidR="00583B86" w:rsidRPr="00D94B08" w:rsidRDefault="00583B86" w:rsidP="00B06DCB">
            <w:pPr>
              <w:jc w:val="center"/>
              <w:rPr>
                <w:color w:val="000000"/>
                <w:lang w:val="en-US" w:eastAsia="en-US"/>
              </w:rPr>
            </w:pPr>
            <w:r w:rsidRPr="00D94B08">
              <w:rPr>
                <w:color w:val="000000"/>
                <w:sz w:val="22"/>
                <w:szCs w:val="22"/>
                <w:lang w:val="en-US" w:eastAsia="en-US"/>
              </w:rPr>
              <w:t>N deaths observed</w:t>
            </w:r>
          </w:p>
        </w:tc>
        <w:tc>
          <w:tcPr>
            <w:tcW w:w="2880" w:type="dxa"/>
            <w:tcBorders>
              <w:top w:val="nil"/>
              <w:left w:val="nil"/>
              <w:bottom w:val="single" w:sz="4" w:space="0" w:color="auto"/>
              <w:right w:val="single" w:sz="4" w:space="0" w:color="auto"/>
            </w:tcBorders>
            <w:noWrap/>
            <w:vAlign w:val="bottom"/>
          </w:tcPr>
          <w:p w14:paraId="749F896B" w14:textId="77777777" w:rsidR="00583B86" w:rsidRPr="00D94B08" w:rsidRDefault="00583B86" w:rsidP="00B06DCB">
            <w:pPr>
              <w:jc w:val="center"/>
              <w:rPr>
                <w:color w:val="000000"/>
                <w:lang w:val="en-US" w:eastAsia="en-US"/>
              </w:rPr>
            </w:pPr>
            <w:r w:rsidRPr="00D94B08">
              <w:rPr>
                <w:color w:val="000000"/>
                <w:sz w:val="22"/>
                <w:szCs w:val="22"/>
                <w:lang w:val="en-US" w:eastAsia="en-US"/>
              </w:rPr>
              <w:t>N deaths expected</w:t>
            </w:r>
          </w:p>
        </w:tc>
        <w:tc>
          <w:tcPr>
            <w:tcW w:w="3600" w:type="dxa"/>
            <w:tcBorders>
              <w:top w:val="nil"/>
              <w:left w:val="nil"/>
              <w:bottom w:val="single" w:sz="4" w:space="0" w:color="auto"/>
              <w:right w:val="single" w:sz="4" w:space="0" w:color="auto"/>
            </w:tcBorders>
            <w:noWrap/>
            <w:vAlign w:val="bottom"/>
          </w:tcPr>
          <w:p w14:paraId="2767CD8D" w14:textId="77777777" w:rsidR="00583B86" w:rsidRPr="00D94B08" w:rsidRDefault="00583B86" w:rsidP="00B06DCB">
            <w:pPr>
              <w:jc w:val="center"/>
              <w:rPr>
                <w:color w:val="000000"/>
                <w:lang w:val="en-US" w:eastAsia="en-US"/>
              </w:rPr>
            </w:pPr>
            <w:r w:rsidRPr="00D94B08">
              <w:rPr>
                <w:color w:val="000000"/>
                <w:sz w:val="22"/>
                <w:szCs w:val="22"/>
                <w:lang w:val="en-US" w:eastAsia="en-US"/>
              </w:rPr>
              <w:t>SMR (95% CI)</w:t>
            </w:r>
          </w:p>
        </w:tc>
      </w:tr>
      <w:tr w:rsidR="00583B86" w:rsidRPr="00D94B08" w14:paraId="32B35719"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4B97B90" w14:textId="77777777" w:rsidR="00583B86" w:rsidRPr="00D94B08" w:rsidRDefault="00583B86" w:rsidP="00B06DCB">
            <w:pPr>
              <w:rPr>
                <w:color w:val="000000"/>
                <w:lang w:val="en-US" w:eastAsia="en-US"/>
              </w:rPr>
            </w:pPr>
            <w:r w:rsidRPr="00D94B08">
              <w:rPr>
                <w:color w:val="000000"/>
                <w:sz w:val="22"/>
                <w:szCs w:val="22"/>
                <w:lang w:val="en-US" w:eastAsia="en-US"/>
              </w:rPr>
              <w:t>Overall*</w:t>
            </w:r>
          </w:p>
        </w:tc>
        <w:tc>
          <w:tcPr>
            <w:tcW w:w="2520" w:type="dxa"/>
            <w:tcBorders>
              <w:top w:val="nil"/>
              <w:left w:val="nil"/>
              <w:bottom w:val="single" w:sz="4" w:space="0" w:color="auto"/>
              <w:right w:val="single" w:sz="4" w:space="0" w:color="auto"/>
            </w:tcBorders>
            <w:noWrap/>
            <w:vAlign w:val="bottom"/>
          </w:tcPr>
          <w:p w14:paraId="5AC5E88D" w14:textId="77777777" w:rsidR="00583B86" w:rsidRPr="00D94B08" w:rsidRDefault="00583B86" w:rsidP="00B06DCB">
            <w:pPr>
              <w:jc w:val="center"/>
              <w:rPr>
                <w:color w:val="000000"/>
                <w:lang w:val="en-US" w:eastAsia="en-US"/>
              </w:rPr>
            </w:pPr>
            <w:r w:rsidRPr="00D94B08">
              <w:rPr>
                <w:color w:val="000000"/>
                <w:sz w:val="22"/>
                <w:szCs w:val="22"/>
                <w:lang w:val="en-US" w:eastAsia="en-US"/>
              </w:rPr>
              <w:t>10175</w:t>
            </w:r>
          </w:p>
        </w:tc>
        <w:tc>
          <w:tcPr>
            <w:tcW w:w="2880" w:type="dxa"/>
            <w:tcBorders>
              <w:top w:val="nil"/>
              <w:left w:val="nil"/>
              <w:bottom w:val="single" w:sz="4" w:space="0" w:color="auto"/>
              <w:right w:val="single" w:sz="4" w:space="0" w:color="auto"/>
            </w:tcBorders>
            <w:noWrap/>
            <w:vAlign w:val="bottom"/>
          </w:tcPr>
          <w:p w14:paraId="75774DA0" w14:textId="77777777" w:rsidR="00583B86" w:rsidRPr="00D94B08" w:rsidRDefault="00583B86" w:rsidP="00B06DCB">
            <w:pPr>
              <w:jc w:val="center"/>
              <w:rPr>
                <w:color w:val="000000"/>
                <w:lang w:val="en-US" w:eastAsia="en-US"/>
              </w:rPr>
            </w:pPr>
            <w:r w:rsidRPr="00D94B08">
              <w:rPr>
                <w:color w:val="000000"/>
                <w:sz w:val="22"/>
                <w:szCs w:val="22"/>
                <w:lang w:val="en-US" w:eastAsia="en-US"/>
              </w:rPr>
              <w:t>3241</w:t>
            </w:r>
          </w:p>
        </w:tc>
        <w:tc>
          <w:tcPr>
            <w:tcW w:w="3600" w:type="dxa"/>
            <w:tcBorders>
              <w:top w:val="nil"/>
              <w:left w:val="nil"/>
              <w:bottom w:val="single" w:sz="4" w:space="0" w:color="auto"/>
              <w:right w:val="single" w:sz="4" w:space="0" w:color="auto"/>
            </w:tcBorders>
            <w:noWrap/>
            <w:vAlign w:val="bottom"/>
          </w:tcPr>
          <w:p w14:paraId="7CE9DC3F" w14:textId="77777777" w:rsidR="00583B86" w:rsidRPr="00D94B08" w:rsidRDefault="00583B86" w:rsidP="00B06DCB">
            <w:pPr>
              <w:jc w:val="center"/>
              <w:rPr>
                <w:color w:val="000000"/>
                <w:lang w:val="en-US" w:eastAsia="en-US"/>
              </w:rPr>
            </w:pPr>
            <w:r w:rsidRPr="00D94B08">
              <w:rPr>
                <w:color w:val="000000"/>
                <w:sz w:val="22"/>
                <w:szCs w:val="22"/>
                <w:lang w:val="en-US" w:eastAsia="en-US"/>
              </w:rPr>
              <w:t>3.14 (3.08 - 3.20)</w:t>
            </w:r>
          </w:p>
        </w:tc>
      </w:tr>
      <w:tr w:rsidR="00583B86" w:rsidRPr="00D94B08" w14:paraId="091401A8"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25211773" w14:textId="77777777" w:rsidR="00583B86" w:rsidRPr="00D94B08" w:rsidRDefault="00583B86" w:rsidP="00B06DCB">
            <w:pPr>
              <w:rPr>
                <w:color w:val="000000"/>
                <w:lang w:val="en-US" w:eastAsia="en-US"/>
              </w:rPr>
            </w:pPr>
            <w:r w:rsidRPr="00D94B08">
              <w:rPr>
                <w:color w:val="000000"/>
                <w:sz w:val="22"/>
                <w:szCs w:val="22"/>
                <w:lang w:val="en-US" w:eastAsia="en-US"/>
              </w:rPr>
              <w:t>By sex**</w:t>
            </w:r>
          </w:p>
        </w:tc>
        <w:tc>
          <w:tcPr>
            <w:tcW w:w="2520" w:type="dxa"/>
            <w:tcBorders>
              <w:top w:val="nil"/>
              <w:left w:val="nil"/>
              <w:bottom w:val="single" w:sz="4" w:space="0" w:color="auto"/>
              <w:right w:val="single" w:sz="4" w:space="0" w:color="auto"/>
            </w:tcBorders>
            <w:noWrap/>
            <w:vAlign w:val="bottom"/>
          </w:tcPr>
          <w:p w14:paraId="018D678E"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c>
          <w:tcPr>
            <w:tcW w:w="2880" w:type="dxa"/>
            <w:tcBorders>
              <w:top w:val="nil"/>
              <w:left w:val="nil"/>
              <w:bottom w:val="single" w:sz="4" w:space="0" w:color="auto"/>
              <w:right w:val="single" w:sz="4" w:space="0" w:color="auto"/>
            </w:tcBorders>
            <w:noWrap/>
            <w:vAlign w:val="bottom"/>
          </w:tcPr>
          <w:p w14:paraId="28CA5EB8"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76A09228"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r>
      <w:tr w:rsidR="00583B86" w:rsidRPr="00D94B08" w14:paraId="774BAB71"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5F90424D" w14:textId="77777777" w:rsidR="00583B86" w:rsidRPr="00D94B08" w:rsidRDefault="00583B86" w:rsidP="00B06DCB">
            <w:pPr>
              <w:rPr>
                <w:color w:val="000000"/>
                <w:lang w:val="en-US" w:eastAsia="en-US"/>
              </w:rPr>
            </w:pPr>
            <w:r w:rsidRPr="00D94B08">
              <w:rPr>
                <w:color w:val="000000"/>
                <w:sz w:val="22"/>
                <w:szCs w:val="22"/>
                <w:lang w:val="en-US" w:eastAsia="en-US"/>
              </w:rPr>
              <w:t xml:space="preserve">   Male</w:t>
            </w:r>
          </w:p>
        </w:tc>
        <w:tc>
          <w:tcPr>
            <w:tcW w:w="2520" w:type="dxa"/>
            <w:tcBorders>
              <w:top w:val="nil"/>
              <w:left w:val="nil"/>
              <w:bottom w:val="single" w:sz="4" w:space="0" w:color="auto"/>
              <w:right w:val="single" w:sz="4" w:space="0" w:color="auto"/>
            </w:tcBorders>
            <w:noWrap/>
            <w:vAlign w:val="bottom"/>
          </w:tcPr>
          <w:p w14:paraId="3C4C6D9F" w14:textId="77777777" w:rsidR="00583B86" w:rsidRPr="00D94B08" w:rsidRDefault="00583B86" w:rsidP="00B06DCB">
            <w:pPr>
              <w:jc w:val="center"/>
              <w:rPr>
                <w:color w:val="000000"/>
                <w:lang w:val="en-US" w:eastAsia="en-US"/>
              </w:rPr>
            </w:pPr>
            <w:r w:rsidRPr="00D94B08">
              <w:rPr>
                <w:color w:val="000000"/>
                <w:sz w:val="22"/>
                <w:szCs w:val="22"/>
                <w:lang w:val="en-US" w:eastAsia="en-US"/>
              </w:rPr>
              <w:t>3608</w:t>
            </w:r>
          </w:p>
        </w:tc>
        <w:tc>
          <w:tcPr>
            <w:tcW w:w="2880" w:type="dxa"/>
            <w:tcBorders>
              <w:top w:val="nil"/>
              <w:left w:val="nil"/>
              <w:bottom w:val="single" w:sz="4" w:space="0" w:color="auto"/>
              <w:right w:val="single" w:sz="4" w:space="0" w:color="auto"/>
            </w:tcBorders>
            <w:noWrap/>
            <w:vAlign w:val="bottom"/>
          </w:tcPr>
          <w:p w14:paraId="5B164AF2" w14:textId="77777777" w:rsidR="00583B86" w:rsidRPr="00D94B08" w:rsidRDefault="00583B86" w:rsidP="00B06DCB">
            <w:pPr>
              <w:jc w:val="center"/>
              <w:rPr>
                <w:color w:val="000000"/>
                <w:lang w:val="en-US" w:eastAsia="en-US"/>
              </w:rPr>
            </w:pPr>
            <w:r w:rsidRPr="00D94B08">
              <w:rPr>
                <w:color w:val="000000"/>
                <w:sz w:val="22"/>
                <w:szCs w:val="22"/>
                <w:lang w:val="en-US" w:eastAsia="en-US"/>
              </w:rPr>
              <w:t>807</w:t>
            </w:r>
          </w:p>
        </w:tc>
        <w:tc>
          <w:tcPr>
            <w:tcW w:w="3600" w:type="dxa"/>
            <w:tcBorders>
              <w:top w:val="nil"/>
              <w:left w:val="nil"/>
              <w:bottom w:val="single" w:sz="4" w:space="0" w:color="auto"/>
              <w:right w:val="single" w:sz="4" w:space="0" w:color="auto"/>
            </w:tcBorders>
            <w:noWrap/>
            <w:vAlign w:val="bottom"/>
          </w:tcPr>
          <w:p w14:paraId="01460C1F" w14:textId="77777777" w:rsidR="00583B86" w:rsidRPr="00D94B08" w:rsidRDefault="00583B86" w:rsidP="00B06DCB">
            <w:pPr>
              <w:jc w:val="center"/>
              <w:rPr>
                <w:color w:val="000000"/>
                <w:lang w:val="en-US" w:eastAsia="en-US"/>
              </w:rPr>
            </w:pPr>
            <w:r w:rsidRPr="00D94B08">
              <w:rPr>
                <w:color w:val="000000"/>
                <w:sz w:val="22"/>
                <w:szCs w:val="22"/>
                <w:lang w:val="en-US" w:eastAsia="en-US"/>
              </w:rPr>
              <w:t>4.47 (4.33 - 4.62)</w:t>
            </w:r>
          </w:p>
        </w:tc>
      </w:tr>
      <w:tr w:rsidR="00583B86" w:rsidRPr="00D94B08" w14:paraId="2702EACE"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2CFD185F" w14:textId="77777777" w:rsidR="00583B86" w:rsidRPr="00D94B08" w:rsidRDefault="00583B86" w:rsidP="00B06DCB">
            <w:pPr>
              <w:rPr>
                <w:color w:val="000000"/>
                <w:lang w:val="en-US" w:eastAsia="en-US"/>
              </w:rPr>
            </w:pPr>
            <w:r w:rsidRPr="00D94B08">
              <w:rPr>
                <w:color w:val="000000"/>
                <w:sz w:val="22"/>
                <w:szCs w:val="22"/>
                <w:lang w:val="en-US" w:eastAsia="en-US"/>
              </w:rPr>
              <w:t xml:space="preserve">   Female</w:t>
            </w:r>
          </w:p>
        </w:tc>
        <w:tc>
          <w:tcPr>
            <w:tcW w:w="2520" w:type="dxa"/>
            <w:tcBorders>
              <w:top w:val="nil"/>
              <w:left w:val="nil"/>
              <w:bottom w:val="single" w:sz="4" w:space="0" w:color="auto"/>
              <w:right w:val="single" w:sz="4" w:space="0" w:color="auto"/>
            </w:tcBorders>
            <w:noWrap/>
            <w:vAlign w:val="bottom"/>
          </w:tcPr>
          <w:p w14:paraId="049CBF5E" w14:textId="77777777" w:rsidR="00583B86" w:rsidRPr="00D94B08" w:rsidRDefault="00583B86" w:rsidP="00B06DCB">
            <w:pPr>
              <w:jc w:val="center"/>
              <w:rPr>
                <w:color w:val="000000"/>
                <w:lang w:val="en-US" w:eastAsia="en-US"/>
              </w:rPr>
            </w:pPr>
            <w:r w:rsidRPr="00D94B08">
              <w:rPr>
                <w:color w:val="000000"/>
                <w:sz w:val="22"/>
                <w:szCs w:val="22"/>
                <w:lang w:val="en-US" w:eastAsia="en-US"/>
              </w:rPr>
              <w:t>6567</w:t>
            </w:r>
          </w:p>
        </w:tc>
        <w:tc>
          <w:tcPr>
            <w:tcW w:w="2880" w:type="dxa"/>
            <w:tcBorders>
              <w:top w:val="nil"/>
              <w:left w:val="nil"/>
              <w:bottom w:val="single" w:sz="4" w:space="0" w:color="auto"/>
              <w:right w:val="single" w:sz="4" w:space="0" w:color="auto"/>
            </w:tcBorders>
            <w:noWrap/>
            <w:vAlign w:val="bottom"/>
          </w:tcPr>
          <w:p w14:paraId="0C663E3C" w14:textId="77777777" w:rsidR="00583B86" w:rsidRPr="00D94B08" w:rsidRDefault="00583B86" w:rsidP="00B06DCB">
            <w:pPr>
              <w:jc w:val="center"/>
              <w:rPr>
                <w:color w:val="000000"/>
                <w:lang w:val="en-US" w:eastAsia="en-US"/>
              </w:rPr>
            </w:pPr>
            <w:r w:rsidRPr="00D94B08">
              <w:rPr>
                <w:color w:val="000000"/>
                <w:sz w:val="22"/>
                <w:szCs w:val="22"/>
                <w:lang w:val="en-US" w:eastAsia="en-US"/>
              </w:rPr>
              <w:t>2434</w:t>
            </w:r>
          </w:p>
        </w:tc>
        <w:tc>
          <w:tcPr>
            <w:tcW w:w="3600" w:type="dxa"/>
            <w:tcBorders>
              <w:top w:val="nil"/>
              <w:left w:val="nil"/>
              <w:bottom w:val="single" w:sz="4" w:space="0" w:color="auto"/>
              <w:right w:val="single" w:sz="4" w:space="0" w:color="auto"/>
            </w:tcBorders>
            <w:noWrap/>
            <w:vAlign w:val="bottom"/>
          </w:tcPr>
          <w:p w14:paraId="496E4968" w14:textId="77777777" w:rsidR="00583B86" w:rsidRPr="00D94B08" w:rsidRDefault="00583B86" w:rsidP="00B06DCB">
            <w:pPr>
              <w:jc w:val="center"/>
              <w:rPr>
                <w:color w:val="000000"/>
                <w:lang w:val="en-US" w:eastAsia="en-US"/>
              </w:rPr>
            </w:pPr>
            <w:r w:rsidRPr="00D94B08">
              <w:rPr>
                <w:color w:val="000000"/>
                <w:sz w:val="22"/>
                <w:szCs w:val="22"/>
                <w:lang w:val="en-US" w:eastAsia="en-US"/>
              </w:rPr>
              <w:t>2.70 (2.63 - 2.76)</w:t>
            </w:r>
          </w:p>
        </w:tc>
      </w:tr>
      <w:tr w:rsidR="00583B86" w:rsidRPr="00D94B08" w14:paraId="3D7AF376"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35F6BA60" w14:textId="77777777" w:rsidR="00583B86" w:rsidRPr="00D94B08" w:rsidRDefault="00583B86" w:rsidP="00B06DCB">
            <w:pPr>
              <w:rPr>
                <w:color w:val="000000"/>
                <w:lang w:val="en-US" w:eastAsia="en-US"/>
              </w:rPr>
            </w:pPr>
            <w:r w:rsidRPr="00D94B08">
              <w:rPr>
                <w:color w:val="000000"/>
                <w:sz w:val="22"/>
                <w:szCs w:val="22"/>
                <w:lang w:val="en-US" w:eastAsia="en-US"/>
              </w:rPr>
              <w:t>By index year***</w:t>
            </w:r>
          </w:p>
        </w:tc>
        <w:tc>
          <w:tcPr>
            <w:tcW w:w="2520" w:type="dxa"/>
            <w:tcBorders>
              <w:top w:val="nil"/>
              <w:left w:val="nil"/>
              <w:bottom w:val="single" w:sz="4" w:space="0" w:color="auto"/>
              <w:right w:val="single" w:sz="4" w:space="0" w:color="auto"/>
            </w:tcBorders>
            <w:noWrap/>
            <w:vAlign w:val="bottom"/>
          </w:tcPr>
          <w:p w14:paraId="5558D109"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c>
          <w:tcPr>
            <w:tcW w:w="2880" w:type="dxa"/>
            <w:tcBorders>
              <w:top w:val="nil"/>
              <w:left w:val="nil"/>
              <w:bottom w:val="single" w:sz="4" w:space="0" w:color="auto"/>
              <w:right w:val="single" w:sz="4" w:space="0" w:color="auto"/>
            </w:tcBorders>
            <w:noWrap/>
            <w:vAlign w:val="bottom"/>
          </w:tcPr>
          <w:p w14:paraId="4B583025"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c>
          <w:tcPr>
            <w:tcW w:w="3600" w:type="dxa"/>
            <w:tcBorders>
              <w:top w:val="nil"/>
              <w:left w:val="nil"/>
              <w:bottom w:val="single" w:sz="4" w:space="0" w:color="auto"/>
              <w:right w:val="single" w:sz="4" w:space="0" w:color="auto"/>
            </w:tcBorders>
            <w:noWrap/>
            <w:vAlign w:val="bottom"/>
          </w:tcPr>
          <w:p w14:paraId="113BC82C" w14:textId="77777777" w:rsidR="00583B86" w:rsidRPr="00D94B08" w:rsidRDefault="00583B86" w:rsidP="00B06DCB">
            <w:pPr>
              <w:jc w:val="center"/>
              <w:rPr>
                <w:color w:val="000000"/>
                <w:lang w:val="en-US" w:eastAsia="en-US"/>
              </w:rPr>
            </w:pPr>
            <w:r w:rsidRPr="00D94B08">
              <w:rPr>
                <w:color w:val="000000"/>
                <w:sz w:val="22"/>
                <w:szCs w:val="22"/>
                <w:lang w:val="en-US" w:eastAsia="en-US"/>
              </w:rPr>
              <w:t> </w:t>
            </w:r>
          </w:p>
        </w:tc>
      </w:tr>
      <w:tr w:rsidR="00583B86" w:rsidRPr="00D94B08" w14:paraId="032E0140"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30DAC78A" w14:textId="77777777" w:rsidR="00583B86" w:rsidRPr="00D94B08" w:rsidRDefault="00583B86" w:rsidP="00B06DCB">
            <w:pPr>
              <w:rPr>
                <w:color w:val="000000"/>
                <w:lang w:val="en-US" w:eastAsia="en-US"/>
              </w:rPr>
            </w:pPr>
            <w:r w:rsidRPr="00D94B08">
              <w:rPr>
                <w:color w:val="000000"/>
                <w:sz w:val="22"/>
                <w:szCs w:val="22"/>
                <w:lang w:val="en-US" w:eastAsia="en-US"/>
              </w:rPr>
              <w:t>2001</w:t>
            </w:r>
          </w:p>
        </w:tc>
        <w:tc>
          <w:tcPr>
            <w:tcW w:w="2520" w:type="dxa"/>
            <w:tcBorders>
              <w:top w:val="nil"/>
              <w:left w:val="nil"/>
              <w:bottom w:val="single" w:sz="4" w:space="0" w:color="auto"/>
              <w:right w:val="single" w:sz="4" w:space="0" w:color="auto"/>
            </w:tcBorders>
            <w:noWrap/>
            <w:vAlign w:val="bottom"/>
          </w:tcPr>
          <w:p w14:paraId="5425D285" w14:textId="77777777" w:rsidR="00583B86" w:rsidRPr="00D94B08" w:rsidRDefault="00583B86" w:rsidP="00B06DCB">
            <w:pPr>
              <w:jc w:val="center"/>
              <w:rPr>
                <w:color w:val="000000"/>
                <w:lang w:val="en-US" w:eastAsia="en-US"/>
              </w:rPr>
            </w:pPr>
            <w:r w:rsidRPr="00D94B08">
              <w:rPr>
                <w:color w:val="000000"/>
                <w:sz w:val="22"/>
                <w:szCs w:val="22"/>
                <w:lang w:val="en-US" w:eastAsia="en-US"/>
              </w:rPr>
              <w:t>760</w:t>
            </w:r>
          </w:p>
        </w:tc>
        <w:tc>
          <w:tcPr>
            <w:tcW w:w="2880" w:type="dxa"/>
            <w:tcBorders>
              <w:top w:val="nil"/>
              <w:left w:val="nil"/>
              <w:bottom w:val="single" w:sz="4" w:space="0" w:color="auto"/>
              <w:right w:val="single" w:sz="4" w:space="0" w:color="auto"/>
            </w:tcBorders>
            <w:noWrap/>
            <w:vAlign w:val="bottom"/>
          </w:tcPr>
          <w:p w14:paraId="4A0A2CE8" w14:textId="77777777" w:rsidR="00583B86" w:rsidRPr="00D94B08" w:rsidRDefault="00583B86" w:rsidP="00B06DCB">
            <w:pPr>
              <w:jc w:val="center"/>
              <w:rPr>
                <w:color w:val="000000"/>
                <w:lang w:val="en-US" w:eastAsia="en-US"/>
              </w:rPr>
            </w:pPr>
            <w:r w:rsidRPr="00D94B08">
              <w:rPr>
                <w:color w:val="000000"/>
                <w:sz w:val="22"/>
                <w:szCs w:val="22"/>
                <w:lang w:val="en-US" w:eastAsia="en-US"/>
              </w:rPr>
              <w:t>269</w:t>
            </w:r>
          </w:p>
        </w:tc>
        <w:tc>
          <w:tcPr>
            <w:tcW w:w="3600" w:type="dxa"/>
            <w:tcBorders>
              <w:top w:val="nil"/>
              <w:left w:val="nil"/>
              <w:bottom w:val="single" w:sz="4" w:space="0" w:color="auto"/>
              <w:right w:val="single" w:sz="4" w:space="0" w:color="auto"/>
            </w:tcBorders>
            <w:noWrap/>
            <w:vAlign w:val="bottom"/>
          </w:tcPr>
          <w:p w14:paraId="03698C0A" w14:textId="77777777" w:rsidR="00583B86" w:rsidRPr="00D94B08" w:rsidRDefault="00583B86" w:rsidP="00B06DCB">
            <w:pPr>
              <w:jc w:val="center"/>
              <w:rPr>
                <w:color w:val="000000"/>
                <w:lang w:val="en-US" w:eastAsia="en-US"/>
              </w:rPr>
            </w:pPr>
            <w:r w:rsidRPr="00D94B08">
              <w:rPr>
                <w:color w:val="000000"/>
                <w:sz w:val="22"/>
                <w:szCs w:val="22"/>
                <w:lang w:val="en-US" w:eastAsia="en-US"/>
              </w:rPr>
              <w:t>2.83 (2.63 - 3.03)</w:t>
            </w:r>
          </w:p>
        </w:tc>
      </w:tr>
      <w:tr w:rsidR="00583B86" w:rsidRPr="00D94B08" w14:paraId="6FB0E468"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6F2AEC6" w14:textId="77777777" w:rsidR="00583B86" w:rsidRPr="00D94B08" w:rsidRDefault="00583B86" w:rsidP="00B06DCB">
            <w:pPr>
              <w:rPr>
                <w:color w:val="000000"/>
                <w:lang w:val="en-US" w:eastAsia="en-US"/>
              </w:rPr>
            </w:pPr>
            <w:r w:rsidRPr="00D94B08">
              <w:rPr>
                <w:color w:val="000000"/>
                <w:sz w:val="22"/>
                <w:szCs w:val="22"/>
                <w:lang w:val="en-US" w:eastAsia="en-US"/>
              </w:rPr>
              <w:t>2002</w:t>
            </w:r>
          </w:p>
        </w:tc>
        <w:tc>
          <w:tcPr>
            <w:tcW w:w="2520" w:type="dxa"/>
            <w:tcBorders>
              <w:top w:val="nil"/>
              <w:left w:val="nil"/>
              <w:bottom w:val="single" w:sz="4" w:space="0" w:color="auto"/>
              <w:right w:val="single" w:sz="4" w:space="0" w:color="auto"/>
            </w:tcBorders>
            <w:noWrap/>
            <w:vAlign w:val="bottom"/>
          </w:tcPr>
          <w:p w14:paraId="77279016" w14:textId="77777777" w:rsidR="00583B86" w:rsidRPr="00D94B08" w:rsidRDefault="00583B86" w:rsidP="00B06DCB">
            <w:pPr>
              <w:jc w:val="center"/>
              <w:rPr>
                <w:color w:val="000000"/>
                <w:lang w:val="en-US" w:eastAsia="en-US"/>
              </w:rPr>
            </w:pPr>
            <w:r w:rsidRPr="00D94B08">
              <w:rPr>
                <w:color w:val="000000"/>
                <w:sz w:val="22"/>
                <w:szCs w:val="22"/>
                <w:lang w:val="en-US" w:eastAsia="en-US"/>
              </w:rPr>
              <w:t>938</w:t>
            </w:r>
          </w:p>
        </w:tc>
        <w:tc>
          <w:tcPr>
            <w:tcW w:w="2880" w:type="dxa"/>
            <w:tcBorders>
              <w:top w:val="nil"/>
              <w:left w:val="nil"/>
              <w:bottom w:val="single" w:sz="4" w:space="0" w:color="auto"/>
              <w:right w:val="single" w:sz="4" w:space="0" w:color="auto"/>
            </w:tcBorders>
            <w:noWrap/>
            <w:vAlign w:val="bottom"/>
          </w:tcPr>
          <w:p w14:paraId="43CF88A3" w14:textId="77777777" w:rsidR="00583B86" w:rsidRPr="00D94B08" w:rsidRDefault="00583B86" w:rsidP="00B06DCB">
            <w:pPr>
              <w:jc w:val="center"/>
              <w:rPr>
                <w:color w:val="000000"/>
                <w:lang w:val="en-US" w:eastAsia="en-US"/>
              </w:rPr>
            </w:pPr>
            <w:r w:rsidRPr="00D94B08">
              <w:rPr>
                <w:color w:val="000000"/>
                <w:sz w:val="22"/>
                <w:szCs w:val="22"/>
                <w:lang w:val="en-US" w:eastAsia="en-US"/>
              </w:rPr>
              <w:t>285</w:t>
            </w:r>
          </w:p>
        </w:tc>
        <w:tc>
          <w:tcPr>
            <w:tcW w:w="3600" w:type="dxa"/>
            <w:tcBorders>
              <w:top w:val="nil"/>
              <w:left w:val="nil"/>
              <w:bottom w:val="single" w:sz="4" w:space="0" w:color="auto"/>
              <w:right w:val="single" w:sz="4" w:space="0" w:color="auto"/>
            </w:tcBorders>
            <w:noWrap/>
            <w:vAlign w:val="bottom"/>
          </w:tcPr>
          <w:p w14:paraId="0BB9BDBE" w14:textId="77777777" w:rsidR="00583B86" w:rsidRPr="00D94B08" w:rsidRDefault="00583B86" w:rsidP="00B06DCB">
            <w:pPr>
              <w:jc w:val="center"/>
              <w:rPr>
                <w:color w:val="000000"/>
                <w:lang w:val="en-US" w:eastAsia="en-US"/>
              </w:rPr>
            </w:pPr>
            <w:r w:rsidRPr="00D94B08">
              <w:rPr>
                <w:color w:val="000000"/>
                <w:sz w:val="22"/>
                <w:szCs w:val="22"/>
                <w:lang w:val="en-US" w:eastAsia="en-US"/>
              </w:rPr>
              <w:t>3.30 (3.09 - 3.51)</w:t>
            </w:r>
          </w:p>
        </w:tc>
      </w:tr>
      <w:tr w:rsidR="00583B86" w:rsidRPr="00D94B08" w14:paraId="76EC58FA"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037676F" w14:textId="77777777" w:rsidR="00583B86" w:rsidRPr="00D94B08" w:rsidRDefault="00583B86" w:rsidP="00B06DCB">
            <w:pPr>
              <w:rPr>
                <w:color w:val="000000"/>
                <w:lang w:val="en-US" w:eastAsia="en-US"/>
              </w:rPr>
            </w:pPr>
            <w:r w:rsidRPr="00D94B08">
              <w:rPr>
                <w:color w:val="000000"/>
                <w:sz w:val="22"/>
                <w:szCs w:val="22"/>
                <w:lang w:val="en-US" w:eastAsia="en-US"/>
              </w:rPr>
              <w:t>2003</w:t>
            </w:r>
          </w:p>
        </w:tc>
        <w:tc>
          <w:tcPr>
            <w:tcW w:w="2520" w:type="dxa"/>
            <w:tcBorders>
              <w:top w:val="nil"/>
              <w:left w:val="nil"/>
              <w:bottom w:val="single" w:sz="4" w:space="0" w:color="auto"/>
              <w:right w:val="single" w:sz="4" w:space="0" w:color="auto"/>
            </w:tcBorders>
            <w:noWrap/>
            <w:vAlign w:val="bottom"/>
          </w:tcPr>
          <w:p w14:paraId="1887FEB2" w14:textId="77777777" w:rsidR="00583B86" w:rsidRPr="00D94B08" w:rsidRDefault="00583B86" w:rsidP="00B06DCB">
            <w:pPr>
              <w:jc w:val="center"/>
              <w:rPr>
                <w:color w:val="000000"/>
                <w:lang w:val="en-US" w:eastAsia="en-US"/>
              </w:rPr>
            </w:pPr>
            <w:r w:rsidRPr="00D94B08">
              <w:rPr>
                <w:color w:val="000000"/>
                <w:sz w:val="22"/>
                <w:szCs w:val="22"/>
                <w:lang w:val="en-US" w:eastAsia="en-US"/>
              </w:rPr>
              <w:t>1046</w:t>
            </w:r>
          </w:p>
        </w:tc>
        <w:tc>
          <w:tcPr>
            <w:tcW w:w="2880" w:type="dxa"/>
            <w:tcBorders>
              <w:top w:val="nil"/>
              <w:left w:val="nil"/>
              <w:bottom w:val="single" w:sz="4" w:space="0" w:color="auto"/>
              <w:right w:val="single" w:sz="4" w:space="0" w:color="auto"/>
            </w:tcBorders>
            <w:noWrap/>
            <w:vAlign w:val="bottom"/>
          </w:tcPr>
          <w:p w14:paraId="34429F66" w14:textId="77777777" w:rsidR="00583B86" w:rsidRPr="00D94B08" w:rsidRDefault="00583B86" w:rsidP="00B06DCB">
            <w:pPr>
              <w:jc w:val="center"/>
              <w:rPr>
                <w:color w:val="000000"/>
                <w:lang w:val="en-US" w:eastAsia="en-US"/>
              </w:rPr>
            </w:pPr>
            <w:r w:rsidRPr="00D94B08">
              <w:rPr>
                <w:color w:val="000000"/>
                <w:sz w:val="22"/>
                <w:szCs w:val="22"/>
                <w:lang w:val="en-US" w:eastAsia="en-US"/>
              </w:rPr>
              <w:t>313</w:t>
            </w:r>
          </w:p>
        </w:tc>
        <w:tc>
          <w:tcPr>
            <w:tcW w:w="3600" w:type="dxa"/>
            <w:tcBorders>
              <w:top w:val="nil"/>
              <w:left w:val="nil"/>
              <w:bottom w:val="single" w:sz="4" w:space="0" w:color="auto"/>
              <w:right w:val="single" w:sz="4" w:space="0" w:color="auto"/>
            </w:tcBorders>
            <w:noWrap/>
            <w:vAlign w:val="bottom"/>
          </w:tcPr>
          <w:p w14:paraId="7AE9D063" w14:textId="77777777" w:rsidR="00583B86" w:rsidRPr="00D94B08" w:rsidRDefault="00583B86" w:rsidP="00B06DCB">
            <w:pPr>
              <w:jc w:val="center"/>
              <w:rPr>
                <w:color w:val="000000"/>
                <w:lang w:val="en-US" w:eastAsia="en-US"/>
              </w:rPr>
            </w:pPr>
            <w:r w:rsidRPr="00D94B08">
              <w:rPr>
                <w:color w:val="000000"/>
                <w:sz w:val="22"/>
                <w:szCs w:val="22"/>
                <w:lang w:val="en-US" w:eastAsia="en-US"/>
              </w:rPr>
              <w:t>3.34 (3.14 - 3.54)</w:t>
            </w:r>
          </w:p>
        </w:tc>
      </w:tr>
      <w:tr w:rsidR="00583B86" w:rsidRPr="00D94B08" w14:paraId="311D0698"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41E6821" w14:textId="77777777" w:rsidR="00583B86" w:rsidRPr="00D94B08" w:rsidRDefault="00583B86" w:rsidP="00B06DCB">
            <w:pPr>
              <w:rPr>
                <w:color w:val="000000"/>
                <w:lang w:val="en-US" w:eastAsia="en-US"/>
              </w:rPr>
            </w:pPr>
            <w:r w:rsidRPr="00D94B08">
              <w:rPr>
                <w:color w:val="000000"/>
                <w:sz w:val="22"/>
                <w:szCs w:val="22"/>
                <w:lang w:val="en-US" w:eastAsia="en-US"/>
              </w:rPr>
              <w:t>2004</w:t>
            </w:r>
          </w:p>
        </w:tc>
        <w:tc>
          <w:tcPr>
            <w:tcW w:w="2520" w:type="dxa"/>
            <w:tcBorders>
              <w:top w:val="nil"/>
              <w:left w:val="nil"/>
              <w:bottom w:val="single" w:sz="4" w:space="0" w:color="auto"/>
              <w:right w:val="single" w:sz="4" w:space="0" w:color="auto"/>
            </w:tcBorders>
            <w:noWrap/>
            <w:vAlign w:val="bottom"/>
          </w:tcPr>
          <w:p w14:paraId="7D8D96D2" w14:textId="77777777" w:rsidR="00583B86" w:rsidRPr="00D94B08" w:rsidRDefault="00583B86" w:rsidP="00B06DCB">
            <w:pPr>
              <w:jc w:val="center"/>
              <w:rPr>
                <w:color w:val="000000"/>
                <w:lang w:val="en-US" w:eastAsia="en-US"/>
              </w:rPr>
            </w:pPr>
            <w:r w:rsidRPr="00D94B08">
              <w:rPr>
                <w:color w:val="000000"/>
                <w:sz w:val="22"/>
                <w:szCs w:val="22"/>
                <w:lang w:val="en-US" w:eastAsia="en-US"/>
              </w:rPr>
              <w:t>1034</w:t>
            </w:r>
          </w:p>
        </w:tc>
        <w:tc>
          <w:tcPr>
            <w:tcW w:w="2880" w:type="dxa"/>
            <w:tcBorders>
              <w:top w:val="nil"/>
              <w:left w:val="nil"/>
              <w:bottom w:val="single" w:sz="4" w:space="0" w:color="auto"/>
              <w:right w:val="single" w:sz="4" w:space="0" w:color="auto"/>
            </w:tcBorders>
            <w:noWrap/>
            <w:vAlign w:val="bottom"/>
          </w:tcPr>
          <w:p w14:paraId="3BDFF884" w14:textId="77777777" w:rsidR="00583B86" w:rsidRPr="00D94B08" w:rsidRDefault="00583B86" w:rsidP="00B06DCB">
            <w:pPr>
              <w:jc w:val="center"/>
              <w:rPr>
                <w:color w:val="000000"/>
                <w:lang w:val="en-US" w:eastAsia="en-US"/>
              </w:rPr>
            </w:pPr>
            <w:r w:rsidRPr="00D94B08">
              <w:rPr>
                <w:color w:val="000000"/>
                <w:sz w:val="22"/>
                <w:szCs w:val="22"/>
                <w:lang w:val="en-US" w:eastAsia="en-US"/>
              </w:rPr>
              <w:t>311</w:t>
            </w:r>
          </w:p>
        </w:tc>
        <w:tc>
          <w:tcPr>
            <w:tcW w:w="3600" w:type="dxa"/>
            <w:tcBorders>
              <w:top w:val="nil"/>
              <w:left w:val="nil"/>
              <w:bottom w:val="single" w:sz="4" w:space="0" w:color="auto"/>
              <w:right w:val="single" w:sz="4" w:space="0" w:color="auto"/>
            </w:tcBorders>
            <w:noWrap/>
            <w:vAlign w:val="bottom"/>
          </w:tcPr>
          <w:p w14:paraId="1A4DAE1B" w14:textId="77777777" w:rsidR="00583B86" w:rsidRPr="00D94B08" w:rsidRDefault="00583B86" w:rsidP="00B06DCB">
            <w:pPr>
              <w:jc w:val="center"/>
              <w:rPr>
                <w:color w:val="000000"/>
                <w:lang w:val="en-US" w:eastAsia="en-US"/>
              </w:rPr>
            </w:pPr>
            <w:r w:rsidRPr="00D94B08">
              <w:rPr>
                <w:color w:val="000000"/>
                <w:sz w:val="22"/>
                <w:szCs w:val="22"/>
                <w:lang w:val="en-US" w:eastAsia="en-US"/>
              </w:rPr>
              <w:t>3.32 (3.12 - 3.52)</w:t>
            </w:r>
          </w:p>
        </w:tc>
      </w:tr>
      <w:tr w:rsidR="00583B86" w:rsidRPr="00D94B08" w14:paraId="2E310520"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4192C551" w14:textId="77777777" w:rsidR="00583B86" w:rsidRPr="00D94B08" w:rsidRDefault="00583B86" w:rsidP="00B06DCB">
            <w:pPr>
              <w:rPr>
                <w:color w:val="000000"/>
                <w:lang w:val="en-US" w:eastAsia="en-US"/>
              </w:rPr>
            </w:pPr>
            <w:r w:rsidRPr="00D94B08">
              <w:rPr>
                <w:color w:val="000000"/>
                <w:sz w:val="22"/>
                <w:szCs w:val="22"/>
                <w:lang w:val="en-US" w:eastAsia="en-US"/>
              </w:rPr>
              <w:t>2005</w:t>
            </w:r>
          </w:p>
        </w:tc>
        <w:tc>
          <w:tcPr>
            <w:tcW w:w="2520" w:type="dxa"/>
            <w:tcBorders>
              <w:top w:val="nil"/>
              <w:left w:val="nil"/>
              <w:bottom w:val="single" w:sz="4" w:space="0" w:color="auto"/>
              <w:right w:val="single" w:sz="4" w:space="0" w:color="auto"/>
            </w:tcBorders>
            <w:noWrap/>
            <w:vAlign w:val="bottom"/>
          </w:tcPr>
          <w:p w14:paraId="36A894EF" w14:textId="77777777" w:rsidR="00583B86" w:rsidRPr="00D94B08" w:rsidRDefault="00583B86" w:rsidP="00B06DCB">
            <w:pPr>
              <w:jc w:val="center"/>
              <w:rPr>
                <w:color w:val="000000"/>
                <w:lang w:val="en-US" w:eastAsia="en-US"/>
              </w:rPr>
            </w:pPr>
            <w:r w:rsidRPr="00D94B08">
              <w:rPr>
                <w:color w:val="000000"/>
                <w:sz w:val="22"/>
                <w:szCs w:val="22"/>
                <w:lang w:val="en-US" w:eastAsia="en-US"/>
              </w:rPr>
              <w:t>974</w:t>
            </w:r>
          </w:p>
        </w:tc>
        <w:tc>
          <w:tcPr>
            <w:tcW w:w="2880" w:type="dxa"/>
            <w:tcBorders>
              <w:top w:val="nil"/>
              <w:left w:val="nil"/>
              <w:bottom w:val="single" w:sz="4" w:space="0" w:color="auto"/>
              <w:right w:val="single" w:sz="4" w:space="0" w:color="auto"/>
            </w:tcBorders>
            <w:noWrap/>
            <w:vAlign w:val="bottom"/>
          </w:tcPr>
          <w:p w14:paraId="7C666CDD" w14:textId="77777777" w:rsidR="00583B86" w:rsidRPr="00D94B08" w:rsidRDefault="00583B86" w:rsidP="00B06DCB">
            <w:pPr>
              <w:jc w:val="center"/>
              <w:rPr>
                <w:color w:val="000000"/>
                <w:lang w:val="en-US" w:eastAsia="en-US"/>
              </w:rPr>
            </w:pPr>
            <w:r w:rsidRPr="00D94B08">
              <w:rPr>
                <w:color w:val="000000"/>
                <w:sz w:val="22"/>
                <w:szCs w:val="22"/>
                <w:lang w:val="en-US" w:eastAsia="en-US"/>
              </w:rPr>
              <w:t>318</w:t>
            </w:r>
          </w:p>
        </w:tc>
        <w:tc>
          <w:tcPr>
            <w:tcW w:w="3600" w:type="dxa"/>
            <w:tcBorders>
              <w:top w:val="nil"/>
              <w:left w:val="nil"/>
              <w:bottom w:val="single" w:sz="4" w:space="0" w:color="auto"/>
              <w:right w:val="single" w:sz="4" w:space="0" w:color="auto"/>
            </w:tcBorders>
            <w:noWrap/>
            <w:vAlign w:val="bottom"/>
          </w:tcPr>
          <w:p w14:paraId="006B448A" w14:textId="77777777" w:rsidR="00583B86" w:rsidRPr="00D94B08" w:rsidRDefault="00583B86" w:rsidP="00B06DCB">
            <w:pPr>
              <w:jc w:val="center"/>
              <w:rPr>
                <w:color w:val="000000"/>
                <w:lang w:val="en-US" w:eastAsia="en-US"/>
              </w:rPr>
            </w:pPr>
            <w:r w:rsidRPr="00D94B08">
              <w:rPr>
                <w:color w:val="000000"/>
                <w:sz w:val="22"/>
                <w:szCs w:val="22"/>
                <w:lang w:val="en-US" w:eastAsia="en-US"/>
              </w:rPr>
              <w:t>3.06 (2.87 - 3.25)</w:t>
            </w:r>
          </w:p>
        </w:tc>
      </w:tr>
      <w:tr w:rsidR="00583B86" w:rsidRPr="00D94B08" w14:paraId="7B12AE32"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299E6FCC" w14:textId="77777777" w:rsidR="00583B86" w:rsidRPr="00D94B08" w:rsidRDefault="00583B86" w:rsidP="00B06DCB">
            <w:pPr>
              <w:rPr>
                <w:color w:val="000000"/>
                <w:lang w:val="en-US" w:eastAsia="en-US"/>
              </w:rPr>
            </w:pPr>
            <w:r w:rsidRPr="00D94B08">
              <w:rPr>
                <w:color w:val="000000"/>
                <w:sz w:val="22"/>
                <w:szCs w:val="22"/>
                <w:lang w:val="en-US" w:eastAsia="en-US"/>
              </w:rPr>
              <w:t>2006</w:t>
            </w:r>
          </w:p>
        </w:tc>
        <w:tc>
          <w:tcPr>
            <w:tcW w:w="2520" w:type="dxa"/>
            <w:tcBorders>
              <w:top w:val="nil"/>
              <w:left w:val="nil"/>
              <w:bottom w:val="single" w:sz="4" w:space="0" w:color="auto"/>
              <w:right w:val="single" w:sz="4" w:space="0" w:color="auto"/>
            </w:tcBorders>
            <w:noWrap/>
            <w:vAlign w:val="bottom"/>
          </w:tcPr>
          <w:p w14:paraId="3E33BBEA" w14:textId="77777777" w:rsidR="00583B86" w:rsidRPr="00D94B08" w:rsidRDefault="00583B86" w:rsidP="00B06DCB">
            <w:pPr>
              <w:jc w:val="center"/>
              <w:rPr>
                <w:color w:val="000000"/>
                <w:lang w:val="en-US" w:eastAsia="en-US"/>
              </w:rPr>
            </w:pPr>
            <w:r w:rsidRPr="00D94B08">
              <w:rPr>
                <w:color w:val="000000"/>
                <w:sz w:val="22"/>
                <w:szCs w:val="22"/>
                <w:lang w:val="en-US" w:eastAsia="en-US"/>
              </w:rPr>
              <w:t>971</w:t>
            </w:r>
          </w:p>
        </w:tc>
        <w:tc>
          <w:tcPr>
            <w:tcW w:w="2880" w:type="dxa"/>
            <w:tcBorders>
              <w:top w:val="nil"/>
              <w:left w:val="nil"/>
              <w:bottom w:val="single" w:sz="4" w:space="0" w:color="auto"/>
              <w:right w:val="single" w:sz="4" w:space="0" w:color="auto"/>
            </w:tcBorders>
            <w:noWrap/>
            <w:vAlign w:val="bottom"/>
          </w:tcPr>
          <w:p w14:paraId="61BCD72F" w14:textId="77777777" w:rsidR="00583B86" w:rsidRPr="00D94B08" w:rsidRDefault="00583B86" w:rsidP="00B06DCB">
            <w:pPr>
              <w:jc w:val="center"/>
              <w:rPr>
                <w:color w:val="000000"/>
                <w:lang w:val="en-US" w:eastAsia="en-US"/>
              </w:rPr>
            </w:pPr>
            <w:r w:rsidRPr="00D94B08">
              <w:rPr>
                <w:color w:val="000000"/>
                <w:sz w:val="22"/>
                <w:szCs w:val="22"/>
                <w:lang w:val="en-US" w:eastAsia="en-US"/>
              </w:rPr>
              <w:t>306</w:t>
            </w:r>
          </w:p>
        </w:tc>
        <w:tc>
          <w:tcPr>
            <w:tcW w:w="3600" w:type="dxa"/>
            <w:tcBorders>
              <w:top w:val="nil"/>
              <w:left w:val="nil"/>
              <w:bottom w:val="single" w:sz="4" w:space="0" w:color="auto"/>
              <w:right w:val="single" w:sz="4" w:space="0" w:color="auto"/>
            </w:tcBorders>
            <w:noWrap/>
            <w:vAlign w:val="bottom"/>
          </w:tcPr>
          <w:p w14:paraId="2498200F" w14:textId="77777777" w:rsidR="00583B86" w:rsidRPr="00D94B08" w:rsidRDefault="00583B86" w:rsidP="00B06DCB">
            <w:pPr>
              <w:jc w:val="center"/>
              <w:rPr>
                <w:color w:val="000000"/>
                <w:lang w:val="en-US" w:eastAsia="en-US"/>
              </w:rPr>
            </w:pPr>
            <w:r w:rsidRPr="00D94B08">
              <w:rPr>
                <w:color w:val="000000"/>
                <w:sz w:val="22"/>
                <w:szCs w:val="22"/>
                <w:lang w:val="en-US" w:eastAsia="en-US"/>
              </w:rPr>
              <w:t>3.17 (2.97 - 3.37)</w:t>
            </w:r>
          </w:p>
        </w:tc>
      </w:tr>
      <w:tr w:rsidR="00583B86" w:rsidRPr="00D94B08" w14:paraId="7389C8C3"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6B1B0B3" w14:textId="77777777" w:rsidR="00583B86" w:rsidRPr="00D94B08" w:rsidRDefault="00583B86" w:rsidP="00B06DCB">
            <w:pPr>
              <w:rPr>
                <w:color w:val="000000"/>
                <w:lang w:val="en-US" w:eastAsia="en-US"/>
              </w:rPr>
            </w:pPr>
            <w:r w:rsidRPr="00D94B08">
              <w:rPr>
                <w:color w:val="000000"/>
                <w:sz w:val="22"/>
                <w:szCs w:val="22"/>
                <w:lang w:val="en-US" w:eastAsia="en-US"/>
              </w:rPr>
              <w:t>2007</w:t>
            </w:r>
          </w:p>
        </w:tc>
        <w:tc>
          <w:tcPr>
            <w:tcW w:w="2520" w:type="dxa"/>
            <w:tcBorders>
              <w:top w:val="nil"/>
              <w:left w:val="nil"/>
              <w:bottom w:val="single" w:sz="4" w:space="0" w:color="auto"/>
              <w:right w:val="single" w:sz="4" w:space="0" w:color="auto"/>
            </w:tcBorders>
            <w:noWrap/>
            <w:vAlign w:val="bottom"/>
          </w:tcPr>
          <w:p w14:paraId="39D4724F" w14:textId="77777777" w:rsidR="00583B86" w:rsidRPr="00D94B08" w:rsidRDefault="00583B86" w:rsidP="00B06DCB">
            <w:pPr>
              <w:jc w:val="center"/>
              <w:rPr>
                <w:color w:val="000000"/>
                <w:lang w:val="en-US" w:eastAsia="en-US"/>
              </w:rPr>
            </w:pPr>
            <w:r w:rsidRPr="00D94B08">
              <w:rPr>
                <w:color w:val="000000"/>
                <w:sz w:val="22"/>
                <w:szCs w:val="22"/>
                <w:lang w:val="en-US" w:eastAsia="en-US"/>
              </w:rPr>
              <w:t>1017</w:t>
            </w:r>
          </w:p>
        </w:tc>
        <w:tc>
          <w:tcPr>
            <w:tcW w:w="2880" w:type="dxa"/>
            <w:tcBorders>
              <w:top w:val="nil"/>
              <w:left w:val="nil"/>
              <w:bottom w:val="single" w:sz="4" w:space="0" w:color="auto"/>
              <w:right w:val="single" w:sz="4" w:space="0" w:color="auto"/>
            </w:tcBorders>
            <w:noWrap/>
            <w:vAlign w:val="bottom"/>
          </w:tcPr>
          <w:p w14:paraId="26320BC7" w14:textId="77777777" w:rsidR="00583B86" w:rsidRPr="00D94B08" w:rsidRDefault="00583B86" w:rsidP="00B06DCB">
            <w:pPr>
              <w:jc w:val="center"/>
              <w:rPr>
                <w:color w:val="000000"/>
                <w:lang w:val="en-US" w:eastAsia="en-US"/>
              </w:rPr>
            </w:pPr>
            <w:r w:rsidRPr="00D94B08">
              <w:rPr>
                <w:color w:val="000000"/>
                <w:sz w:val="22"/>
                <w:szCs w:val="22"/>
                <w:lang w:val="en-US" w:eastAsia="en-US"/>
              </w:rPr>
              <w:t>317</w:t>
            </w:r>
          </w:p>
        </w:tc>
        <w:tc>
          <w:tcPr>
            <w:tcW w:w="3600" w:type="dxa"/>
            <w:tcBorders>
              <w:top w:val="nil"/>
              <w:left w:val="nil"/>
              <w:bottom w:val="single" w:sz="4" w:space="0" w:color="auto"/>
              <w:right w:val="single" w:sz="4" w:space="0" w:color="auto"/>
            </w:tcBorders>
            <w:noWrap/>
            <w:vAlign w:val="bottom"/>
          </w:tcPr>
          <w:p w14:paraId="68FAAB48" w14:textId="77777777" w:rsidR="00583B86" w:rsidRPr="00D94B08" w:rsidRDefault="00583B86" w:rsidP="00B06DCB">
            <w:pPr>
              <w:jc w:val="center"/>
              <w:rPr>
                <w:color w:val="000000"/>
                <w:lang w:val="en-US" w:eastAsia="en-US"/>
              </w:rPr>
            </w:pPr>
            <w:r w:rsidRPr="00D94B08">
              <w:rPr>
                <w:color w:val="000000"/>
                <w:sz w:val="22"/>
                <w:szCs w:val="22"/>
                <w:lang w:val="en-US" w:eastAsia="en-US"/>
              </w:rPr>
              <w:t>3.21 (3.01 - 3.41)</w:t>
            </w:r>
          </w:p>
        </w:tc>
      </w:tr>
      <w:tr w:rsidR="00583B86" w:rsidRPr="00D94B08" w14:paraId="11792F15"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07E7D85B" w14:textId="77777777" w:rsidR="00583B86" w:rsidRPr="00D94B08" w:rsidRDefault="00583B86" w:rsidP="00B06DCB">
            <w:pPr>
              <w:rPr>
                <w:color w:val="000000"/>
                <w:lang w:val="en-US" w:eastAsia="en-US"/>
              </w:rPr>
            </w:pPr>
            <w:r w:rsidRPr="00D94B08">
              <w:rPr>
                <w:color w:val="000000"/>
                <w:sz w:val="22"/>
                <w:szCs w:val="22"/>
                <w:lang w:val="en-US" w:eastAsia="en-US"/>
              </w:rPr>
              <w:t>2008</w:t>
            </w:r>
          </w:p>
        </w:tc>
        <w:tc>
          <w:tcPr>
            <w:tcW w:w="2520" w:type="dxa"/>
            <w:tcBorders>
              <w:top w:val="nil"/>
              <w:left w:val="nil"/>
              <w:bottom w:val="single" w:sz="4" w:space="0" w:color="auto"/>
              <w:right w:val="single" w:sz="4" w:space="0" w:color="auto"/>
            </w:tcBorders>
            <w:noWrap/>
            <w:vAlign w:val="bottom"/>
          </w:tcPr>
          <w:p w14:paraId="6463C3BE" w14:textId="77777777" w:rsidR="00583B86" w:rsidRPr="00D94B08" w:rsidRDefault="00583B86" w:rsidP="00B06DCB">
            <w:pPr>
              <w:jc w:val="center"/>
              <w:rPr>
                <w:color w:val="000000"/>
                <w:lang w:val="en-US" w:eastAsia="en-US"/>
              </w:rPr>
            </w:pPr>
            <w:r w:rsidRPr="00D94B08">
              <w:rPr>
                <w:color w:val="000000"/>
                <w:sz w:val="22"/>
                <w:szCs w:val="22"/>
                <w:lang w:val="en-US" w:eastAsia="en-US"/>
              </w:rPr>
              <w:t>1025</w:t>
            </w:r>
          </w:p>
        </w:tc>
        <w:tc>
          <w:tcPr>
            <w:tcW w:w="2880" w:type="dxa"/>
            <w:tcBorders>
              <w:top w:val="nil"/>
              <w:left w:val="nil"/>
              <w:bottom w:val="single" w:sz="4" w:space="0" w:color="auto"/>
              <w:right w:val="single" w:sz="4" w:space="0" w:color="auto"/>
            </w:tcBorders>
            <w:noWrap/>
            <w:vAlign w:val="bottom"/>
          </w:tcPr>
          <w:p w14:paraId="62594210" w14:textId="77777777" w:rsidR="00583B86" w:rsidRPr="00D94B08" w:rsidRDefault="00583B86" w:rsidP="00B06DCB">
            <w:pPr>
              <w:jc w:val="center"/>
              <w:rPr>
                <w:color w:val="000000"/>
                <w:lang w:val="en-US" w:eastAsia="en-US"/>
              </w:rPr>
            </w:pPr>
            <w:r w:rsidRPr="00D94B08">
              <w:rPr>
                <w:color w:val="000000"/>
                <w:sz w:val="22"/>
                <w:szCs w:val="22"/>
                <w:lang w:val="en-US" w:eastAsia="en-US"/>
              </w:rPr>
              <w:t>318</w:t>
            </w:r>
          </w:p>
        </w:tc>
        <w:tc>
          <w:tcPr>
            <w:tcW w:w="3600" w:type="dxa"/>
            <w:tcBorders>
              <w:top w:val="nil"/>
              <w:left w:val="nil"/>
              <w:bottom w:val="single" w:sz="4" w:space="0" w:color="auto"/>
              <w:right w:val="single" w:sz="4" w:space="0" w:color="auto"/>
            </w:tcBorders>
            <w:noWrap/>
            <w:vAlign w:val="bottom"/>
          </w:tcPr>
          <w:p w14:paraId="15484B30" w14:textId="77777777" w:rsidR="00583B86" w:rsidRPr="00D94B08" w:rsidRDefault="00583B86" w:rsidP="00B06DCB">
            <w:pPr>
              <w:jc w:val="center"/>
              <w:rPr>
                <w:color w:val="000000"/>
                <w:lang w:val="en-US" w:eastAsia="en-US"/>
              </w:rPr>
            </w:pPr>
            <w:r w:rsidRPr="00D94B08">
              <w:rPr>
                <w:color w:val="000000"/>
                <w:sz w:val="22"/>
                <w:szCs w:val="22"/>
                <w:lang w:val="en-US" w:eastAsia="en-US"/>
              </w:rPr>
              <w:t>3.22 (3.03 - 3.42)</w:t>
            </w:r>
          </w:p>
        </w:tc>
      </w:tr>
      <w:tr w:rsidR="00583B86" w:rsidRPr="00D94B08" w14:paraId="53FFD17A"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10FE668" w14:textId="77777777" w:rsidR="00583B86" w:rsidRPr="00D94B08" w:rsidRDefault="00583B86" w:rsidP="00B06DCB">
            <w:pPr>
              <w:rPr>
                <w:color w:val="000000"/>
                <w:lang w:val="en-US" w:eastAsia="en-US"/>
              </w:rPr>
            </w:pPr>
            <w:r w:rsidRPr="00D94B08">
              <w:rPr>
                <w:color w:val="000000"/>
                <w:sz w:val="22"/>
                <w:szCs w:val="22"/>
                <w:lang w:val="en-US" w:eastAsia="en-US"/>
              </w:rPr>
              <w:t>2009</w:t>
            </w:r>
          </w:p>
        </w:tc>
        <w:tc>
          <w:tcPr>
            <w:tcW w:w="2520" w:type="dxa"/>
            <w:tcBorders>
              <w:top w:val="nil"/>
              <w:left w:val="nil"/>
              <w:bottom w:val="single" w:sz="4" w:space="0" w:color="auto"/>
              <w:right w:val="single" w:sz="4" w:space="0" w:color="auto"/>
            </w:tcBorders>
            <w:noWrap/>
            <w:vAlign w:val="bottom"/>
          </w:tcPr>
          <w:p w14:paraId="0A072350" w14:textId="77777777" w:rsidR="00583B86" w:rsidRPr="00D94B08" w:rsidRDefault="00583B86" w:rsidP="00B06DCB">
            <w:pPr>
              <w:jc w:val="center"/>
              <w:rPr>
                <w:color w:val="000000"/>
                <w:lang w:val="en-US" w:eastAsia="en-US"/>
              </w:rPr>
            </w:pPr>
            <w:r w:rsidRPr="00D94B08">
              <w:rPr>
                <w:color w:val="000000"/>
                <w:sz w:val="22"/>
                <w:szCs w:val="22"/>
                <w:lang w:val="en-US" w:eastAsia="en-US"/>
              </w:rPr>
              <w:t>904</w:t>
            </w:r>
          </w:p>
        </w:tc>
        <w:tc>
          <w:tcPr>
            <w:tcW w:w="2880" w:type="dxa"/>
            <w:tcBorders>
              <w:top w:val="nil"/>
              <w:left w:val="nil"/>
              <w:bottom w:val="single" w:sz="4" w:space="0" w:color="auto"/>
              <w:right w:val="single" w:sz="4" w:space="0" w:color="auto"/>
            </w:tcBorders>
            <w:noWrap/>
            <w:vAlign w:val="bottom"/>
          </w:tcPr>
          <w:p w14:paraId="4EE26D88" w14:textId="77777777" w:rsidR="00583B86" w:rsidRPr="00D94B08" w:rsidRDefault="00583B86" w:rsidP="00B06DCB">
            <w:pPr>
              <w:jc w:val="center"/>
              <w:rPr>
                <w:color w:val="000000"/>
                <w:lang w:val="en-US" w:eastAsia="en-US"/>
              </w:rPr>
            </w:pPr>
            <w:r w:rsidRPr="00D94B08">
              <w:rPr>
                <w:color w:val="000000"/>
                <w:sz w:val="22"/>
                <w:szCs w:val="22"/>
                <w:lang w:val="en-US" w:eastAsia="en-US"/>
              </w:rPr>
              <w:t>327</w:t>
            </w:r>
          </w:p>
        </w:tc>
        <w:tc>
          <w:tcPr>
            <w:tcW w:w="3600" w:type="dxa"/>
            <w:tcBorders>
              <w:top w:val="nil"/>
              <w:left w:val="nil"/>
              <w:bottom w:val="single" w:sz="4" w:space="0" w:color="auto"/>
              <w:right w:val="single" w:sz="4" w:space="0" w:color="auto"/>
            </w:tcBorders>
            <w:noWrap/>
            <w:vAlign w:val="bottom"/>
          </w:tcPr>
          <w:p w14:paraId="5F90E075" w14:textId="77777777" w:rsidR="00583B86" w:rsidRPr="00D94B08" w:rsidRDefault="00583B86" w:rsidP="00B06DCB">
            <w:pPr>
              <w:jc w:val="center"/>
              <w:rPr>
                <w:color w:val="000000"/>
                <w:lang w:val="en-US" w:eastAsia="en-US"/>
              </w:rPr>
            </w:pPr>
            <w:r w:rsidRPr="00D94B08">
              <w:rPr>
                <w:color w:val="000000"/>
                <w:sz w:val="22"/>
                <w:szCs w:val="22"/>
                <w:lang w:val="en-US" w:eastAsia="en-US"/>
              </w:rPr>
              <w:t>2.77 (2.58 - 2.95)</w:t>
            </w:r>
          </w:p>
        </w:tc>
      </w:tr>
      <w:tr w:rsidR="00583B86" w:rsidRPr="00D94B08" w14:paraId="045C4B94"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8142185" w14:textId="77777777" w:rsidR="00583B86" w:rsidRPr="00D94B08" w:rsidRDefault="00583B86" w:rsidP="00B06DCB">
            <w:pPr>
              <w:rPr>
                <w:color w:val="000000"/>
                <w:lang w:val="en-US" w:eastAsia="en-US"/>
              </w:rPr>
            </w:pPr>
            <w:r w:rsidRPr="00D94B08">
              <w:rPr>
                <w:color w:val="000000"/>
                <w:sz w:val="22"/>
                <w:szCs w:val="22"/>
                <w:lang w:val="en-US" w:eastAsia="en-US"/>
              </w:rPr>
              <w:t>2010</w:t>
            </w:r>
          </w:p>
        </w:tc>
        <w:tc>
          <w:tcPr>
            <w:tcW w:w="2520" w:type="dxa"/>
            <w:tcBorders>
              <w:top w:val="nil"/>
              <w:left w:val="nil"/>
              <w:bottom w:val="single" w:sz="4" w:space="0" w:color="auto"/>
              <w:right w:val="single" w:sz="4" w:space="0" w:color="auto"/>
            </w:tcBorders>
            <w:noWrap/>
            <w:vAlign w:val="bottom"/>
          </w:tcPr>
          <w:p w14:paraId="5756A9E1" w14:textId="77777777" w:rsidR="00583B86" w:rsidRPr="00D94B08" w:rsidRDefault="00583B86" w:rsidP="00B06DCB">
            <w:pPr>
              <w:jc w:val="center"/>
              <w:rPr>
                <w:color w:val="000000"/>
                <w:lang w:val="en-US" w:eastAsia="en-US"/>
              </w:rPr>
            </w:pPr>
            <w:r w:rsidRPr="00D94B08">
              <w:rPr>
                <w:color w:val="000000"/>
                <w:sz w:val="22"/>
                <w:szCs w:val="22"/>
                <w:lang w:val="en-US" w:eastAsia="en-US"/>
              </w:rPr>
              <w:t>927</w:t>
            </w:r>
          </w:p>
        </w:tc>
        <w:tc>
          <w:tcPr>
            <w:tcW w:w="2880" w:type="dxa"/>
            <w:tcBorders>
              <w:top w:val="nil"/>
              <w:left w:val="nil"/>
              <w:bottom w:val="single" w:sz="4" w:space="0" w:color="auto"/>
              <w:right w:val="single" w:sz="4" w:space="0" w:color="auto"/>
            </w:tcBorders>
            <w:noWrap/>
            <w:vAlign w:val="bottom"/>
          </w:tcPr>
          <w:p w14:paraId="32C01047" w14:textId="77777777" w:rsidR="00583B86" w:rsidRPr="00D94B08" w:rsidRDefault="00583B86" w:rsidP="00B06DCB">
            <w:pPr>
              <w:jc w:val="center"/>
              <w:rPr>
                <w:color w:val="000000"/>
                <w:lang w:val="en-US" w:eastAsia="en-US"/>
              </w:rPr>
            </w:pPr>
            <w:r w:rsidRPr="00D94B08">
              <w:rPr>
                <w:color w:val="000000"/>
                <w:sz w:val="22"/>
                <w:szCs w:val="22"/>
                <w:lang w:val="en-US" w:eastAsia="en-US"/>
              </w:rPr>
              <w:t>320</w:t>
            </w:r>
          </w:p>
        </w:tc>
        <w:tc>
          <w:tcPr>
            <w:tcW w:w="3600" w:type="dxa"/>
            <w:tcBorders>
              <w:top w:val="nil"/>
              <w:left w:val="nil"/>
              <w:bottom w:val="single" w:sz="4" w:space="0" w:color="auto"/>
              <w:right w:val="single" w:sz="4" w:space="0" w:color="auto"/>
            </w:tcBorders>
            <w:noWrap/>
            <w:vAlign w:val="bottom"/>
          </w:tcPr>
          <w:p w14:paraId="0D3D5115" w14:textId="77777777" w:rsidR="00583B86" w:rsidRPr="00D94B08" w:rsidRDefault="00583B86" w:rsidP="00B06DCB">
            <w:pPr>
              <w:jc w:val="center"/>
              <w:rPr>
                <w:color w:val="000000"/>
                <w:lang w:val="en-US" w:eastAsia="en-US"/>
              </w:rPr>
            </w:pPr>
            <w:r w:rsidRPr="00D94B08">
              <w:rPr>
                <w:color w:val="000000"/>
                <w:sz w:val="22"/>
                <w:szCs w:val="22"/>
                <w:lang w:val="en-US" w:eastAsia="en-US"/>
              </w:rPr>
              <w:t>2.90 (2.71 - 3.08)</w:t>
            </w:r>
          </w:p>
        </w:tc>
      </w:tr>
      <w:tr w:rsidR="00583B86" w:rsidRPr="00D94B08" w14:paraId="50C7C42C"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63CC220A" w14:textId="77777777" w:rsidR="00583B86" w:rsidRPr="00D94B08" w:rsidRDefault="00583B86" w:rsidP="00B06DCB">
            <w:pPr>
              <w:rPr>
                <w:color w:val="000000"/>
                <w:lang w:val="en-US" w:eastAsia="en-US"/>
              </w:rPr>
            </w:pPr>
            <w:r w:rsidRPr="00D94B08">
              <w:rPr>
                <w:color w:val="000000"/>
                <w:sz w:val="22"/>
                <w:szCs w:val="22"/>
                <w:lang w:val="en-US" w:eastAsia="en-US"/>
              </w:rPr>
              <w:t>2011</w:t>
            </w:r>
          </w:p>
        </w:tc>
        <w:tc>
          <w:tcPr>
            <w:tcW w:w="2520" w:type="dxa"/>
            <w:tcBorders>
              <w:top w:val="nil"/>
              <w:left w:val="nil"/>
              <w:bottom w:val="single" w:sz="4" w:space="0" w:color="auto"/>
              <w:right w:val="single" w:sz="4" w:space="0" w:color="auto"/>
            </w:tcBorders>
            <w:noWrap/>
            <w:vAlign w:val="bottom"/>
          </w:tcPr>
          <w:p w14:paraId="2942B918" w14:textId="77777777" w:rsidR="00583B86" w:rsidRPr="00D94B08" w:rsidRDefault="00583B86" w:rsidP="00B06DCB">
            <w:pPr>
              <w:jc w:val="center"/>
              <w:rPr>
                <w:color w:val="000000"/>
                <w:lang w:val="en-US" w:eastAsia="en-US"/>
              </w:rPr>
            </w:pPr>
            <w:r w:rsidRPr="00D94B08">
              <w:rPr>
                <w:color w:val="000000"/>
                <w:sz w:val="22"/>
                <w:szCs w:val="22"/>
                <w:lang w:val="en-US" w:eastAsia="en-US"/>
              </w:rPr>
              <w:t>579</w:t>
            </w:r>
          </w:p>
        </w:tc>
        <w:tc>
          <w:tcPr>
            <w:tcW w:w="2880" w:type="dxa"/>
            <w:tcBorders>
              <w:top w:val="nil"/>
              <w:left w:val="nil"/>
              <w:bottom w:val="single" w:sz="4" w:space="0" w:color="auto"/>
              <w:right w:val="single" w:sz="4" w:space="0" w:color="auto"/>
            </w:tcBorders>
            <w:noWrap/>
            <w:vAlign w:val="bottom"/>
          </w:tcPr>
          <w:p w14:paraId="7FC390ED" w14:textId="77777777" w:rsidR="00583B86" w:rsidRPr="00D94B08" w:rsidRDefault="00583B86" w:rsidP="00B06DCB">
            <w:pPr>
              <w:jc w:val="center"/>
              <w:rPr>
                <w:color w:val="000000"/>
                <w:lang w:val="en-US" w:eastAsia="en-US"/>
              </w:rPr>
            </w:pPr>
            <w:r w:rsidRPr="00D94B08">
              <w:rPr>
                <w:color w:val="000000"/>
                <w:sz w:val="22"/>
                <w:szCs w:val="22"/>
                <w:lang w:val="en-US" w:eastAsia="en-US"/>
              </w:rPr>
              <w:t>156</w:t>
            </w:r>
          </w:p>
        </w:tc>
        <w:tc>
          <w:tcPr>
            <w:tcW w:w="3600" w:type="dxa"/>
            <w:tcBorders>
              <w:top w:val="nil"/>
              <w:left w:val="nil"/>
              <w:bottom w:val="single" w:sz="4" w:space="0" w:color="auto"/>
              <w:right w:val="single" w:sz="4" w:space="0" w:color="auto"/>
            </w:tcBorders>
            <w:noWrap/>
            <w:vAlign w:val="bottom"/>
          </w:tcPr>
          <w:p w14:paraId="0C9BD1AE" w14:textId="77777777" w:rsidR="00583B86" w:rsidRPr="00D94B08" w:rsidRDefault="00583B86" w:rsidP="00B06DCB">
            <w:pPr>
              <w:jc w:val="center"/>
              <w:rPr>
                <w:color w:val="000000"/>
                <w:lang w:val="en-US" w:eastAsia="en-US"/>
              </w:rPr>
            </w:pPr>
            <w:r w:rsidRPr="00D94B08">
              <w:rPr>
                <w:color w:val="000000"/>
                <w:sz w:val="22"/>
                <w:szCs w:val="22"/>
                <w:lang w:val="en-US" w:eastAsia="en-US"/>
              </w:rPr>
              <w:t>3.70 (3.40 - 4.00)</w:t>
            </w:r>
          </w:p>
        </w:tc>
      </w:tr>
      <w:tr w:rsidR="00583B86" w:rsidRPr="00D94B08" w14:paraId="57B40E5C"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ABD9C29" w14:textId="77777777" w:rsidR="00583B86" w:rsidRPr="00D94B08" w:rsidRDefault="00583B86" w:rsidP="00B06DCB">
            <w:pPr>
              <w:rPr>
                <w:color w:val="000000"/>
                <w:lang w:val="en-US" w:eastAsia="en-US"/>
              </w:rPr>
            </w:pPr>
            <w:r w:rsidRPr="00D94B08">
              <w:rPr>
                <w:color w:val="000000"/>
                <w:sz w:val="22"/>
                <w:szCs w:val="22"/>
                <w:lang w:val="en-US" w:eastAsia="en-US"/>
              </w:rPr>
              <w:t>By cause of death*</w:t>
            </w:r>
          </w:p>
        </w:tc>
        <w:tc>
          <w:tcPr>
            <w:tcW w:w="2520" w:type="dxa"/>
            <w:tcBorders>
              <w:top w:val="nil"/>
              <w:left w:val="single" w:sz="4" w:space="0" w:color="auto"/>
              <w:bottom w:val="single" w:sz="4" w:space="0" w:color="auto"/>
              <w:right w:val="single" w:sz="4" w:space="0" w:color="auto"/>
            </w:tcBorders>
            <w:vAlign w:val="bottom"/>
          </w:tcPr>
          <w:p w14:paraId="771C9201" w14:textId="77777777" w:rsidR="00583B86" w:rsidRPr="00D94B08" w:rsidRDefault="00583B86" w:rsidP="00B06DCB">
            <w:pPr>
              <w:rPr>
                <w:color w:val="000000"/>
                <w:lang w:val="en-US" w:eastAsia="en-US"/>
              </w:rPr>
            </w:pPr>
          </w:p>
        </w:tc>
        <w:tc>
          <w:tcPr>
            <w:tcW w:w="2880" w:type="dxa"/>
            <w:tcBorders>
              <w:top w:val="nil"/>
              <w:left w:val="single" w:sz="4" w:space="0" w:color="auto"/>
              <w:bottom w:val="single" w:sz="4" w:space="0" w:color="auto"/>
              <w:right w:val="single" w:sz="4" w:space="0" w:color="auto"/>
            </w:tcBorders>
            <w:vAlign w:val="bottom"/>
          </w:tcPr>
          <w:p w14:paraId="1E1A2AA6" w14:textId="77777777" w:rsidR="00583B86" w:rsidRPr="00D94B08" w:rsidRDefault="00583B86" w:rsidP="00B06DCB">
            <w:pPr>
              <w:rPr>
                <w:color w:val="000000"/>
                <w:lang w:val="en-US" w:eastAsia="en-US"/>
              </w:rPr>
            </w:pPr>
          </w:p>
        </w:tc>
        <w:tc>
          <w:tcPr>
            <w:tcW w:w="3600" w:type="dxa"/>
            <w:tcBorders>
              <w:top w:val="nil"/>
              <w:left w:val="single" w:sz="4" w:space="0" w:color="auto"/>
              <w:bottom w:val="single" w:sz="4" w:space="0" w:color="auto"/>
              <w:right w:val="single" w:sz="4" w:space="0" w:color="auto"/>
            </w:tcBorders>
            <w:vAlign w:val="bottom"/>
          </w:tcPr>
          <w:p w14:paraId="6CE2E690" w14:textId="77777777" w:rsidR="00583B86" w:rsidRPr="00D94B08" w:rsidRDefault="00583B86" w:rsidP="00B06DCB">
            <w:pPr>
              <w:rPr>
                <w:color w:val="000000"/>
                <w:lang w:val="en-US" w:eastAsia="en-US"/>
              </w:rPr>
            </w:pPr>
          </w:p>
        </w:tc>
      </w:tr>
      <w:tr w:rsidR="00583B86" w:rsidRPr="00D94B08" w14:paraId="4BFE3A1D"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3197B691" w14:textId="77777777" w:rsidR="00583B86" w:rsidRPr="00D94B08" w:rsidRDefault="00583B86" w:rsidP="00B06DCB">
            <w:pPr>
              <w:rPr>
                <w:color w:val="000000"/>
                <w:lang w:val="en-US" w:eastAsia="en-US"/>
              </w:rPr>
            </w:pPr>
            <w:r w:rsidRPr="00D94B08">
              <w:rPr>
                <w:color w:val="000000"/>
                <w:sz w:val="22"/>
                <w:szCs w:val="22"/>
                <w:lang w:val="en-US" w:eastAsia="en-US"/>
              </w:rPr>
              <w:t>Neoplasms</w:t>
            </w:r>
          </w:p>
        </w:tc>
        <w:tc>
          <w:tcPr>
            <w:tcW w:w="2520" w:type="dxa"/>
            <w:tcBorders>
              <w:top w:val="nil"/>
              <w:left w:val="nil"/>
              <w:bottom w:val="single" w:sz="4" w:space="0" w:color="auto"/>
              <w:right w:val="single" w:sz="4" w:space="0" w:color="auto"/>
            </w:tcBorders>
            <w:noWrap/>
            <w:vAlign w:val="bottom"/>
          </w:tcPr>
          <w:p w14:paraId="244395AB" w14:textId="77777777" w:rsidR="00583B86" w:rsidRPr="00D94B08" w:rsidRDefault="00583B86" w:rsidP="00B06DCB">
            <w:pPr>
              <w:jc w:val="center"/>
              <w:rPr>
                <w:color w:val="000000"/>
              </w:rPr>
            </w:pPr>
            <w:r w:rsidRPr="00D94B08">
              <w:rPr>
                <w:color w:val="000000"/>
                <w:sz w:val="22"/>
                <w:szCs w:val="22"/>
              </w:rPr>
              <w:t>1794</w:t>
            </w:r>
          </w:p>
        </w:tc>
        <w:tc>
          <w:tcPr>
            <w:tcW w:w="2880" w:type="dxa"/>
            <w:tcBorders>
              <w:top w:val="nil"/>
              <w:left w:val="nil"/>
              <w:bottom w:val="single" w:sz="4" w:space="0" w:color="auto"/>
              <w:right w:val="single" w:sz="4" w:space="0" w:color="auto"/>
            </w:tcBorders>
            <w:noWrap/>
            <w:vAlign w:val="bottom"/>
          </w:tcPr>
          <w:p w14:paraId="4FD1956A" w14:textId="77777777" w:rsidR="00583B86" w:rsidRPr="00D94B08" w:rsidRDefault="00583B86" w:rsidP="00B06DCB">
            <w:pPr>
              <w:jc w:val="center"/>
              <w:rPr>
                <w:color w:val="000000"/>
              </w:rPr>
            </w:pPr>
            <w:r w:rsidRPr="00D94B08">
              <w:rPr>
                <w:color w:val="000000"/>
                <w:sz w:val="22"/>
                <w:szCs w:val="22"/>
              </w:rPr>
              <w:t>666.5</w:t>
            </w:r>
          </w:p>
        </w:tc>
        <w:tc>
          <w:tcPr>
            <w:tcW w:w="3600" w:type="dxa"/>
            <w:tcBorders>
              <w:top w:val="nil"/>
              <w:left w:val="nil"/>
              <w:bottom w:val="single" w:sz="4" w:space="0" w:color="auto"/>
              <w:right w:val="single" w:sz="4" w:space="0" w:color="auto"/>
            </w:tcBorders>
            <w:noWrap/>
            <w:vAlign w:val="bottom"/>
          </w:tcPr>
          <w:p w14:paraId="365DEA9C" w14:textId="77777777" w:rsidR="00583B86" w:rsidRPr="00D94B08" w:rsidRDefault="00583B86" w:rsidP="00B06DCB">
            <w:pPr>
              <w:jc w:val="center"/>
              <w:rPr>
                <w:color w:val="000000"/>
              </w:rPr>
            </w:pPr>
            <w:r w:rsidRPr="00D94B08">
              <w:rPr>
                <w:color w:val="000000"/>
                <w:sz w:val="22"/>
                <w:szCs w:val="22"/>
              </w:rPr>
              <w:t>2.69  (2.57 - 2.82)</w:t>
            </w:r>
          </w:p>
        </w:tc>
      </w:tr>
      <w:tr w:rsidR="00583B86" w:rsidRPr="00D94B08" w14:paraId="31B23B2B"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73084366" w14:textId="77777777" w:rsidR="00583B86" w:rsidRPr="00D94B08" w:rsidRDefault="00583B86" w:rsidP="00B06DCB">
            <w:pPr>
              <w:rPr>
                <w:bCs/>
                <w:color w:val="000000"/>
                <w:lang w:eastAsia="nl-NL"/>
              </w:rPr>
            </w:pPr>
            <w:r w:rsidRPr="00D94B08">
              <w:rPr>
                <w:bCs/>
                <w:color w:val="000000"/>
                <w:sz w:val="22"/>
                <w:szCs w:val="22"/>
                <w:lang w:eastAsia="nl-NL"/>
              </w:rPr>
              <w:t>Diseases of the respiratory system</w:t>
            </w:r>
          </w:p>
        </w:tc>
        <w:tc>
          <w:tcPr>
            <w:tcW w:w="2520" w:type="dxa"/>
            <w:tcBorders>
              <w:top w:val="nil"/>
              <w:left w:val="nil"/>
              <w:bottom w:val="single" w:sz="4" w:space="0" w:color="auto"/>
              <w:right w:val="single" w:sz="4" w:space="0" w:color="auto"/>
            </w:tcBorders>
            <w:noWrap/>
            <w:vAlign w:val="bottom"/>
          </w:tcPr>
          <w:p w14:paraId="1F0E8A3B" w14:textId="77777777" w:rsidR="00583B86" w:rsidRPr="00D94B08" w:rsidRDefault="00583B86" w:rsidP="00B06DCB">
            <w:pPr>
              <w:jc w:val="center"/>
              <w:rPr>
                <w:color w:val="000000"/>
              </w:rPr>
            </w:pPr>
            <w:r w:rsidRPr="00D94B08">
              <w:rPr>
                <w:color w:val="000000"/>
                <w:sz w:val="22"/>
                <w:szCs w:val="22"/>
              </w:rPr>
              <w:t>1499</w:t>
            </w:r>
          </w:p>
        </w:tc>
        <w:tc>
          <w:tcPr>
            <w:tcW w:w="2880" w:type="dxa"/>
            <w:tcBorders>
              <w:top w:val="nil"/>
              <w:left w:val="nil"/>
              <w:bottom w:val="single" w:sz="4" w:space="0" w:color="auto"/>
              <w:right w:val="single" w:sz="4" w:space="0" w:color="auto"/>
            </w:tcBorders>
            <w:noWrap/>
            <w:vAlign w:val="bottom"/>
          </w:tcPr>
          <w:p w14:paraId="0BD9BBC0" w14:textId="77777777" w:rsidR="00583B86" w:rsidRPr="00D94B08" w:rsidRDefault="00583B86" w:rsidP="00B06DCB">
            <w:pPr>
              <w:jc w:val="center"/>
              <w:rPr>
                <w:color w:val="000000"/>
              </w:rPr>
            </w:pPr>
            <w:r w:rsidRPr="00D94B08">
              <w:rPr>
                <w:color w:val="000000"/>
                <w:sz w:val="22"/>
                <w:szCs w:val="22"/>
              </w:rPr>
              <w:t>515.2</w:t>
            </w:r>
          </w:p>
        </w:tc>
        <w:tc>
          <w:tcPr>
            <w:tcW w:w="3600" w:type="dxa"/>
            <w:tcBorders>
              <w:top w:val="nil"/>
              <w:left w:val="nil"/>
              <w:bottom w:val="single" w:sz="4" w:space="0" w:color="auto"/>
              <w:right w:val="single" w:sz="4" w:space="0" w:color="auto"/>
            </w:tcBorders>
            <w:noWrap/>
            <w:vAlign w:val="bottom"/>
          </w:tcPr>
          <w:p w14:paraId="3B045EB6" w14:textId="77777777" w:rsidR="00583B86" w:rsidRPr="00D94B08" w:rsidRDefault="00583B86" w:rsidP="00B06DCB">
            <w:pPr>
              <w:jc w:val="center"/>
              <w:rPr>
                <w:color w:val="000000"/>
              </w:rPr>
            </w:pPr>
            <w:r w:rsidRPr="00D94B08">
              <w:rPr>
                <w:color w:val="000000"/>
                <w:sz w:val="22"/>
                <w:szCs w:val="22"/>
              </w:rPr>
              <w:t>2.91  (2.76 - 3.06)</w:t>
            </w:r>
          </w:p>
        </w:tc>
      </w:tr>
      <w:tr w:rsidR="00583B86" w:rsidRPr="00D94B08" w14:paraId="52C7024B" w14:textId="77777777" w:rsidTr="00B06DCB">
        <w:trPr>
          <w:trHeight w:val="300"/>
        </w:trPr>
        <w:tc>
          <w:tcPr>
            <w:tcW w:w="3075" w:type="dxa"/>
            <w:tcBorders>
              <w:top w:val="nil"/>
              <w:left w:val="single" w:sz="4" w:space="0" w:color="auto"/>
              <w:bottom w:val="single" w:sz="4" w:space="0" w:color="auto"/>
              <w:right w:val="single" w:sz="4" w:space="0" w:color="auto"/>
            </w:tcBorders>
            <w:noWrap/>
            <w:vAlign w:val="bottom"/>
          </w:tcPr>
          <w:p w14:paraId="1D94AC4D" w14:textId="77777777" w:rsidR="00583B86" w:rsidRPr="00D94B08" w:rsidRDefault="00583B86" w:rsidP="00B06DCB">
            <w:pPr>
              <w:rPr>
                <w:bCs/>
                <w:color w:val="000000"/>
                <w:lang w:eastAsia="nl-NL"/>
              </w:rPr>
            </w:pPr>
            <w:r w:rsidRPr="00D94B08">
              <w:rPr>
                <w:bCs/>
                <w:color w:val="000000"/>
                <w:sz w:val="22"/>
                <w:szCs w:val="22"/>
                <w:lang w:eastAsia="nl-NL"/>
              </w:rPr>
              <w:t>Diseases of the circulatory system</w:t>
            </w:r>
          </w:p>
        </w:tc>
        <w:tc>
          <w:tcPr>
            <w:tcW w:w="2520" w:type="dxa"/>
            <w:tcBorders>
              <w:top w:val="nil"/>
              <w:left w:val="nil"/>
              <w:bottom w:val="single" w:sz="4" w:space="0" w:color="auto"/>
              <w:right w:val="single" w:sz="4" w:space="0" w:color="auto"/>
            </w:tcBorders>
            <w:noWrap/>
            <w:vAlign w:val="bottom"/>
          </w:tcPr>
          <w:p w14:paraId="6BA2CAFB" w14:textId="77777777" w:rsidR="00583B86" w:rsidRPr="00D94B08" w:rsidRDefault="00583B86" w:rsidP="00B06DCB">
            <w:pPr>
              <w:jc w:val="center"/>
              <w:rPr>
                <w:color w:val="000000"/>
              </w:rPr>
            </w:pPr>
            <w:r w:rsidRPr="00D94B08">
              <w:rPr>
                <w:color w:val="000000"/>
                <w:sz w:val="22"/>
                <w:szCs w:val="22"/>
              </w:rPr>
              <w:t>3185</w:t>
            </w:r>
          </w:p>
        </w:tc>
        <w:tc>
          <w:tcPr>
            <w:tcW w:w="2880" w:type="dxa"/>
            <w:tcBorders>
              <w:top w:val="nil"/>
              <w:left w:val="nil"/>
              <w:bottom w:val="single" w:sz="4" w:space="0" w:color="auto"/>
              <w:right w:val="single" w:sz="4" w:space="0" w:color="auto"/>
            </w:tcBorders>
            <w:noWrap/>
            <w:vAlign w:val="bottom"/>
          </w:tcPr>
          <w:p w14:paraId="5F51E42F" w14:textId="77777777" w:rsidR="00583B86" w:rsidRPr="00D94B08" w:rsidRDefault="00583B86" w:rsidP="00B06DCB">
            <w:pPr>
              <w:jc w:val="center"/>
              <w:rPr>
                <w:color w:val="000000"/>
              </w:rPr>
            </w:pPr>
            <w:r w:rsidRPr="00D94B08">
              <w:rPr>
                <w:color w:val="000000"/>
                <w:sz w:val="22"/>
                <w:szCs w:val="22"/>
              </w:rPr>
              <w:t>1248.3</w:t>
            </w:r>
          </w:p>
        </w:tc>
        <w:tc>
          <w:tcPr>
            <w:tcW w:w="3600" w:type="dxa"/>
            <w:tcBorders>
              <w:top w:val="nil"/>
              <w:left w:val="nil"/>
              <w:bottom w:val="single" w:sz="4" w:space="0" w:color="auto"/>
              <w:right w:val="single" w:sz="4" w:space="0" w:color="auto"/>
            </w:tcBorders>
            <w:noWrap/>
            <w:vAlign w:val="bottom"/>
          </w:tcPr>
          <w:p w14:paraId="63ABD995" w14:textId="77777777" w:rsidR="00583B86" w:rsidRPr="00D94B08" w:rsidRDefault="00583B86" w:rsidP="00B06DCB">
            <w:pPr>
              <w:jc w:val="center"/>
              <w:rPr>
                <w:color w:val="000000"/>
              </w:rPr>
            </w:pPr>
            <w:r w:rsidRPr="00D94B08">
              <w:rPr>
                <w:color w:val="000000"/>
                <w:sz w:val="22"/>
                <w:szCs w:val="22"/>
              </w:rPr>
              <w:t>2.55  (2.46 - 2.64)</w:t>
            </w:r>
          </w:p>
        </w:tc>
      </w:tr>
    </w:tbl>
    <w:p w14:paraId="37AFD6EE" w14:textId="77777777" w:rsidR="00583B86" w:rsidRPr="00D94B08" w:rsidRDefault="00583B86" w:rsidP="00B06DCB">
      <w:pPr>
        <w:spacing w:after="120"/>
        <w:jc w:val="both"/>
        <w:rPr>
          <w:color w:val="000000"/>
          <w:sz w:val="22"/>
          <w:szCs w:val="22"/>
        </w:rPr>
      </w:pPr>
      <w:r w:rsidRPr="00D94B08">
        <w:rPr>
          <w:color w:val="000000"/>
          <w:sz w:val="22"/>
          <w:szCs w:val="22"/>
        </w:rPr>
        <w:t>SMR; standardized mortality ratio, 95% CI; 95% Confidence Interval</w:t>
      </w:r>
    </w:p>
    <w:p w14:paraId="6FD54093" w14:textId="77777777" w:rsidR="00583B86" w:rsidRPr="00D94B08" w:rsidRDefault="00583B86" w:rsidP="00B06DCB">
      <w:pPr>
        <w:spacing w:after="120"/>
        <w:jc w:val="both"/>
        <w:rPr>
          <w:color w:val="000000"/>
          <w:sz w:val="22"/>
          <w:szCs w:val="22"/>
        </w:rPr>
      </w:pPr>
      <w:r w:rsidRPr="00D94B08">
        <w:rPr>
          <w:color w:val="000000"/>
          <w:sz w:val="22"/>
          <w:szCs w:val="22"/>
        </w:rPr>
        <w:t>*Adjusted for age, sex, index year; ** Adjusted for age, index year; *** Adjusted for age, sex</w:t>
      </w:r>
    </w:p>
    <w:p w14:paraId="631B389E" w14:textId="77777777" w:rsidR="00583B86" w:rsidRPr="00D94B08" w:rsidRDefault="00583B86" w:rsidP="006D4496">
      <w:pPr>
        <w:spacing w:after="200" w:line="276" w:lineRule="auto"/>
        <w:rPr>
          <w:b/>
          <w:color w:val="000000"/>
          <w:sz w:val="20"/>
          <w:szCs w:val="18"/>
        </w:rPr>
      </w:pPr>
    </w:p>
    <w:sectPr w:rsidR="00583B86" w:rsidRPr="00D94B08" w:rsidSect="00DB123D">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19E1A" w14:textId="77777777" w:rsidR="00CB2283" w:rsidRDefault="00CB2283" w:rsidP="005F792A">
      <w:r>
        <w:separator/>
      </w:r>
    </w:p>
  </w:endnote>
  <w:endnote w:type="continuationSeparator" w:id="0">
    <w:p w14:paraId="520ADD48" w14:textId="77777777" w:rsidR="00CB2283" w:rsidRDefault="00CB2283" w:rsidP="005F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CF4E" w14:textId="77777777" w:rsidR="005D7916" w:rsidRDefault="005D7916">
    <w:pPr>
      <w:pStyle w:val="Footer"/>
      <w:jc w:val="center"/>
    </w:pPr>
    <w:r>
      <w:fldChar w:fldCharType="begin"/>
    </w:r>
    <w:r>
      <w:instrText xml:space="preserve"> PAGE   \* MERGEFORMAT </w:instrText>
    </w:r>
    <w:r>
      <w:fldChar w:fldCharType="separate"/>
    </w:r>
    <w:r w:rsidR="00C76454">
      <w:rPr>
        <w:noProof/>
      </w:rPr>
      <w:t>6</w:t>
    </w:r>
    <w:r>
      <w:rPr>
        <w:noProof/>
      </w:rPr>
      <w:fldChar w:fldCharType="end"/>
    </w:r>
  </w:p>
  <w:p w14:paraId="3477C50B" w14:textId="77777777" w:rsidR="005D7916" w:rsidRDefault="005D7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1090C" w14:textId="77777777" w:rsidR="00CB2283" w:rsidRDefault="00CB2283" w:rsidP="005F792A">
      <w:r>
        <w:separator/>
      </w:r>
    </w:p>
  </w:footnote>
  <w:footnote w:type="continuationSeparator" w:id="0">
    <w:p w14:paraId="07253386" w14:textId="77777777" w:rsidR="00CB2283" w:rsidRDefault="00CB2283" w:rsidP="005F7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DD0"/>
    <w:multiLevelType w:val="multilevel"/>
    <w:tmpl w:val="3DEC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05ECA"/>
    <w:multiLevelType w:val="hybridMultilevel"/>
    <w:tmpl w:val="314A3BAA"/>
    <w:lvl w:ilvl="0" w:tplc="AF70D42C">
      <w:start w:val="2140"/>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1373E"/>
    <w:multiLevelType w:val="hybridMultilevel"/>
    <w:tmpl w:val="C88C36E4"/>
    <w:lvl w:ilvl="0" w:tplc="528637BE">
      <w:start w:val="90"/>
      <w:numFmt w:val="bullet"/>
      <w:lvlText w:val="-"/>
      <w:lvlJc w:val="left"/>
      <w:pPr>
        <w:ind w:left="1800" w:hanging="360"/>
      </w:pPr>
      <w:rPr>
        <w:rFonts w:ascii="Tahoma" w:eastAsia="Times New Roman" w:hAnsi="Tahoma"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5672B0"/>
    <w:multiLevelType w:val="hybridMultilevel"/>
    <w:tmpl w:val="347CC384"/>
    <w:lvl w:ilvl="0" w:tplc="5B56562C">
      <w:numFmt w:val="bullet"/>
      <w:lvlText w:val=""/>
      <w:lvlJc w:val="left"/>
      <w:pPr>
        <w:ind w:left="720" w:hanging="360"/>
      </w:pPr>
      <w:rPr>
        <w:rFonts w:ascii="Wingdings" w:eastAsia="Times New Roman" w:hAnsi="Wingdings" w:hint="default"/>
        <w:color w:val="292526"/>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E54D3"/>
    <w:multiLevelType w:val="hybridMultilevel"/>
    <w:tmpl w:val="9F74D66C"/>
    <w:lvl w:ilvl="0" w:tplc="659A5BE4">
      <w:start w:val="198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D0E02"/>
    <w:multiLevelType w:val="hybridMultilevel"/>
    <w:tmpl w:val="7A2C46D0"/>
    <w:lvl w:ilvl="0" w:tplc="8800D470">
      <w:start w:val="5"/>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50639E"/>
    <w:multiLevelType w:val="hybridMultilevel"/>
    <w:tmpl w:val="DA08F5FE"/>
    <w:lvl w:ilvl="0" w:tplc="D9D8F1D4">
      <w:start w:val="3"/>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0E81C63"/>
    <w:multiLevelType w:val="multilevel"/>
    <w:tmpl w:val="59F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A4415"/>
    <w:multiLevelType w:val="hybridMultilevel"/>
    <w:tmpl w:val="F2786D46"/>
    <w:lvl w:ilvl="0" w:tplc="51A6B75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58B1110"/>
    <w:multiLevelType w:val="hybridMultilevel"/>
    <w:tmpl w:val="1DFEEA4C"/>
    <w:lvl w:ilvl="0" w:tplc="FCEA36F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283934"/>
    <w:multiLevelType w:val="hybridMultilevel"/>
    <w:tmpl w:val="C132521E"/>
    <w:lvl w:ilvl="0" w:tplc="74427AC8">
      <w:start w:val="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144E5"/>
    <w:multiLevelType w:val="hybridMultilevel"/>
    <w:tmpl w:val="00A62352"/>
    <w:lvl w:ilvl="0" w:tplc="4CD61D44">
      <w:start w:val="2140"/>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23CE5"/>
    <w:multiLevelType w:val="hybridMultilevel"/>
    <w:tmpl w:val="734C9158"/>
    <w:lvl w:ilvl="0" w:tplc="0444DD54">
      <w:start w:val="90"/>
      <w:numFmt w:val="bullet"/>
      <w:lvlText w:val="-"/>
      <w:lvlJc w:val="left"/>
      <w:pPr>
        <w:ind w:left="1800" w:hanging="360"/>
      </w:pPr>
      <w:rPr>
        <w:rFonts w:ascii="Tahoma" w:eastAsia="Times New Roman" w:hAnsi="Tahoma"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E05C7B"/>
    <w:multiLevelType w:val="hybridMultilevel"/>
    <w:tmpl w:val="6A7EBF92"/>
    <w:lvl w:ilvl="0" w:tplc="D7CEA13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25D3E19"/>
    <w:multiLevelType w:val="multilevel"/>
    <w:tmpl w:val="FDB8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4C6921"/>
    <w:multiLevelType w:val="hybridMultilevel"/>
    <w:tmpl w:val="B3FC61F2"/>
    <w:lvl w:ilvl="0" w:tplc="7EBC6B1C">
      <w:start w:val="198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9538B"/>
    <w:multiLevelType w:val="hybridMultilevel"/>
    <w:tmpl w:val="8806D37A"/>
    <w:lvl w:ilvl="0" w:tplc="0C661B88">
      <w:start w:val="90"/>
      <w:numFmt w:val="bullet"/>
      <w:lvlText w:val="-"/>
      <w:lvlJc w:val="left"/>
      <w:pPr>
        <w:ind w:left="1800" w:hanging="360"/>
      </w:pPr>
      <w:rPr>
        <w:rFonts w:ascii="Tahoma" w:eastAsia="Times New Roman" w:hAnsi="Tahoma"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D184E20"/>
    <w:multiLevelType w:val="hybridMultilevel"/>
    <w:tmpl w:val="4CC21FC6"/>
    <w:lvl w:ilvl="0" w:tplc="1846B2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11079C"/>
    <w:multiLevelType w:val="hybridMultilevel"/>
    <w:tmpl w:val="BF6AB82C"/>
    <w:lvl w:ilvl="0" w:tplc="E0C45770">
      <w:start w:val="1"/>
      <w:numFmt w:val="bullet"/>
      <w:lvlText w:val="-"/>
      <w:lvlJc w:val="left"/>
      <w:pPr>
        <w:ind w:left="1080" w:hanging="360"/>
      </w:pPr>
      <w:rPr>
        <w:rFonts w:ascii="Tahoma" w:eastAsia="Times New Roman" w:hAnsi="Tahoma"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813036"/>
    <w:multiLevelType w:val="hybridMultilevel"/>
    <w:tmpl w:val="58A2ACF0"/>
    <w:lvl w:ilvl="0" w:tplc="9EA22420">
      <w:start w:val="198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F48C3"/>
    <w:multiLevelType w:val="hybridMultilevel"/>
    <w:tmpl w:val="3C5AB7E4"/>
    <w:lvl w:ilvl="0" w:tplc="7206DF0A">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A0A06AB"/>
    <w:multiLevelType w:val="hybridMultilevel"/>
    <w:tmpl w:val="E6C83F42"/>
    <w:lvl w:ilvl="0" w:tplc="080285E4">
      <w:start w:val="1"/>
      <w:numFmt w:val="bullet"/>
      <w:lvlText w:val="-"/>
      <w:lvlJc w:val="left"/>
      <w:pPr>
        <w:ind w:left="1800" w:hanging="360"/>
      </w:pPr>
      <w:rPr>
        <w:rFonts w:ascii="Tahoma" w:eastAsia="Times New Roman" w:hAnsi="Tahoma" w:hint="default"/>
        <w:b/>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0376D50"/>
    <w:multiLevelType w:val="hybridMultilevel"/>
    <w:tmpl w:val="452ACC3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24D71F0"/>
    <w:multiLevelType w:val="hybridMultilevel"/>
    <w:tmpl w:val="98941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8012CAE"/>
    <w:multiLevelType w:val="hybridMultilevel"/>
    <w:tmpl w:val="D7C8986E"/>
    <w:lvl w:ilvl="0" w:tplc="E62A8200">
      <w:start w:val="1"/>
      <w:numFmt w:val="bullet"/>
      <w:lvlText w:val="-"/>
      <w:lvlJc w:val="left"/>
      <w:pPr>
        <w:ind w:left="1800" w:hanging="360"/>
      </w:pPr>
      <w:rPr>
        <w:rFonts w:ascii="Tahoma" w:eastAsia="Times New Roman" w:hAnsi="Tahoma"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89A16E2"/>
    <w:multiLevelType w:val="hybridMultilevel"/>
    <w:tmpl w:val="F75C4A12"/>
    <w:lvl w:ilvl="0" w:tplc="8D8242CC">
      <w:start w:val="1"/>
      <w:numFmt w:val="bullet"/>
      <w:lvlText w:val="-"/>
      <w:lvlJc w:val="left"/>
      <w:pPr>
        <w:ind w:left="720" w:hanging="360"/>
      </w:pPr>
      <w:rPr>
        <w:rFonts w:ascii="Tahoma" w:eastAsia="Times New Roman" w:hAnsi="Tahoma"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E49CC"/>
    <w:multiLevelType w:val="hybridMultilevel"/>
    <w:tmpl w:val="EA66D56E"/>
    <w:lvl w:ilvl="0" w:tplc="A350AC1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CA6353"/>
    <w:multiLevelType w:val="hybridMultilevel"/>
    <w:tmpl w:val="A36E30E4"/>
    <w:lvl w:ilvl="0" w:tplc="AEF694BE">
      <w:start w:val="5"/>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372389"/>
    <w:multiLevelType w:val="hybridMultilevel"/>
    <w:tmpl w:val="6C267F48"/>
    <w:lvl w:ilvl="0" w:tplc="F26EEC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E4BF8"/>
    <w:multiLevelType w:val="hybridMultilevel"/>
    <w:tmpl w:val="B8982FE2"/>
    <w:lvl w:ilvl="0" w:tplc="9DB60122">
      <w:start w:val="2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19"/>
  </w:num>
  <w:num w:numId="5">
    <w:abstractNumId w:val="4"/>
  </w:num>
  <w:num w:numId="6">
    <w:abstractNumId w:val="13"/>
  </w:num>
  <w:num w:numId="7">
    <w:abstractNumId w:val="8"/>
  </w:num>
  <w:num w:numId="8">
    <w:abstractNumId w:val="22"/>
  </w:num>
  <w:num w:numId="9">
    <w:abstractNumId w:val="21"/>
  </w:num>
  <w:num w:numId="10">
    <w:abstractNumId w:val="25"/>
  </w:num>
  <w:num w:numId="11">
    <w:abstractNumId w:val="18"/>
  </w:num>
  <w:num w:numId="12">
    <w:abstractNumId w:val="24"/>
  </w:num>
  <w:num w:numId="13">
    <w:abstractNumId w:val="2"/>
  </w:num>
  <w:num w:numId="14">
    <w:abstractNumId w:val="16"/>
  </w:num>
  <w:num w:numId="15">
    <w:abstractNumId w:val="12"/>
  </w:num>
  <w:num w:numId="16">
    <w:abstractNumId w:val="3"/>
  </w:num>
  <w:num w:numId="17">
    <w:abstractNumId w:val="26"/>
  </w:num>
  <w:num w:numId="18">
    <w:abstractNumId w:val="28"/>
  </w:num>
  <w:num w:numId="19">
    <w:abstractNumId w:val="0"/>
  </w:num>
  <w:num w:numId="20">
    <w:abstractNumId w:val="20"/>
  </w:num>
  <w:num w:numId="21">
    <w:abstractNumId w:val="29"/>
  </w:num>
  <w:num w:numId="22">
    <w:abstractNumId w:val="27"/>
  </w:num>
  <w:num w:numId="23">
    <w:abstractNumId w:val="5"/>
  </w:num>
  <w:num w:numId="24">
    <w:abstractNumId w:val="10"/>
  </w:num>
  <w:num w:numId="25">
    <w:abstractNumId w:val="23"/>
  </w:num>
  <w:num w:numId="26">
    <w:abstractNumId w:val="17"/>
  </w:num>
  <w:num w:numId="27">
    <w:abstractNumId w:val="9"/>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B425030-8043-4CA2-AA12-87F473E0524D}"/>
    <w:docVar w:name="dgnword-eventsink" w:val="10739072"/>
  </w:docVars>
  <w:rsids>
    <w:rsidRoot w:val="004D230D"/>
    <w:rsid w:val="00001CC8"/>
    <w:rsid w:val="000027D7"/>
    <w:rsid w:val="00003C5B"/>
    <w:rsid w:val="00005DD5"/>
    <w:rsid w:val="00007F22"/>
    <w:rsid w:val="000126A0"/>
    <w:rsid w:val="00012C8A"/>
    <w:rsid w:val="00013C89"/>
    <w:rsid w:val="00013E81"/>
    <w:rsid w:val="00014668"/>
    <w:rsid w:val="0002045D"/>
    <w:rsid w:val="000223E4"/>
    <w:rsid w:val="000225F0"/>
    <w:rsid w:val="000226B3"/>
    <w:rsid w:val="00024958"/>
    <w:rsid w:val="0003152B"/>
    <w:rsid w:val="00035014"/>
    <w:rsid w:val="000359F2"/>
    <w:rsid w:val="000406AE"/>
    <w:rsid w:val="0004442D"/>
    <w:rsid w:val="00051EE0"/>
    <w:rsid w:val="00055615"/>
    <w:rsid w:val="00055F0F"/>
    <w:rsid w:val="00056957"/>
    <w:rsid w:val="00057F96"/>
    <w:rsid w:val="00060C77"/>
    <w:rsid w:val="00062D9E"/>
    <w:rsid w:val="000634D2"/>
    <w:rsid w:val="000707D0"/>
    <w:rsid w:val="00071302"/>
    <w:rsid w:val="000743E2"/>
    <w:rsid w:val="0007512E"/>
    <w:rsid w:val="000752AA"/>
    <w:rsid w:val="0008367F"/>
    <w:rsid w:val="00083DEC"/>
    <w:rsid w:val="00085204"/>
    <w:rsid w:val="0009142C"/>
    <w:rsid w:val="00092713"/>
    <w:rsid w:val="000971B9"/>
    <w:rsid w:val="000A12DA"/>
    <w:rsid w:val="000A353B"/>
    <w:rsid w:val="000B1BE6"/>
    <w:rsid w:val="000B3199"/>
    <w:rsid w:val="000B467C"/>
    <w:rsid w:val="000B78D6"/>
    <w:rsid w:val="000D00B1"/>
    <w:rsid w:val="000D17FC"/>
    <w:rsid w:val="000D1CF6"/>
    <w:rsid w:val="000D45F5"/>
    <w:rsid w:val="000D5F52"/>
    <w:rsid w:val="000E38D7"/>
    <w:rsid w:val="000E492C"/>
    <w:rsid w:val="000E6911"/>
    <w:rsid w:val="000E6D25"/>
    <w:rsid w:val="000E7D2F"/>
    <w:rsid w:val="000F29EE"/>
    <w:rsid w:val="000F2A6D"/>
    <w:rsid w:val="000F3CE4"/>
    <w:rsid w:val="000F4F71"/>
    <w:rsid w:val="000F5008"/>
    <w:rsid w:val="000F76AB"/>
    <w:rsid w:val="000F7F3D"/>
    <w:rsid w:val="00101218"/>
    <w:rsid w:val="00104A5A"/>
    <w:rsid w:val="0010547B"/>
    <w:rsid w:val="00113B4C"/>
    <w:rsid w:val="00113B7B"/>
    <w:rsid w:val="00117D49"/>
    <w:rsid w:val="00127933"/>
    <w:rsid w:val="00130DE1"/>
    <w:rsid w:val="00131A1D"/>
    <w:rsid w:val="00133013"/>
    <w:rsid w:val="001337D2"/>
    <w:rsid w:val="00141E40"/>
    <w:rsid w:val="001472E8"/>
    <w:rsid w:val="0015281B"/>
    <w:rsid w:val="00162A5B"/>
    <w:rsid w:val="00165513"/>
    <w:rsid w:val="00167073"/>
    <w:rsid w:val="00171B5B"/>
    <w:rsid w:val="001724B7"/>
    <w:rsid w:val="00174F36"/>
    <w:rsid w:val="00176CF4"/>
    <w:rsid w:val="00181114"/>
    <w:rsid w:val="00181696"/>
    <w:rsid w:val="00185056"/>
    <w:rsid w:val="00185C51"/>
    <w:rsid w:val="0018657D"/>
    <w:rsid w:val="0019054D"/>
    <w:rsid w:val="001A0BB4"/>
    <w:rsid w:val="001B2315"/>
    <w:rsid w:val="001B4FAE"/>
    <w:rsid w:val="001B7FD9"/>
    <w:rsid w:val="001C2904"/>
    <w:rsid w:val="001C31BA"/>
    <w:rsid w:val="001C77C5"/>
    <w:rsid w:val="001C7D6C"/>
    <w:rsid w:val="001D4300"/>
    <w:rsid w:val="001D5BF0"/>
    <w:rsid w:val="001D60AB"/>
    <w:rsid w:val="001D7A41"/>
    <w:rsid w:val="001E11CA"/>
    <w:rsid w:val="001E11F4"/>
    <w:rsid w:val="001E2EA4"/>
    <w:rsid w:val="001E30F9"/>
    <w:rsid w:val="001E678A"/>
    <w:rsid w:val="001E6FC9"/>
    <w:rsid w:val="001F21AA"/>
    <w:rsid w:val="001F3838"/>
    <w:rsid w:val="001F5E7F"/>
    <w:rsid w:val="001F7926"/>
    <w:rsid w:val="002017E5"/>
    <w:rsid w:val="0020315C"/>
    <w:rsid w:val="002054E9"/>
    <w:rsid w:val="00207C94"/>
    <w:rsid w:val="00207CF8"/>
    <w:rsid w:val="002101D4"/>
    <w:rsid w:val="0021177B"/>
    <w:rsid w:val="002162CE"/>
    <w:rsid w:val="00216839"/>
    <w:rsid w:val="00220379"/>
    <w:rsid w:val="0022109C"/>
    <w:rsid w:val="00224785"/>
    <w:rsid w:val="0022651B"/>
    <w:rsid w:val="00231E35"/>
    <w:rsid w:val="00232813"/>
    <w:rsid w:val="00235986"/>
    <w:rsid w:val="00237E3E"/>
    <w:rsid w:val="00244050"/>
    <w:rsid w:val="00245EE1"/>
    <w:rsid w:val="00246958"/>
    <w:rsid w:val="0025421F"/>
    <w:rsid w:val="002545F3"/>
    <w:rsid w:val="00254880"/>
    <w:rsid w:val="002562B9"/>
    <w:rsid w:val="00264D5E"/>
    <w:rsid w:val="00270EFA"/>
    <w:rsid w:val="00271079"/>
    <w:rsid w:val="00272EAF"/>
    <w:rsid w:val="00272F1C"/>
    <w:rsid w:val="002739D3"/>
    <w:rsid w:val="00273C7B"/>
    <w:rsid w:val="002758CC"/>
    <w:rsid w:val="00275A30"/>
    <w:rsid w:val="00283AB8"/>
    <w:rsid w:val="00285273"/>
    <w:rsid w:val="00285E18"/>
    <w:rsid w:val="00291A19"/>
    <w:rsid w:val="00292AFB"/>
    <w:rsid w:val="00294A6F"/>
    <w:rsid w:val="0029584A"/>
    <w:rsid w:val="002A3691"/>
    <w:rsid w:val="002A393A"/>
    <w:rsid w:val="002A546C"/>
    <w:rsid w:val="002A5EA2"/>
    <w:rsid w:val="002A5F8F"/>
    <w:rsid w:val="002A74A8"/>
    <w:rsid w:val="002B0EBE"/>
    <w:rsid w:val="002B643F"/>
    <w:rsid w:val="002B66DD"/>
    <w:rsid w:val="002C0886"/>
    <w:rsid w:val="002C5E22"/>
    <w:rsid w:val="002C666C"/>
    <w:rsid w:val="002C799F"/>
    <w:rsid w:val="002D50B9"/>
    <w:rsid w:val="002D5474"/>
    <w:rsid w:val="002D7A58"/>
    <w:rsid w:val="002D7E51"/>
    <w:rsid w:val="002E2090"/>
    <w:rsid w:val="002E418F"/>
    <w:rsid w:val="002E4A62"/>
    <w:rsid w:val="002E4DEA"/>
    <w:rsid w:val="002E52CF"/>
    <w:rsid w:val="002E7A59"/>
    <w:rsid w:val="002F2803"/>
    <w:rsid w:val="002F4609"/>
    <w:rsid w:val="002F4A1C"/>
    <w:rsid w:val="002F585E"/>
    <w:rsid w:val="003012AD"/>
    <w:rsid w:val="00313B79"/>
    <w:rsid w:val="00313EF6"/>
    <w:rsid w:val="00314BFF"/>
    <w:rsid w:val="00315570"/>
    <w:rsid w:val="00315EFD"/>
    <w:rsid w:val="003175CC"/>
    <w:rsid w:val="0032257F"/>
    <w:rsid w:val="00322B16"/>
    <w:rsid w:val="0032337D"/>
    <w:rsid w:val="00323C20"/>
    <w:rsid w:val="00332018"/>
    <w:rsid w:val="0033264F"/>
    <w:rsid w:val="00332925"/>
    <w:rsid w:val="0033340F"/>
    <w:rsid w:val="00334406"/>
    <w:rsid w:val="003344BE"/>
    <w:rsid w:val="0034467D"/>
    <w:rsid w:val="00346EBF"/>
    <w:rsid w:val="003504A6"/>
    <w:rsid w:val="00351283"/>
    <w:rsid w:val="00351413"/>
    <w:rsid w:val="0035178B"/>
    <w:rsid w:val="00351B40"/>
    <w:rsid w:val="00353D6B"/>
    <w:rsid w:val="003558CF"/>
    <w:rsid w:val="00363A0B"/>
    <w:rsid w:val="00363A9A"/>
    <w:rsid w:val="00363B0A"/>
    <w:rsid w:val="0036408C"/>
    <w:rsid w:val="00375399"/>
    <w:rsid w:val="00381DDB"/>
    <w:rsid w:val="0039158F"/>
    <w:rsid w:val="00391EC0"/>
    <w:rsid w:val="003950B2"/>
    <w:rsid w:val="003A0F1F"/>
    <w:rsid w:val="003A1223"/>
    <w:rsid w:val="003A22D4"/>
    <w:rsid w:val="003A2432"/>
    <w:rsid w:val="003A27EC"/>
    <w:rsid w:val="003A4929"/>
    <w:rsid w:val="003A599C"/>
    <w:rsid w:val="003B02CC"/>
    <w:rsid w:val="003B05D0"/>
    <w:rsid w:val="003B1A9C"/>
    <w:rsid w:val="003C06C5"/>
    <w:rsid w:val="003C0757"/>
    <w:rsid w:val="003C44A6"/>
    <w:rsid w:val="003C5E44"/>
    <w:rsid w:val="003D0127"/>
    <w:rsid w:val="003D09FB"/>
    <w:rsid w:val="003D29BF"/>
    <w:rsid w:val="003D29EC"/>
    <w:rsid w:val="003D76AD"/>
    <w:rsid w:val="003E0346"/>
    <w:rsid w:val="003E1F2C"/>
    <w:rsid w:val="003E395C"/>
    <w:rsid w:val="003E77BB"/>
    <w:rsid w:val="003E7A22"/>
    <w:rsid w:val="003F0ACA"/>
    <w:rsid w:val="003F0B80"/>
    <w:rsid w:val="003F2832"/>
    <w:rsid w:val="003F2C35"/>
    <w:rsid w:val="003F69A3"/>
    <w:rsid w:val="003F70E4"/>
    <w:rsid w:val="003F7903"/>
    <w:rsid w:val="0040123A"/>
    <w:rsid w:val="00402121"/>
    <w:rsid w:val="00402A44"/>
    <w:rsid w:val="00403F63"/>
    <w:rsid w:val="004040D4"/>
    <w:rsid w:val="00404240"/>
    <w:rsid w:val="00407E41"/>
    <w:rsid w:val="00412A31"/>
    <w:rsid w:val="004201F4"/>
    <w:rsid w:val="0042163E"/>
    <w:rsid w:val="0042277B"/>
    <w:rsid w:val="00425663"/>
    <w:rsid w:val="0043487B"/>
    <w:rsid w:val="00434D5D"/>
    <w:rsid w:val="00440EC2"/>
    <w:rsid w:val="0044535A"/>
    <w:rsid w:val="004473D2"/>
    <w:rsid w:val="00456978"/>
    <w:rsid w:val="00460129"/>
    <w:rsid w:val="0046072B"/>
    <w:rsid w:val="004633D1"/>
    <w:rsid w:val="00471C85"/>
    <w:rsid w:val="004724AC"/>
    <w:rsid w:val="00475150"/>
    <w:rsid w:val="00475155"/>
    <w:rsid w:val="004759FD"/>
    <w:rsid w:val="004824FA"/>
    <w:rsid w:val="00483EB1"/>
    <w:rsid w:val="00485476"/>
    <w:rsid w:val="00487189"/>
    <w:rsid w:val="0048788F"/>
    <w:rsid w:val="00490E6C"/>
    <w:rsid w:val="004910AF"/>
    <w:rsid w:val="00496318"/>
    <w:rsid w:val="00496BA8"/>
    <w:rsid w:val="004A2B0F"/>
    <w:rsid w:val="004A6EF6"/>
    <w:rsid w:val="004A6F3D"/>
    <w:rsid w:val="004B14C4"/>
    <w:rsid w:val="004B1D08"/>
    <w:rsid w:val="004B3924"/>
    <w:rsid w:val="004B3CA5"/>
    <w:rsid w:val="004C0FD5"/>
    <w:rsid w:val="004C2D25"/>
    <w:rsid w:val="004C30B7"/>
    <w:rsid w:val="004C4026"/>
    <w:rsid w:val="004C7987"/>
    <w:rsid w:val="004D0598"/>
    <w:rsid w:val="004D230D"/>
    <w:rsid w:val="004D2372"/>
    <w:rsid w:val="004D5E4D"/>
    <w:rsid w:val="004D6015"/>
    <w:rsid w:val="004D6E0F"/>
    <w:rsid w:val="004D7100"/>
    <w:rsid w:val="004E0419"/>
    <w:rsid w:val="004E1A0A"/>
    <w:rsid w:val="004E1E2D"/>
    <w:rsid w:val="004E7D9B"/>
    <w:rsid w:val="004F4266"/>
    <w:rsid w:val="004F54DD"/>
    <w:rsid w:val="004F634A"/>
    <w:rsid w:val="005023D6"/>
    <w:rsid w:val="00504C04"/>
    <w:rsid w:val="00505AC2"/>
    <w:rsid w:val="005116BF"/>
    <w:rsid w:val="00513952"/>
    <w:rsid w:val="00514939"/>
    <w:rsid w:val="00515640"/>
    <w:rsid w:val="00520870"/>
    <w:rsid w:val="00525BC3"/>
    <w:rsid w:val="00525F09"/>
    <w:rsid w:val="00526419"/>
    <w:rsid w:val="00532183"/>
    <w:rsid w:val="005344D7"/>
    <w:rsid w:val="0053476C"/>
    <w:rsid w:val="005347DC"/>
    <w:rsid w:val="00534F9D"/>
    <w:rsid w:val="005427C9"/>
    <w:rsid w:val="00543244"/>
    <w:rsid w:val="005452F4"/>
    <w:rsid w:val="00550096"/>
    <w:rsid w:val="0055267D"/>
    <w:rsid w:val="00553C8E"/>
    <w:rsid w:val="00554165"/>
    <w:rsid w:val="00563AD3"/>
    <w:rsid w:val="00564087"/>
    <w:rsid w:val="0056533D"/>
    <w:rsid w:val="005655BF"/>
    <w:rsid w:val="0056573A"/>
    <w:rsid w:val="00565B53"/>
    <w:rsid w:val="005720FC"/>
    <w:rsid w:val="00573C81"/>
    <w:rsid w:val="00577A71"/>
    <w:rsid w:val="00581E91"/>
    <w:rsid w:val="00582F95"/>
    <w:rsid w:val="0058319F"/>
    <w:rsid w:val="00583B86"/>
    <w:rsid w:val="00584921"/>
    <w:rsid w:val="005854E3"/>
    <w:rsid w:val="005914AC"/>
    <w:rsid w:val="00591521"/>
    <w:rsid w:val="005921CA"/>
    <w:rsid w:val="0059296A"/>
    <w:rsid w:val="005951FD"/>
    <w:rsid w:val="005A0AE0"/>
    <w:rsid w:val="005A6188"/>
    <w:rsid w:val="005B27FB"/>
    <w:rsid w:val="005B3179"/>
    <w:rsid w:val="005B6290"/>
    <w:rsid w:val="005B7E44"/>
    <w:rsid w:val="005C280A"/>
    <w:rsid w:val="005C3EE0"/>
    <w:rsid w:val="005C475B"/>
    <w:rsid w:val="005C524D"/>
    <w:rsid w:val="005C5B04"/>
    <w:rsid w:val="005C65FA"/>
    <w:rsid w:val="005D1DD8"/>
    <w:rsid w:val="005D5B6A"/>
    <w:rsid w:val="005D7916"/>
    <w:rsid w:val="005E0494"/>
    <w:rsid w:val="005E0EBA"/>
    <w:rsid w:val="005E35EC"/>
    <w:rsid w:val="005E6E6F"/>
    <w:rsid w:val="005F00CA"/>
    <w:rsid w:val="005F04DB"/>
    <w:rsid w:val="005F120F"/>
    <w:rsid w:val="005F503C"/>
    <w:rsid w:val="005F56F5"/>
    <w:rsid w:val="005F792A"/>
    <w:rsid w:val="00600C67"/>
    <w:rsid w:val="00601B19"/>
    <w:rsid w:val="00606F19"/>
    <w:rsid w:val="00607734"/>
    <w:rsid w:val="00607F58"/>
    <w:rsid w:val="00610125"/>
    <w:rsid w:val="00610C49"/>
    <w:rsid w:val="0061194C"/>
    <w:rsid w:val="00611C7C"/>
    <w:rsid w:val="00614BA7"/>
    <w:rsid w:val="00620ADD"/>
    <w:rsid w:val="00621193"/>
    <w:rsid w:val="006238A7"/>
    <w:rsid w:val="00623D86"/>
    <w:rsid w:val="00626C96"/>
    <w:rsid w:val="00630272"/>
    <w:rsid w:val="00633B1A"/>
    <w:rsid w:val="00633FB9"/>
    <w:rsid w:val="0063622D"/>
    <w:rsid w:val="006405EA"/>
    <w:rsid w:val="00641253"/>
    <w:rsid w:val="00642F7B"/>
    <w:rsid w:val="00643B5C"/>
    <w:rsid w:val="00645F1F"/>
    <w:rsid w:val="006462D5"/>
    <w:rsid w:val="00650375"/>
    <w:rsid w:val="00652511"/>
    <w:rsid w:val="006571D1"/>
    <w:rsid w:val="00660B1A"/>
    <w:rsid w:val="0066408F"/>
    <w:rsid w:val="00667CF8"/>
    <w:rsid w:val="006710B0"/>
    <w:rsid w:val="00673634"/>
    <w:rsid w:val="00673AB2"/>
    <w:rsid w:val="00677389"/>
    <w:rsid w:val="00677689"/>
    <w:rsid w:val="00687A5F"/>
    <w:rsid w:val="00691E74"/>
    <w:rsid w:val="006A0A86"/>
    <w:rsid w:val="006A2476"/>
    <w:rsid w:val="006A360D"/>
    <w:rsid w:val="006A3B40"/>
    <w:rsid w:val="006A4F38"/>
    <w:rsid w:val="006A6692"/>
    <w:rsid w:val="006A7617"/>
    <w:rsid w:val="006A79D4"/>
    <w:rsid w:val="006B1A71"/>
    <w:rsid w:val="006B2A12"/>
    <w:rsid w:val="006B2B33"/>
    <w:rsid w:val="006B305E"/>
    <w:rsid w:val="006B3F00"/>
    <w:rsid w:val="006B6DB4"/>
    <w:rsid w:val="006B7A90"/>
    <w:rsid w:val="006C6B0B"/>
    <w:rsid w:val="006C6F75"/>
    <w:rsid w:val="006C772E"/>
    <w:rsid w:val="006D214D"/>
    <w:rsid w:val="006D418F"/>
    <w:rsid w:val="006D4496"/>
    <w:rsid w:val="006D6C0C"/>
    <w:rsid w:val="006E5788"/>
    <w:rsid w:val="006E6D79"/>
    <w:rsid w:val="006F026D"/>
    <w:rsid w:val="006F0601"/>
    <w:rsid w:val="006F3A8E"/>
    <w:rsid w:val="006F3E84"/>
    <w:rsid w:val="006F6125"/>
    <w:rsid w:val="00700ED9"/>
    <w:rsid w:val="0070326C"/>
    <w:rsid w:val="00704BF0"/>
    <w:rsid w:val="00711ACA"/>
    <w:rsid w:val="00712761"/>
    <w:rsid w:val="00712764"/>
    <w:rsid w:val="0071291B"/>
    <w:rsid w:val="00714F83"/>
    <w:rsid w:val="00715711"/>
    <w:rsid w:val="00717257"/>
    <w:rsid w:val="00720FDA"/>
    <w:rsid w:val="007211AC"/>
    <w:rsid w:val="00725203"/>
    <w:rsid w:val="00725477"/>
    <w:rsid w:val="007269A4"/>
    <w:rsid w:val="00726E51"/>
    <w:rsid w:val="007313EC"/>
    <w:rsid w:val="0073249C"/>
    <w:rsid w:val="00732702"/>
    <w:rsid w:val="007328D9"/>
    <w:rsid w:val="00732E1D"/>
    <w:rsid w:val="00733E63"/>
    <w:rsid w:val="00734ADE"/>
    <w:rsid w:val="007417A4"/>
    <w:rsid w:val="00741DC3"/>
    <w:rsid w:val="00744BA1"/>
    <w:rsid w:val="00744C66"/>
    <w:rsid w:val="00745D0D"/>
    <w:rsid w:val="0074625E"/>
    <w:rsid w:val="0074630B"/>
    <w:rsid w:val="007463E6"/>
    <w:rsid w:val="007464CE"/>
    <w:rsid w:val="00747BA7"/>
    <w:rsid w:val="00755E76"/>
    <w:rsid w:val="00757446"/>
    <w:rsid w:val="007612C5"/>
    <w:rsid w:val="00761DB4"/>
    <w:rsid w:val="0076415C"/>
    <w:rsid w:val="007650F9"/>
    <w:rsid w:val="007652C9"/>
    <w:rsid w:val="00776A25"/>
    <w:rsid w:val="0077786E"/>
    <w:rsid w:val="00780F0E"/>
    <w:rsid w:val="007823F0"/>
    <w:rsid w:val="00783211"/>
    <w:rsid w:val="00783450"/>
    <w:rsid w:val="00785309"/>
    <w:rsid w:val="00785F17"/>
    <w:rsid w:val="00790F11"/>
    <w:rsid w:val="00794E01"/>
    <w:rsid w:val="007A2987"/>
    <w:rsid w:val="007A2D7F"/>
    <w:rsid w:val="007A39E0"/>
    <w:rsid w:val="007A4372"/>
    <w:rsid w:val="007A4961"/>
    <w:rsid w:val="007A69E4"/>
    <w:rsid w:val="007A7EF7"/>
    <w:rsid w:val="007B0EDD"/>
    <w:rsid w:val="007B44F6"/>
    <w:rsid w:val="007B5EE3"/>
    <w:rsid w:val="007B686D"/>
    <w:rsid w:val="007C1A75"/>
    <w:rsid w:val="007C236F"/>
    <w:rsid w:val="007C55F6"/>
    <w:rsid w:val="007C674B"/>
    <w:rsid w:val="007C764A"/>
    <w:rsid w:val="007D1579"/>
    <w:rsid w:val="007D461C"/>
    <w:rsid w:val="007D7360"/>
    <w:rsid w:val="007D77F8"/>
    <w:rsid w:val="007D7934"/>
    <w:rsid w:val="007E0835"/>
    <w:rsid w:val="007E3980"/>
    <w:rsid w:val="007F0D69"/>
    <w:rsid w:val="007F3651"/>
    <w:rsid w:val="007F3A48"/>
    <w:rsid w:val="007F3FBB"/>
    <w:rsid w:val="007F4AC9"/>
    <w:rsid w:val="007F69B6"/>
    <w:rsid w:val="007F7EA2"/>
    <w:rsid w:val="00800142"/>
    <w:rsid w:val="00811CBA"/>
    <w:rsid w:val="008129AD"/>
    <w:rsid w:val="00813F26"/>
    <w:rsid w:val="008153E0"/>
    <w:rsid w:val="00817634"/>
    <w:rsid w:val="00820C8B"/>
    <w:rsid w:val="00820D5C"/>
    <w:rsid w:val="00822FDB"/>
    <w:rsid w:val="00823E0D"/>
    <w:rsid w:val="00824276"/>
    <w:rsid w:val="00824A84"/>
    <w:rsid w:val="00824B5C"/>
    <w:rsid w:val="00826995"/>
    <w:rsid w:val="0083046E"/>
    <w:rsid w:val="0083413E"/>
    <w:rsid w:val="008349A7"/>
    <w:rsid w:val="008366B3"/>
    <w:rsid w:val="00841964"/>
    <w:rsid w:val="00841C8A"/>
    <w:rsid w:val="0084293D"/>
    <w:rsid w:val="00844094"/>
    <w:rsid w:val="008528BC"/>
    <w:rsid w:val="00854890"/>
    <w:rsid w:val="0085651B"/>
    <w:rsid w:val="00857CC4"/>
    <w:rsid w:val="008613E7"/>
    <w:rsid w:val="0086366A"/>
    <w:rsid w:val="00863AAC"/>
    <w:rsid w:val="00870AB1"/>
    <w:rsid w:val="00871802"/>
    <w:rsid w:val="00874808"/>
    <w:rsid w:val="00874F99"/>
    <w:rsid w:val="00877A90"/>
    <w:rsid w:val="00883B4D"/>
    <w:rsid w:val="00883CA2"/>
    <w:rsid w:val="0088430B"/>
    <w:rsid w:val="008929F0"/>
    <w:rsid w:val="008A105F"/>
    <w:rsid w:val="008A43E8"/>
    <w:rsid w:val="008B018A"/>
    <w:rsid w:val="008B094E"/>
    <w:rsid w:val="008B189C"/>
    <w:rsid w:val="008B21C6"/>
    <w:rsid w:val="008C24A5"/>
    <w:rsid w:val="008C3314"/>
    <w:rsid w:val="008C5F4E"/>
    <w:rsid w:val="008D149A"/>
    <w:rsid w:val="008D1BB5"/>
    <w:rsid w:val="008D20E9"/>
    <w:rsid w:val="008D3903"/>
    <w:rsid w:val="008D3F0F"/>
    <w:rsid w:val="008D420F"/>
    <w:rsid w:val="008D7A77"/>
    <w:rsid w:val="008E0AD8"/>
    <w:rsid w:val="008E1882"/>
    <w:rsid w:val="008E1E32"/>
    <w:rsid w:val="008E277D"/>
    <w:rsid w:val="008F4D4C"/>
    <w:rsid w:val="008F7054"/>
    <w:rsid w:val="008F7492"/>
    <w:rsid w:val="008F7A4D"/>
    <w:rsid w:val="009006D9"/>
    <w:rsid w:val="00902C0C"/>
    <w:rsid w:val="00903BFB"/>
    <w:rsid w:val="00903D5F"/>
    <w:rsid w:val="0091184D"/>
    <w:rsid w:val="00912A9E"/>
    <w:rsid w:val="00913B19"/>
    <w:rsid w:val="00913DDB"/>
    <w:rsid w:val="00917AED"/>
    <w:rsid w:val="00920D71"/>
    <w:rsid w:val="00923140"/>
    <w:rsid w:val="00925CE1"/>
    <w:rsid w:val="00926682"/>
    <w:rsid w:val="00927800"/>
    <w:rsid w:val="0093119A"/>
    <w:rsid w:val="009328E9"/>
    <w:rsid w:val="0093297C"/>
    <w:rsid w:val="009338F8"/>
    <w:rsid w:val="00933977"/>
    <w:rsid w:val="009376CA"/>
    <w:rsid w:val="00937ECC"/>
    <w:rsid w:val="009417AC"/>
    <w:rsid w:val="00943495"/>
    <w:rsid w:val="0095059E"/>
    <w:rsid w:val="00954666"/>
    <w:rsid w:val="009554B4"/>
    <w:rsid w:val="00960C09"/>
    <w:rsid w:val="00960C91"/>
    <w:rsid w:val="009644DD"/>
    <w:rsid w:val="00964C7E"/>
    <w:rsid w:val="00965829"/>
    <w:rsid w:val="00966766"/>
    <w:rsid w:val="00967BE5"/>
    <w:rsid w:val="00973389"/>
    <w:rsid w:val="0097490D"/>
    <w:rsid w:val="00976850"/>
    <w:rsid w:val="00980D02"/>
    <w:rsid w:val="009821FF"/>
    <w:rsid w:val="00985803"/>
    <w:rsid w:val="009875D0"/>
    <w:rsid w:val="00987668"/>
    <w:rsid w:val="00990515"/>
    <w:rsid w:val="00992466"/>
    <w:rsid w:val="00992CC7"/>
    <w:rsid w:val="009971A8"/>
    <w:rsid w:val="009A1E85"/>
    <w:rsid w:val="009A2544"/>
    <w:rsid w:val="009A30C2"/>
    <w:rsid w:val="009A3441"/>
    <w:rsid w:val="009B1DE4"/>
    <w:rsid w:val="009B3B79"/>
    <w:rsid w:val="009B3B87"/>
    <w:rsid w:val="009B3F8D"/>
    <w:rsid w:val="009B483B"/>
    <w:rsid w:val="009B5F3B"/>
    <w:rsid w:val="009B6C3D"/>
    <w:rsid w:val="009C1AA6"/>
    <w:rsid w:val="009C1D7C"/>
    <w:rsid w:val="009C2EAF"/>
    <w:rsid w:val="009C72DB"/>
    <w:rsid w:val="009D53F2"/>
    <w:rsid w:val="009D6CFE"/>
    <w:rsid w:val="009D7CCA"/>
    <w:rsid w:val="009E1A70"/>
    <w:rsid w:val="009E59EE"/>
    <w:rsid w:val="009E5BBF"/>
    <w:rsid w:val="009F01FB"/>
    <w:rsid w:val="009F0A84"/>
    <w:rsid w:val="009F1C2C"/>
    <w:rsid w:val="009F1F37"/>
    <w:rsid w:val="00A00842"/>
    <w:rsid w:val="00A0159F"/>
    <w:rsid w:val="00A02ADD"/>
    <w:rsid w:val="00A03E27"/>
    <w:rsid w:val="00A054AD"/>
    <w:rsid w:val="00A11631"/>
    <w:rsid w:val="00A137D3"/>
    <w:rsid w:val="00A15145"/>
    <w:rsid w:val="00A16DC5"/>
    <w:rsid w:val="00A17398"/>
    <w:rsid w:val="00A20FD9"/>
    <w:rsid w:val="00A227F1"/>
    <w:rsid w:val="00A23D04"/>
    <w:rsid w:val="00A26F5C"/>
    <w:rsid w:val="00A3241C"/>
    <w:rsid w:val="00A32E94"/>
    <w:rsid w:val="00A33A9D"/>
    <w:rsid w:val="00A4157D"/>
    <w:rsid w:val="00A4414D"/>
    <w:rsid w:val="00A4451E"/>
    <w:rsid w:val="00A4481A"/>
    <w:rsid w:val="00A46397"/>
    <w:rsid w:val="00A50504"/>
    <w:rsid w:val="00A51CCA"/>
    <w:rsid w:val="00A5455A"/>
    <w:rsid w:val="00A57A62"/>
    <w:rsid w:val="00A6045B"/>
    <w:rsid w:val="00A643E5"/>
    <w:rsid w:val="00A64902"/>
    <w:rsid w:val="00A66206"/>
    <w:rsid w:val="00A67157"/>
    <w:rsid w:val="00A70687"/>
    <w:rsid w:val="00A730F6"/>
    <w:rsid w:val="00A74A6D"/>
    <w:rsid w:val="00A7553B"/>
    <w:rsid w:val="00A83AA0"/>
    <w:rsid w:val="00A84E9F"/>
    <w:rsid w:val="00A84FCE"/>
    <w:rsid w:val="00A859EC"/>
    <w:rsid w:val="00A915D6"/>
    <w:rsid w:val="00A933C5"/>
    <w:rsid w:val="00A96067"/>
    <w:rsid w:val="00AA40BF"/>
    <w:rsid w:val="00AA776C"/>
    <w:rsid w:val="00AA7F54"/>
    <w:rsid w:val="00AA7F7A"/>
    <w:rsid w:val="00AB1C09"/>
    <w:rsid w:val="00AB2115"/>
    <w:rsid w:val="00AB2564"/>
    <w:rsid w:val="00AB2FE6"/>
    <w:rsid w:val="00AB3D6A"/>
    <w:rsid w:val="00AC1EC2"/>
    <w:rsid w:val="00AC25CE"/>
    <w:rsid w:val="00AD475D"/>
    <w:rsid w:val="00AE099F"/>
    <w:rsid w:val="00AE0E46"/>
    <w:rsid w:val="00AE0F47"/>
    <w:rsid w:val="00AE21FB"/>
    <w:rsid w:val="00AE273C"/>
    <w:rsid w:val="00AE48EE"/>
    <w:rsid w:val="00AE58BA"/>
    <w:rsid w:val="00AE70A9"/>
    <w:rsid w:val="00AE7C26"/>
    <w:rsid w:val="00AE7D39"/>
    <w:rsid w:val="00AF0050"/>
    <w:rsid w:val="00AF304C"/>
    <w:rsid w:val="00AF3C25"/>
    <w:rsid w:val="00AF4D2D"/>
    <w:rsid w:val="00AF6FA8"/>
    <w:rsid w:val="00B00B9F"/>
    <w:rsid w:val="00B052DA"/>
    <w:rsid w:val="00B06DCB"/>
    <w:rsid w:val="00B12302"/>
    <w:rsid w:val="00B130E4"/>
    <w:rsid w:val="00B13B10"/>
    <w:rsid w:val="00B144FA"/>
    <w:rsid w:val="00B14A67"/>
    <w:rsid w:val="00B2565C"/>
    <w:rsid w:val="00B330C4"/>
    <w:rsid w:val="00B33275"/>
    <w:rsid w:val="00B350FD"/>
    <w:rsid w:val="00B35534"/>
    <w:rsid w:val="00B35EC0"/>
    <w:rsid w:val="00B3703F"/>
    <w:rsid w:val="00B40633"/>
    <w:rsid w:val="00B40804"/>
    <w:rsid w:val="00B422BB"/>
    <w:rsid w:val="00B4352D"/>
    <w:rsid w:val="00B44FA3"/>
    <w:rsid w:val="00B46091"/>
    <w:rsid w:val="00B476B4"/>
    <w:rsid w:val="00B53633"/>
    <w:rsid w:val="00B56A5C"/>
    <w:rsid w:val="00B61DED"/>
    <w:rsid w:val="00B6498C"/>
    <w:rsid w:val="00B71501"/>
    <w:rsid w:val="00B71C42"/>
    <w:rsid w:val="00B72F9D"/>
    <w:rsid w:val="00B73A58"/>
    <w:rsid w:val="00B73BD1"/>
    <w:rsid w:val="00B76AC0"/>
    <w:rsid w:val="00B76FF0"/>
    <w:rsid w:val="00B80646"/>
    <w:rsid w:val="00B9145C"/>
    <w:rsid w:val="00B91812"/>
    <w:rsid w:val="00B92B95"/>
    <w:rsid w:val="00B96037"/>
    <w:rsid w:val="00BA1885"/>
    <w:rsid w:val="00BA3C90"/>
    <w:rsid w:val="00BA5322"/>
    <w:rsid w:val="00BA7D7B"/>
    <w:rsid w:val="00BB0938"/>
    <w:rsid w:val="00BB3AB3"/>
    <w:rsid w:val="00BB639E"/>
    <w:rsid w:val="00BC5229"/>
    <w:rsid w:val="00BC6262"/>
    <w:rsid w:val="00BC6538"/>
    <w:rsid w:val="00BC74D7"/>
    <w:rsid w:val="00BD0579"/>
    <w:rsid w:val="00BD3AEF"/>
    <w:rsid w:val="00BD762F"/>
    <w:rsid w:val="00BE0B7C"/>
    <w:rsid w:val="00BE20C8"/>
    <w:rsid w:val="00BE2FDD"/>
    <w:rsid w:val="00BE573F"/>
    <w:rsid w:val="00BE5B78"/>
    <w:rsid w:val="00BF017C"/>
    <w:rsid w:val="00BF0A9E"/>
    <w:rsid w:val="00BF1624"/>
    <w:rsid w:val="00BF3010"/>
    <w:rsid w:val="00BF326E"/>
    <w:rsid w:val="00BF402C"/>
    <w:rsid w:val="00BF70A7"/>
    <w:rsid w:val="00C01948"/>
    <w:rsid w:val="00C01C06"/>
    <w:rsid w:val="00C0448A"/>
    <w:rsid w:val="00C05C4E"/>
    <w:rsid w:val="00C104FA"/>
    <w:rsid w:val="00C139F2"/>
    <w:rsid w:val="00C14AD3"/>
    <w:rsid w:val="00C1769D"/>
    <w:rsid w:val="00C226B5"/>
    <w:rsid w:val="00C249CB"/>
    <w:rsid w:val="00C269D0"/>
    <w:rsid w:val="00C332E1"/>
    <w:rsid w:val="00C37087"/>
    <w:rsid w:val="00C3772E"/>
    <w:rsid w:val="00C41EDD"/>
    <w:rsid w:val="00C424EC"/>
    <w:rsid w:val="00C42F4E"/>
    <w:rsid w:val="00C436F0"/>
    <w:rsid w:val="00C467B4"/>
    <w:rsid w:val="00C46CBF"/>
    <w:rsid w:val="00C53C59"/>
    <w:rsid w:val="00C55842"/>
    <w:rsid w:val="00C5630A"/>
    <w:rsid w:val="00C618CE"/>
    <w:rsid w:val="00C6264E"/>
    <w:rsid w:val="00C65ED9"/>
    <w:rsid w:val="00C664C0"/>
    <w:rsid w:val="00C66AE2"/>
    <w:rsid w:val="00C66BB0"/>
    <w:rsid w:val="00C70C1F"/>
    <w:rsid w:val="00C712CE"/>
    <w:rsid w:val="00C71721"/>
    <w:rsid w:val="00C724FB"/>
    <w:rsid w:val="00C728A7"/>
    <w:rsid w:val="00C72A9A"/>
    <w:rsid w:val="00C7432E"/>
    <w:rsid w:val="00C76454"/>
    <w:rsid w:val="00C81A86"/>
    <w:rsid w:val="00C835C8"/>
    <w:rsid w:val="00C85666"/>
    <w:rsid w:val="00C87987"/>
    <w:rsid w:val="00C87D00"/>
    <w:rsid w:val="00C90E2A"/>
    <w:rsid w:val="00C9134C"/>
    <w:rsid w:val="00C92180"/>
    <w:rsid w:val="00C9476E"/>
    <w:rsid w:val="00C95CB4"/>
    <w:rsid w:val="00C96FD5"/>
    <w:rsid w:val="00CA01BF"/>
    <w:rsid w:val="00CA0FD2"/>
    <w:rsid w:val="00CA21EE"/>
    <w:rsid w:val="00CA22EB"/>
    <w:rsid w:val="00CA2F59"/>
    <w:rsid w:val="00CA5D2E"/>
    <w:rsid w:val="00CB01C1"/>
    <w:rsid w:val="00CB2283"/>
    <w:rsid w:val="00CB5CFB"/>
    <w:rsid w:val="00CC2A02"/>
    <w:rsid w:val="00CC33E1"/>
    <w:rsid w:val="00CC3AB9"/>
    <w:rsid w:val="00CC4531"/>
    <w:rsid w:val="00CD1C89"/>
    <w:rsid w:val="00CD3679"/>
    <w:rsid w:val="00CD4554"/>
    <w:rsid w:val="00CD7472"/>
    <w:rsid w:val="00CE14DD"/>
    <w:rsid w:val="00CE2727"/>
    <w:rsid w:val="00CE3DC8"/>
    <w:rsid w:val="00CE3E43"/>
    <w:rsid w:val="00CE4F58"/>
    <w:rsid w:val="00CE53F3"/>
    <w:rsid w:val="00CF13F1"/>
    <w:rsid w:val="00CF28DA"/>
    <w:rsid w:val="00CF3DC0"/>
    <w:rsid w:val="00CF55A9"/>
    <w:rsid w:val="00CF7B5F"/>
    <w:rsid w:val="00D01B5C"/>
    <w:rsid w:val="00D02190"/>
    <w:rsid w:val="00D021BE"/>
    <w:rsid w:val="00D14673"/>
    <w:rsid w:val="00D15A9C"/>
    <w:rsid w:val="00D22E18"/>
    <w:rsid w:val="00D230C1"/>
    <w:rsid w:val="00D25B08"/>
    <w:rsid w:val="00D30432"/>
    <w:rsid w:val="00D3526C"/>
    <w:rsid w:val="00D374D2"/>
    <w:rsid w:val="00D415E7"/>
    <w:rsid w:val="00D4342C"/>
    <w:rsid w:val="00D47E3F"/>
    <w:rsid w:val="00D5250B"/>
    <w:rsid w:val="00D5297B"/>
    <w:rsid w:val="00D52BFF"/>
    <w:rsid w:val="00D55494"/>
    <w:rsid w:val="00D57A26"/>
    <w:rsid w:val="00D57D60"/>
    <w:rsid w:val="00D62663"/>
    <w:rsid w:val="00D63022"/>
    <w:rsid w:val="00D8430D"/>
    <w:rsid w:val="00D845FC"/>
    <w:rsid w:val="00D84EA7"/>
    <w:rsid w:val="00D858B9"/>
    <w:rsid w:val="00D925C6"/>
    <w:rsid w:val="00D925FF"/>
    <w:rsid w:val="00D93F80"/>
    <w:rsid w:val="00D94B08"/>
    <w:rsid w:val="00D960FF"/>
    <w:rsid w:val="00DA01D8"/>
    <w:rsid w:val="00DA145B"/>
    <w:rsid w:val="00DA1732"/>
    <w:rsid w:val="00DA18BF"/>
    <w:rsid w:val="00DA3B2B"/>
    <w:rsid w:val="00DA4306"/>
    <w:rsid w:val="00DA4D37"/>
    <w:rsid w:val="00DA5BB4"/>
    <w:rsid w:val="00DA64DF"/>
    <w:rsid w:val="00DB123D"/>
    <w:rsid w:val="00DB19DF"/>
    <w:rsid w:val="00DB3572"/>
    <w:rsid w:val="00DB575A"/>
    <w:rsid w:val="00DC04A7"/>
    <w:rsid w:val="00DC23BD"/>
    <w:rsid w:val="00DC27E6"/>
    <w:rsid w:val="00DC29FE"/>
    <w:rsid w:val="00DC6625"/>
    <w:rsid w:val="00DC67DC"/>
    <w:rsid w:val="00DD1BC8"/>
    <w:rsid w:val="00DD303A"/>
    <w:rsid w:val="00DD3B86"/>
    <w:rsid w:val="00DE1E67"/>
    <w:rsid w:val="00DE3E7E"/>
    <w:rsid w:val="00DE5127"/>
    <w:rsid w:val="00DE5A56"/>
    <w:rsid w:val="00DE6F34"/>
    <w:rsid w:val="00DE79FA"/>
    <w:rsid w:val="00DE7C40"/>
    <w:rsid w:val="00DF2A69"/>
    <w:rsid w:val="00DF68F7"/>
    <w:rsid w:val="00E00A79"/>
    <w:rsid w:val="00E0130A"/>
    <w:rsid w:val="00E02010"/>
    <w:rsid w:val="00E02282"/>
    <w:rsid w:val="00E0247C"/>
    <w:rsid w:val="00E0304B"/>
    <w:rsid w:val="00E10373"/>
    <w:rsid w:val="00E11708"/>
    <w:rsid w:val="00E14BFB"/>
    <w:rsid w:val="00E17313"/>
    <w:rsid w:val="00E17D2C"/>
    <w:rsid w:val="00E23D41"/>
    <w:rsid w:val="00E2658C"/>
    <w:rsid w:val="00E266F6"/>
    <w:rsid w:val="00E26CE1"/>
    <w:rsid w:val="00E33F58"/>
    <w:rsid w:val="00E40B30"/>
    <w:rsid w:val="00E40FC1"/>
    <w:rsid w:val="00E428CC"/>
    <w:rsid w:val="00E42E06"/>
    <w:rsid w:val="00E44355"/>
    <w:rsid w:val="00E44991"/>
    <w:rsid w:val="00E47464"/>
    <w:rsid w:val="00E50E44"/>
    <w:rsid w:val="00E51AE3"/>
    <w:rsid w:val="00E51FF0"/>
    <w:rsid w:val="00E53A65"/>
    <w:rsid w:val="00E54E4E"/>
    <w:rsid w:val="00E56184"/>
    <w:rsid w:val="00E60E2A"/>
    <w:rsid w:val="00E61534"/>
    <w:rsid w:val="00E64459"/>
    <w:rsid w:val="00E65F36"/>
    <w:rsid w:val="00E67212"/>
    <w:rsid w:val="00E678BE"/>
    <w:rsid w:val="00E75F42"/>
    <w:rsid w:val="00E768B2"/>
    <w:rsid w:val="00E77BB4"/>
    <w:rsid w:val="00E84EEA"/>
    <w:rsid w:val="00E911EB"/>
    <w:rsid w:val="00E93978"/>
    <w:rsid w:val="00E95C63"/>
    <w:rsid w:val="00EA1159"/>
    <w:rsid w:val="00EB1F49"/>
    <w:rsid w:val="00EB4BA4"/>
    <w:rsid w:val="00EB5FED"/>
    <w:rsid w:val="00EC5839"/>
    <w:rsid w:val="00EC6082"/>
    <w:rsid w:val="00ED2044"/>
    <w:rsid w:val="00ED2666"/>
    <w:rsid w:val="00ED3A76"/>
    <w:rsid w:val="00ED3EC5"/>
    <w:rsid w:val="00ED5CC9"/>
    <w:rsid w:val="00ED5D11"/>
    <w:rsid w:val="00ED6785"/>
    <w:rsid w:val="00ED6AAD"/>
    <w:rsid w:val="00EE1517"/>
    <w:rsid w:val="00EE1FF1"/>
    <w:rsid w:val="00EE21E8"/>
    <w:rsid w:val="00EE38A4"/>
    <w:rsid w:val="00EE3EAC"/>
    <w:rsid w:val="00EE487C"/>
    <w:rsid w:val="00EE6DE1"/>
    <w:rsid w:val="00EF0219"/>
    <w:rsid w:val="00EF06BA"/>
    <w:rsid w:val="00EF0D0C"/>
    <w:rsid w:val="00EF4228"/>
    <w:rsid w:val="00EF5786"/>
    <w:rsid w:val="00EF6501"/>
    <w:rsid w:val="00F01357"/>
    <w:rsid w:val="00F02AA8"/>
    <w:rsid w:val="00F0347F"/>
    <w:rsid w:val="00F04DFF"/>
    <w:rsid w:val="00F1319A"/>
    <w:rsid w:val="00F204D1"/>
    <w:rsid w:val="00F23AE6"/>
    <w:rsid w:val="00F26505"/>
    <w:rsid w:val="00F26BE1"/>
    <w:rsid w:val="00F2700C"/>
    <w:rsid w:val="00F33235"/>
    <w:rsid w:val="00F33639"/>
    <w:rsid w:val="00F3497E"/>
    <w:rsid w:val="00F3580F"/>
    <w:rsid w:val="00F35963"/>
    <w:rsid w:val="00F37940"/>
    <w:rsid w:val="00F433BD"/>
    <w:rsid w:val="00F4383E"/>
    <w:rsid w:val="00F5406D"/>
    <w:rsid w:val="00F54696"/>
    <w:rsid w:val="00F54F2A"/>
    <w:rsid w:val="00F55DF5"/>
    <w:rsid w:val="00F6032B"/>
    <w:rsid w:val="00F60427"/>
    <w:rsid w:val="00F61B8D"/>
    <w:rsid w:val="00F62566"/>
    <w:rsid w:val="00F62DEE"/>
    <w:rsid w:val="00F67678"/>
    <w:rsid w:val="00F723F9"/>
    <w:rsid w:val="00F7344B"/>
    <w:rsid w:val="00F74253"/>
    <w:rsid w:val="00F74BA1"/>
    <w:rsid w:val="00F82BA8"/>
    <w:rsid w:val="00F834F4"/>
    <w:rsid w:val="00F83C49"/>
    <w:rsid w:val="00F864DC"/>
    <w:rsid w:val="00F905EB"/>
    <w:rsid w:val="00F92319"/>
    <w:rsid w:val="00F939D1"/>
    <w:rsid w:val="00F94774"/>
    <w:rsid w:val="00F94B9A"/>
    <w:rsid w:val="00F953D8"/>
    <w:rsid w:val="00F96220"/>
    <w:rsid w:val="00F97DEB"/>
    <w:rsid w:val="00FA0AEE"/>
    <w:rsid w:val="00FA3A57"/>
    <w:rsid w:val="00FA4DFC"/>
    <w:rsid w:val="00FA73A8"/>
    <w:rsid w:val="00FB0DDE"/>
    <w:rsid w:val="00FB1FA6"/>
    <w:rsid w:val="00FB265E"/>
    <w:rsid w:val="00FB45F2"/>
    <w:rsid w:val="00FB537F"/>
    <w:rsid w:val="00FB71B8"/>
    <w:rsid w:val="00FC0A55"/>
    <w:rsid w:val="00FC0AD8"/>
    <w:rsid w:val="00FC5BB1"/>
    <w:rsid w:val="00FC5EC5"/>
    <w:rsid w:val="00FC7A7D"/>
    <w:rsid w:val="00FD284C"/>
    <w:rsid w:val="00FD2967"/>
    <w:rsid w:val="00FD2FB4"/>
    <w:rsid w:val="00FD62D0"/>
    <w:rsid w:val="00FE2BC5"/>
    <w:rsid w:val="00FE78DF"/>
    <w:rsid w:val="00FF1E63"/>
    <w:rsid w:val="00FF4CB5"/>
    <w:rsid w:val="00FF6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0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D"/>
    <w:rPr>
      <w:rFonts w:ascii="Times New Roman" w:eastAsia="Times New Roman" w:hAnsi="Times New Roman"/>
      <w:sz w:val="24"/>
      <w:szCs w:val="24"/>
      <w:lang w:val="en-GB" w:eastAsia="en-GB"/>
    </w:rPr>
  </w:style>
  <w:style w:type="paragraph" w:styleId="Heading1">
    <w:name w:val="heading 1"/>
    <w:basedOn w:val="Normal"/>
    <w:link w:val="Heading1Char"/>
    <w:uiPriority w:val="99"/>
    <w:qFormat/>
    <w:rsid w:val="00E75F42"/>
    <w:pPr>
      <w:spacing w:before="100" w:beforeAutospacing="1" w:after="100" w:afterAutospacing="1"/>
      <w:outlineLvl w:val="0"/>
    </w:pPr>
    <w:rPr>
      <w:rFonts w:eastAsia="Calibri"/>
      <w:b/>
      <w:bCs/>
      <w:kern w:val="36"/>
      <w:sz w:val="48"/>
      <w:szCs w:val="48"/>
      <w:lang w:val="nl-NL" w:eastAsia="nl-NL"/>
    </w:rPr>
  </w:style>
  <w:style w:type="paragraph" w:styleId="Heading3">
    <w:name w:val="heading 3"/>
    <w:basedOn w:val="Normal"/>
    <w:next w:val="Normal"/>
    <w:link w:val="Heading3Char"/>
    <w:uiPriority w:val="99"/>
    <w:qFormat/>
    <w:locked/>
    <w:rsid w:val="002101D4"/>
    <w:pPr>
      <w:keepNext/>
      <w:spacing w:before="240" w:after="60"/>
      <w:outlineLvl w:val="2"/>
    </w:pPr>
    <w:rPr>
      <w:rFonts w:ascii="Cambria" w:eastAsia="MS ????" w:hAnsi="Cambria"/>
      <w:b/>
      <w:bCs/>
      <w:sz w:val="26"/>
      <w:szCs w:val="26"/>
    </w:rPr>
  </w:style>
  <w:style w:type="paragraph" w:styleId="Heading4">
    <w:name w:val="heading 4"/>
    <w:basedOn w:val="Normal"/>
    <w:next w:val="Normal"/>
    <w:link w:val="Heading4Char"/>
    <w:uiPriority w:val="99"/>
    <w:qFormat/>
    <w:locked/>
    <w:rsid w:val="002101D4"/>
    <w:pPr>
      <w:keepNext/>
      <w:spacing w:before="240" w:after="60"/>
      <w:outlineLvl w:val="3"/>
    </w:pPr>
    <w:rPr>
      <w:rFonts w:ascii="Calibri" w:eastAsia="MS ??"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F42"/>
    <w:rPr>
      <w:rFonts w:ascii="Times New Roman" w:hAnsi="Times New Roman" w:cs="Times New Roman"/>
      <w:b/>
      <w:kern w:val="36"/>
      <w:sz w:val="48"/>
      <w:lang w:val="nl-NL" w:eastAsia="nl-NL"/>
    </w:rPr>
  </w:style>
  <w:style w:type="character" w:customStyle="1" w:styleId="Heading3Char">
    <w:name w:val="Heading 3 Char"/>
    <w:basedOn w:val="DefaultParagraphFont"/>
    <w:link w:val="Heading3"/>
    <w:uiPriority w:val="99"/>
    <w:semiHidden/>
    <w:locked/>
    <w:rsid w:val="002101D4"/>
    <w:rPr>
      <w:rFonts w:ascii="Cambria" w:eastAsia="MS ????" w:hAnsi="Cambria" w:cs="Times New Roman"/>
      <w:b/>
      <w:sz w:val="26"/>
      <w:lang w:val="en-GB" w:eastAsia="en-GB"/>
    </w:rPr>
  </w:style>
  <w:style w:type="character" w:customStyle="1" w:styleId="Heading4Char">
    <w:name w:val="Heading 4 Char"/>
    <w:basedOn w:val="DefaultParagraphFont"/>
    <w:link w:val="Heading4"/>
    <w:uiPriority w:val="99"/>
    <w:semiHidden/>
    <w:locked/>
    <w:rsid w:val="002101D4"/>
    <w:rPr>
      <w:rFonts w:ascii="Calibri" w:eastAsia="MS ??" w:hAnsi="Calibri" w:cs="Times New Roman"/>
      <w:b/>
      <w:sz w:val="28"/>
      <w:lang w:val="en-GB" w:eastAsia="en-GB"/>
    </w:rPr>
  </w:style>
  <w:style w:type="paragraph" w:customStyle="1" w:styleId="NoSpacing1">
    <w:name w:val="No Spacing1"/>
    <w:uiPriority w:val="99"/>
    <w:rsid w:val="004D230D"/>
    <w:rPr>
      <w:rFonts w:eastAsia="Times New Roman"/>
      <w:lang w:val="en-GB" w:eastAsia="en-US"/>
    </w:rPr>
  </w:style>
  <w:style w:type="character" w:styleId="EndnoteReference">
    <w:name w:val="endnote reference"/>
    <w:basedOn w:val="DefaultParagraphFont"/>
    <w:uiPriority w:val="99"/>
    <w:rsid w:val="005F792A"/>
    <w:rPr>
      <w:rFonts w:cs="Times New Roman"/>
      <w:vertAlign w:val="superscript"/>
    </w:rPr>
  </w:style>
  <w:style w:type="character" w:styleId="Hyperlink">
    <w:name w:val="Hyperlink"/>
    <w:basedOn w:val="DefaultParagraphFont"/>
    <w:uiPriority w:val="99"/>
    <w:rsid w:val="002F4609"/>
    <w:rPr>
      <w:rFonts w:cs="Times New Roman"/>
      <w:color w:val="0000FF"/>
      <w:u w:val="single"/>
    </w:rPr>
  </w:style>
  <w:style w:type="character" w:customStyle="1" w:styleId="highlight">
    <w:name w:val="highlight"/>
    <w:uiPriority w:val="99"/>
    <w:rsid w:val="00E23D41"/>
  </w:style>
  <w:style w:type="paragraph" w:styleId="BalloonText">
    <w:name w:val="Balloon Text"/>
    <w:basedOn w:val="Normal"/>
    <w:link w:val="BalloonTextChar"/>
    <w:uiPriority w:val="99"/>
    <w:semiHidden/>
    <w:rsid w:val="00641253"/>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41253"/>
    <w:rPr>
      <w:rFonts w:ascii="Tahoma" w:hAnsi="Tahoma" w:cs="Times New Roman"/>
      <w:sz w:val="16"/>
      <w:lang w:val="en-GB" w:eastAsia="en-GB"/>
    </w:rPr>
  </w:style>
  <w:style w:type="paragraph" w:styleId="ListParagraph">
    <w:name w:val="List Paragraph"/>
    <w:basedOn w:val="Normal"/>
    <w:uiPriority w:val="99"/>
    <w:qFormat/>
    <w:rsid w:val="00A915D6"/>
    <w:pPr>
      <w:ind w:left="720"/>
      <w:contextualSpacing/>
    </w:pPr>
  </w:style>
  <w:style w:type="table" w:styleId="TableGrid">
    <w:name w:val="Table Grid"/>
    <w:basedOn w:val="TableNormal"/>
    <w:uiPriority w:val="99"/>
    <w:rsid w:val="00CA2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5BBF"/>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9E5BBF"/>
    <w:rPr>
      <w:rFonts w:ascii="Times New Roman" w:hAnsi="Times New Roman" w:cs="Times New Roman"/>
      <w:sz w:val="24"/>
      <w:lang w:val="en-GB" w:eastAsia="en-GB"/>
    </w:rPr>
  </w:style>
  <w:style w:type="paragraph" w:styleId="Footer">
    <w:name w:val="footer"/>
    <w:basedOn w:val="Normal"/>
    <w:link w:val="FooterChar"/>
    <w:uiPriority w:val="99"/>
    <w:rsid w:val="009E5BBF"/>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9E5BBF"/>
    <w:rPr>
      <w:rFonts w:ascii="Times New Roman" w:hAnsi="Times New Roman" w:cs="Times New Roman"/>
      <w:sz w:val="24"/>
      <w:lang w:val="en-GB" w:eastAsia="en-GB"/>
    </w:rPr>
  </w:style>
  <w:style w:type="paragraph" w:customStyle="1" w:styleId="volissue">
    <w:name w:val="volissue"/>
    <w:basedOn w:val="Normal"/>
    <w:uiPriority w:val="99"/>
    <w:rsid w:val="00E75F42"/>
    <w:pPr>
      <w:spacing w:before="100" w:beforeAutospacing="1" w:after="100" w:afterAutospacing="1"/>
    </w:pPr>
    <w:rPr>
      <w:lang w:val="nl-NL" w:eastAsia="nl-NL"/>
    </w:rPr>
  </w:style>
  <w:style w:type="character" w:styleId="CommentReference">
    <w:name w:val="annotation reference"/>
    <w:basedOn w:val="DefaultParagraphFont"/>
    <w:uiPriority w:val="99"/>
    <w:semiHidden/>
    <w:rsid w:val="00667CF8"/>
    <w:rPr>
      <w:rFonts w:cs="Times New Roman"/>
      <w:sz w:val="16"/>
    </w:rPr>
  </w:style>
  <w:style w:type="paragraph" w:styleId="CommentText">
    <w:name w:val="annotation text"/>
    <w:basedOn w:val="Normal"/>
    <w:link w:val="CommentTextChar"/>
    <w:uiPriority w:val="99"/>
    <w:semiHidden/>
    <w:rsid w:val="00667CF8"/>
    <w:rPr>
      <w:rFonts w:eastAsia="Calibri"/>
      <w:sz w:val="20"/>
      <w:szCs w:val="20"/>
    </w:rPr>
  </w:style>
  <w:style w:type="character" w:customStyle="1" w:styleId="CommentTextChar">
    <w:name w:val="Comment Text Char"/>
    <w:basedOn w:val="DefaultParagraphFont"/>
    <w:link w:val="CommentText"/>
    <w:uiPriority w:val="99"/>
    <w:semiHidden/>
    <w:locked/>
    <w:rsid w:val="00667CF8"/>
    <w:rPr>
      <w:rFonts w:ascii="Times New Roman" w:hAnsi="Times New Roman" w:cs="Times New Roman"/>
      <w:sz w:val="20"/>
      <w:lang w:val="en-GB" w:eastAsia="en-GB"/>
    </w:rPr>
  </w:style>
  <w:style w:type="paragraph" w:styleId="CommentSubject">
    <w:name w:val="annotation subject"/>
    <w:basedOn w:val="CommentText"/>
    <w:next w:val="CommentText"/>
    <w:link w:val="CommentSubjectChar"/>
    <w:uiPriority w:val="99"/>
    <w:semiHidden/>
    <w:rsid w:val="00667CF8"/>
    <w:rPr>
      <w:b/>
      <w:bCs/>
    </w:rPr>
  </w:style>
  <w:style w:type="character" w:customStyle="1" w:styleId="CommentSubjectChar">
    <w:name w:val="Comment Subject Char"/>
    <w:basedOn w:val="CommentTextChar"/>
    <w:link w:val="CommentSubject"/>
    <w:uiPriority w:val="99"/>
    <w:semiHidden/>
    <w:locked/>
    <w:rsid w:val="00667CF8"/>
    <w:rPr>
      <w:rFonts w:ascii="Times New Roman" w:hAnsi="Times New Roman" w:cs="Times New Roman"/>
      <w:b/>
      <w:sz w:val="20"/>
      <w:lang w:val="en-GB" w:eastAsia="en-GB"/>
    </w:rPr>
  </w:style>
  <w:style w:type="character" w:customStyle="1" w:styleId="highlight2">
    <w:name w:val="highlight2"/>
    <w:uiPriority w:val="99"/>
    <w:rsid w:val="002F4A1C"/>
  </w:style>
  <w:style w:type="paragraph" w:styleId="NormalWeb">
    <w:name w:val="Normal (Web)"/>
    <w:basedOn w:val="Normal"/>
    <w:uiPriority w:val="99"/>
    <w:rsid w:val="00650375"/>
    <w:pPr>
      <w:spacing w:before="100" w:beforeAutospacing="1" w:after="100" w:afterAutospacing="1"/>
    </w:pPr>
    <w:rPr>
      <w:rFonts w:eastAsia="Calibri"/>
      <w:lang w:val="nl-NL" w:eastAsia="nl-NL"/>
    </w:rPr>
  </w:style>
  <w:style w:type="character" w:customStyle="1" w:styleId="ui-ncbitoggler-master-text">
    <w:name w:val="ui-ncbitoggler-master-text"/>
    <w:uiPriority w:val="99"/>
    <w:rsid w:val="002101D4"/>
  </w:style>
  <w:style w:type="character" w:styleId="FollowedHyperlink">
    <w:name w:val="FollowedHyperlink"/>
    <w:basedOn w:val="DefaultParagraphFont"/>
    <w:uiPriority w:val="99"/>
    <w:semiHidden/>
    <w:rsid w:val="00732702"/>
    <w:rPr>
      <w:rFonts w:cs="Times New Roman"/>
      <w:color w:val="800080"/>
      <w:u w:val="single"/>
    </w:rPr>
  </w:style>
  <w:style w:type="character" w:customStyle="1" w:styleId="page-introtype">
    <w:name w:val="page-intro__type"/>
    <w:uiPriority w:val="99"/>
    <w:rsid w:val="00687A5F"/>
  </w:style>
  <w:style w:type="paragraph" w:customStyle="1" w:styleId="page-introcontent">
    <w:name w:val="page-intro__content"/>
    <w:basedOn w:val="Normal"/>
    <w:uiPriority w:val="99"/>
    <w:rsid w:val="00687A5F"/>
    <w:pPr>
      <w:spacing w:before="100" w:beforeAutospacing="1" w:after="100" w:afterAutospacing="1"/>
    </w:pPr>
    <w:rPr>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D"/>
    <w:rPr>
      <w:rFonts w:ascii="Times New Roman" w:eastAsia="Times New Roman" w:hAnsi="Times New Roman"/>
      <w:sz w:val="24"/>
      <w:szCs w:val="24"/>
      <w:lang w:val="en-GB" w:eastAsia="en-GB"/>
    </w:rPr>
  </w:style>
  <w:style w:type="paragraph" w:styleId="Heading1">
    <w:name w:val="heading 1"/>
    <w:basedOn w:val="Normal"/>
    <w:link w:val="Heading1Char"/>
    <w:uiPriority w:val="99"/>
    <w:qFormat/>
    <w:rsid w:val="00E75F42"/>
    <w:pPr>
      <w:spacing w:before="100" w:beforeAutospacing="1" w:after="100" w:afterAutospacing="1"/>
      <w:outlineLvl w:val="0"/>
    </w:pPr>
    <w:rPr>
      <w:rFonts w:eastAsia="Calibri"/>
      <w:b/>
      <w:bCs/>
      <w:kern w:val="36"/>
      <w:sz w:val="48"/>
      <w:szCs w:val="48"/>
      <w:lang w:val="nl-NL" w:eastAsia="nl-NL"/>
    </w:rPr>
  </w:style>
  <w:style w:type="paragraph" w:styleId="Heading3">
    <w:name w:val="heading 3"/>
    <w:basedOn w:val="Normal"/>
    <w:next w:val="Normal"/>
    <w:link w:val="Heading3Char"/>
    <w:uiPriority w:val="99"/>
    <w:qFormat/>
    <w:locked/>
    <w:rsid w:val="002101D4"/>
    <w:pPr>
      <w:keepNext/>
      <w:spacing w:before="240" w:after="60"/>
      <w:outlineLvl w:val="2"/>
    </w:pPr>
    <w:rPr>
      <w:rFonts w:ascii="Cambria" w:eastAsia="MS ????" w:hAnsi="Cambria"/>
      <w:b/>
      <w:bCs/>
      <w:sz w:val="26"/>
      <w:szCs w:val="26"/>
    </w:rPr>
  </w:style>
  <w:style w:type="paragraph" w:styleId="Heading4">
    <w:name w:val="heading 4"/>
    <w:basedOn w:val="Normal"/>
    <w:next w:val="Normal"/>
    <w:link w:val="Heading4Char"/>
    <w:uiPriority w:val="99"/>
    <w:qFormat/>
    <w:locked/>
    <w:rsid w:val="002101D4"/>
    <w:pPr>
      <w:keepNext/>
      <w:spacing w:before="240" w:after="60"/>
      <w:outlineLvl w:val="3"/>
    </w:pPr>
    <w:rPr>
      <w:rFonts w:ascii="Calibri" w:eastAsia="MS ??"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F42"/>
    <w:rPr>
      <w:rFonts w:ascii="Times New Roman" w:hAnsi="Times New Roman" w:cs="Times New Roman"/>
      <w:b/>
      <w:kern w:val="36"/>
      <w:sz w:val="48"/>
      <w:lang w:val="nl-NL" w:eastAsia="nl-NL"/>
    </w:rPr>
  </w:style>
  <w:style w:type="character" w:customStyle="1" w:styleId="Heading3Char">
    <w:name w:val="Heading 3 Char"/>
    <w:basedOn w:val="DefaultParagraphFont"/>
    <w:link w:val="Heading3"/>
    <w:uiPriority w:val="99"/>
    <w:semiHidden/>
    <w:locked/>
    <w:rsid w:val="002101D4"/>
    <w:rPr>
      <w:rFonts w:ascii="Cambria" w:eastAsia="MS ????" w:hAnsi="Cambria" w:cs="Times New Roman"/>
      <w:b/>
      <w:sz w:val="26"/>
      <w:lang w:val="en-GB" w:eastAsia="en-GB"/>
    </w:rPr>
  </w:style>
  <w:style w:type="character" w:customStyle="1" w:styleId="Heading4Char">
    <w:name w:val="Heading 4 Char"/>
    <w:basedOn w:val="DefaultParagraphFont"/>
    <w:link w:val="Heading4"/>
    <w:uiPriority w:val="99"/>
    <w:semiHidden/>
    <w:locked/>
    <w:rsid w:val="002101D4"/>
    <w:rPr>
      <w:rFonts w:ascii="Calibri" w:eastAsia="MS ??" w:hAnsi="Calibri" w:cs="Times New Roman"/>
      <w:b/>
      <w:sz w:val="28"/>
      <w:lang w:val="en-GB" w:eastAsia="en-GB"/>
    </w:rPr>
  </w:style>
  <w:style w:type="paragraph" w:customStyle="1" w:styleId="NoSpacing1">
    <w:name w:val="No Spacing1"/>
    <w:uiPriority w:val="99"/>
    <w:rsid w:val="004D230D"/>
    <w:rPr>
      <w:rFonts w:eastAsia="Times New Roman"/>
      <w:lang w:val="en-GB" w:eastAsia="en-US"/>
    </w:rPr>
  </w:style>
  <w:style w:type="character" w:styleId="EndnoteReference">
    <w:name w:val="endnote reference"/>
    <w:basedOn w:val="DefaultParagraphFont"/>
    <w:uiPriority w:val="99"/>
    <w:rsid w:val="005F792A"/>
    <w:rPr>
      <w:rFonts w:cs="Times New Roman"/>
      <w:vertAlign w:val="superscript"/>
    </w:rPr>
  </w:style>
  <w:style w:type="character" w:styleId="Hyperlink">
    <w:name w:val="Hyperlink"/>
    <w:basedOn w:val="DefaultParagraphFont"/>
    <w:uiPriority w:val="99"/>
    <w:rsid w:val="002F4609"/>
    <w:rPr>
      <w:rFonts w:cs="Times New Roman"/>
      <w:color w:val="0000FF"/>
      <w:u w:val="single"/>
    </w:rPr>
  </w:style>
  <w:style w:type="character" w:customStyle="1" w:styleId="highlight">
    <w:name w:val="highlight"/>
    <w:uiPriority w:val="99"/>
    <w:rsid w:val="00E23D41"/>
  </w:style>
  <w:style w:type="paragraph" w:styleId="BalloonText">
    <w:name w:val="Balloon Text"/>
    <w:basedOn w:val="Normal"/>
    <w:link w:val="BalloonTextChar"/>
    <w:uiPriority w:val="99"/>
    <w:semiHidden/>
    <w:rsid w:val="00641253"/>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41253"/>
    <w:rPr>
      <w:rFonts w:ascii="Tahoma" w:hAnsi="Tahoma" w:cs="Times New Roman"/>
      <w:sz w:val="16"/>
      <w:lang w:val="en-GB" w:eastAsia="en-GB"/>
    </w:rPr>
  </w:style>
  <w:style w:type="paragraph" w:styleId="ListParagraph">
    <w:name w:val="List Paragraph"/>
    <w:basedOn w:val="Normal"/>
    <w:uiPriority w:val="99"/>
    <w:qFormat/>
    <w:rsid w:val="00A915D6"/>
    <w:pPr>
      <w:ind w:left="720"/>
      <w:contextualSpacing/>
    </w:pPr>
  </w:style>
  <w:style w:type="table" w:styleId="TableGrid">
    <w:name w:val="Table Grid"/>
    <w:basedOn w:val="TableNormal"/>
    <w:uiPriority w:val="99"/>
    <w:rsid w:val="00CA2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5BBF"/>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9E5BBF"/>
    <w:rPr>
      <w:rFonts w:ascii="Times New Roman" w:hAnsi="Times New Roman" w:cs="Times New Roman"/>
      <w:sz w:val="24"/>
      <w:lang w:val="en-GB" w:eastAsia="en-GB"/>
    </w:rPr>
  </w:style>
  <w:style w:type="paragraph" w:styleId="Footer">
    <w:name w:val="footer"/>
    <w:basedOn w:val="Normal"/>
    <w:link w:val="FooterChar"/>
    <w:uiPriority w:val="99"/>
    <w:rsid w:val="009E5BBF"/>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9E5BBF"/>
    <w:rPr>
      <w:rFonts w:ascii="Times New Roman" w:hAnsi="Times New Roman" w:cs="Times New Roman"/>
      <w:sz w:val="24"/>
      <w:lang w:val="en-GB" w:eastAsia="en-GB"/>
    </w:rPr>
  </w:style>
  <w:style w:type="paragraph" w:customStyle="1" w:styleId="volissue">
    <w:name w:val="volissue"/>
    <w:basedOn w:val="Normal"/>
    <w:uiPriority w:val="99"/>
    <w:rsid w:val="00E75F42"/>
    <w:pPr>
      <w:spacing w:before="100" w:beforeAutospacing="1" w:after="100" w:afterAutospacing="1"/>
    </w:pPr>
    <w:rPr>
      <w:lang w:val="nl-NL" w:eastAsia="nl-NL"/>
    </w:rPr>
  </w:style>
  <w:style w:type="character" w:styleId="CommentReference">
    <w:name w:val="annotation reference"/>
    <w:basedOn w:val="DefaultParagraphFont"/>
    <w:uiPriority w:val="99"/>
    <w:semiHidden/>
    <w:rsid w:val="00667CF8"/>
    <w:rPr>
      <w:rFonts w:cs="Times New Roman"/>
      <w:sz w:val="16"/>
    </w:rPr>
  </w:style>
  <w:style w:type="paragraph" w:styleId="CommentText">
    <w:name w:val="annotation text"/>
    <w:basedOn w:val="Normal"/>
    <w:link w:val="CommentTextChar"/>
    <w:uiPriority w:val="99"/>
    <w:semiHidden/>
    <w:rsid w:val="00667CF8"/>
    <w:rPr>
      <w:rFonts w:eastAsia="Calibri"/>
      <w:sz w:val="20"/>
      <w:szCs w:val="20"/>
    </w:rPr>
  </w:style>
  <w:style w:type="character" w:customStyle="1" w:styleId="CommentTextChar">
    <w:name w:val="Comment Text Char"/>
    <w:basedOn w:val="DefaultParagraphFont"/>
    <w:link w:val="CommentText"/>
    <w:uiPriority w:val="99"/>
    <w:semiHidden/>
    <w:locked/>
    <w:rsid w:val="00667CF8"/>
    <w:rPr>
      <w:rFonts w:ascii="Times New Roman" w:hAnsi="Times New Roman" w:cs="Times New Roman"/>
      <w:sz w:val="20"/>
      <w:lang w:val="en-GB" w:eastAsia="en-GB"/>
    </w:rPr>
  </w:style>
  <w:style w:type="paragraph" w:styleId="CommentSubject">
    <w:name w:val="annotation subject"/>
    <w:basedOn w:val="CommentText"/>
    <w:next w:val="CommentText"/>
    <w:link w:val="CommentSubjectChar"/>
    <w:uiPriority w:val="99"/>
    <w:semiHidden/>
    <w:rsid w:val="00667CF8"/>
    <w:rPr>
      <w:b/>
      <w:bCs/>
    </w:rPr>
  </w:style>
  <w:style w:type="character" w:customStyle="1" w:styleId="CommentSubjectChar">
    <w:name w:val="Comment Subject Char"/>
    <w:basedOn w:val="CommentTextChar"/>
    <w:link w:val="CommentSubject"/>
    <w:uiPriority w:val="99"/>
    <w:semiHidden/>
    <w:locked/>
    <w:rsid w:val="00667CF8"/>
    <w:rPr>
      <w:rFonts w:ascii="Times New Roman" w:hAnsi="Times New Roman" w:cs="Times New Roman"/>
      <w:b/>
      <w:sz w:val="20"/>
      <w:lang w:val="en-GB" w:eastAsia="en-GB"/>
    </w:rPr>
  </w:style>
  <w:style w:type="character" w:customStyle="1" w:styleId="highlight2">
    <w:name w:val="highlight2"/>
    <w:uiPriority w:val="99"/>
    <w:rsid w:val="002F4A1C"/>
  </w:style>
  <w:style w:type="paragraph" w:styleId="NormalWeb">
    <w:name w:val="Normal (Web)"/>
    <w:basedOn w:val="Normal"/>
    <w:uiPriority w:val="99"/>
    <w:rsid w:val="00650375"/>
    <w:pPr>
      <w:spacing w:before="100" w:beforeAutospacing="1" w:after="100" w:afterAutospacing="1"/>
    </w:pPr>
    <w:rPr>
      <w:rFonts w:eastAsia="Calibri"/>
      <w:lang w:val="nl-NL" w:eastAsia="nl-NL"/>
    </w:rPr>
  </w:style>
  <w:style w:type="character" w:customStyle="1" w:styleId="ui-ncbitoggler-master-text">
    <w:name w:val="ui-ncbitoggler-master-text"/>
    <w:uiPriority w:val="99"/>
    <w:rsid w:val="002101D4"/>
  </w:style>
  <w:style w:type="character" w:styleId="FollowedHyperlink">
    <w:name w:val="FollowedHyperlink"/>
    <w:basedOn w:val="DefaultParagraphFont"/>
    <w:uiPriority w:val="99"/>
    <w:semiHidden/>
    <w:rsid w:val="00732702"/>
    <w:rPr>
      <w:rFonts w:cs="Times New Roman"/>
      <w:color w:val="800080"/>
      <w:u w:val="single"/>
    </w:rPr>
  </w:style>
  <w:style w:type="character" w:customStyle="1" w:styleId="page-introtype">
    <w:name w:val="page-intro__type"/>
    <w:uiPriority w:val="99"/>
    <w:rsid w:val="00687A5F"/>
  </w:style>
  <w:style w:type="paragraph" w:customStyle="1" w:styleId="page-introcontent">
    <w:name w:val="page-intro__content"/>
    <w:basedOn w:val="Normal"/>
    <w:uiPriority w:val="99"/>
    <w:rsid w:val="00687A5F"/>
    <w:pPr>
      <w:spacing w:before="100" w:beforeAutospacing="1" w:after="100" w:afterAutospacing="1"/>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1284">
      <w:marLeft w:val="0"/>
      <w:marRight w:val="0"/>
      <w:marTop w:val="0"/>
      <w:marBottom w:val="0"/>
      <w:divBdr>
        <w:top w:val="none" w:sz="0" w:space="0" w:color="auto"/>
        <w:left w:val="none" w:sz="0" w:space="0" w:color="auto"/>
        <w:bottom w:val="none" w:sz="0" w:space="0" w:color="auto"/>
        <w:right w:val="none" w:sz="0" w:space="0" w:color="auto"/>
      </w:divBdr>
    </w:div>
    <w:div w:id="713891285">
      <w:marLeft w:val="0"/>
      <w:marRight w:val="0"/>
      <w:marTop w:val="0"/>
      <w:marBottom w:val="0"/>
      <w:divBdr>
        <w:top w:val="none" w:sz="0" w:space="0" w:color="auto"/>
        <w:left w:val="none" w:sz="0" w:space="0" w:color="auto"/>
        <w:bottom w:val="none" w:sz="0" w:space="0" w:color="auto"/>
        <w:right w:val="none" w:sz="0" w:space="0" w:color="auto"/>
      </w:divBdr>
    </w:div>
    <w:div w:id="713891287">
      <w:marLeft w:val="0"/>
      <w:marRight w:val="0"/>
      <w:marTop w:val="0"/>
      <w:marBottom w:val="0"/>
      <w:divBdr>
        <w:top w:val="none" w:sz="0" w:space="0" w:color="auto"/>
        <w:left w:val="none" w:sz="0" w:space="0" w:color="auto"/>
        <w:bottom w:val="none" w:sz="0" w:space="0" w:color="auto"/>
        <w:right w:val="none" w:sz="0" w:space="0" w:color="auto"/>
      </w:divBdr>
    </w:div>
    <w:div w:id="713891290">
      <w:marLeft w:val="0"/>
      <w:marRight w:val="0"/>
      <w:marTop w:val="0"/>
      <w:marBottom w:val="0"/>
      <w:divBdr>
        <w:top w:val="none" w:sz="0" w:space="0" w:color="auto"/>
        <w:left w:val="none" w:sz="0" w:space="0" w:color="auto"/>
        <w:bottom w:val="none" w:sz="0" w:space="0" w:color="auto"/>
        <w:right w:val="none" w:sz="0" w:space="0" w:color="auto"/>
      </w:divBdr>
    </w:div>
    <w:div w:id="713891295">
      <w:marLeft w:val="0"/>
      <w:marRight w:val="0"/>
      <w:marTop w:val="0"/>
      <w:marBottom w:val="0"/>
      <w:divBdr>
        <w:top w:val="none" w:sz="0" w:space="0" w:color="auto"/>
        <w:left w:val="none" w:sz="0" w:space="0" w:color="auto"/>
        <w:bottom w:val="none" w:sz="0" w:space="0" w:color="auto"/>
        <w:right w:val="none" w:sz="0" w:space="0" w:color="auto"/>
      </w:divBdr>
    </w:div>
    <w:div w:id="713891299">
      <w:marLeft w:val="0"/>
      <w:marRight w:val="0"/>
      <w:marTop w:val="0"/>
      <w:marBottom w:val="0"/>
      <w:divBdr>
        <w:top w:val="none" w:sz="0" w:space="0" w:color="auto"/>
        <w:left w:val="none" w:sz="0" w:space="0" w:color="auto"/>
        <w:bottom w:val="none" w:sz="0" w:space="0" w:color="auto"/>
        <w:right w:val="none" w:sz="0" w:space="0" w:color="auto"/>
      </w:divBdr>
      <w:divsChild>
        <w:div w:id="713891327">
          <w:marLeft w:val="0"/>
          <w:marRight w:val="1"/>
          <w:marTop w:val="0"/>
          <w:marBottom w:val="0"/>
          <w:divBdr>
            <w:top w:val="none" w:sz="0" w:space="0" w:color="auto"/>
            <w:left w:val="none" w:sz="0" w:space="0" w:color="auto"/>
            <w:bottom w:val="none" w:sz="0" w:space="0" w:color="auto"/>
            <w:right w:val="none" w:sz="0" w:space="0" w:color="auto"/>
          </w:divBdr>
          <w:divsChild>
            <w:div w:id="713891341">
              <w:marLeft w:val="0"/>
              <w:marRight w:val="0"/>
              <w:marTop w:val="0"/>
              <w:marBottom w:val="0"/>
              <w:divBdr>
                <w:top w:val="none" w:sz="0" w:space="0" w:color="auto"/>
                <w:left w:val="none" w:sz="0" w:space="0" w:color="auto"/>
                <w:bottom w:val="none" w:sz="0" w:space="0" w:color="auto"/>
                <w:right w:val="none" w:sz="0" w:space="0" w:color="auto"/>
              </w:divBdr>
              <w:divsChild>
                <w:div w:id="713891310">
                  <w:marLeft w:val="0"/>
                  <w:marRight w:val="1"/>
                  <w:marTop w:val="0"/>
                  <w:marBottom w:val="0"/>
                  <w:divBdr>
                    <w:top w:val="none" w:sz="0" w:space="0" w:color="auto"/>
                    <w:left w:val="none" w:sz="0" w:space="0" w:color="auto"/>
                    <w:bottom w:val="none" w:sz="0" w:space="0" w:color="auto"/>
                    <w:right w:val="none" w:sz="0" w:space="0" w:color="auto"/>
                  </w:divBdr>
                  <w:divsChild>
                    <w:div w:id="713891338">
                      <w:marLeft w:val="0"/>
                      <w:marRight w:val="0"/>
                      <w:marTop w:val="0"/>
                      <w:marBottom w:val="0"/>
                      <w:divBdr>
                        <w:top w:val="none" w:sz="0" w:space="0" w:color="auto"/>
                        <w:left w:val="none" w:sz="0" w:space="0" w:color="auto"/>
                        <w:bottom w:val="none" w:sz="0" w:space="0" w:color="auto"/>
                        <w:right w:val="none" w:sz="0" w:space="0" w:color="auto"/>
                      </w:divBdr>
                      <w:divsChild>
                        <w:div w:id="713891312">
                          <w:marLeft w:val="0"/>
                          <w:marRight w:val="0"/>
                          <w:marTop w:val="0"/>
                          <w:marBottom w:val="0"/>
                          <w:divBdr>
                            <w:top w:val="none" w:sz="0" w:space="0" w:color="auto"/>
                            <w:left w:val="none" w:sz="0" w:space="0" w:color="auto"/>
                            <w:bottom w:val="none" w:sz="0" w:space="0" w:color="auto"/>
                            <w:right w:val="none" w:sz="0" w:space="0" w:color="auto"/>
                          </w:divBdr>
                          <w:divsChild>
                            <w:div w:id="713891319">
                              <w:marLeft w:val="0"/>
                              <w:marRight w:val="0"/>
                              <w:marTop w:val="120"/>
                              <w:marBottom w:val="360"/>
                              <w:divBdr>
                                <w:top w:val="none" w:sz="0" w:space="0" w:color="auto"/>
                                <w:left w:val="none" w:sz="0" w:space="0" w:color="auto"/>
                                <w:bottom w:val="none" w:sz="0" w:space="0" w:color="auto"/>
                                <w:right w:val="none" w:sz="0" w:space="0" w:color="auto"/>
                              </w:divBdr>
                              <w:divsChild>
                                <w:div w:id="713891292">
                                  <w:marLeft w:val="0"/>
                                  <w:marRight w:val="0"/>
                                  <w:marTop w:val="0"/>
                                  <w:marBottom w:val="0"/>
                                  <w:divBdr>
                                    <w:top w:val="none" w:sz="0" w:space="0" w:color="auto"/>
                                    <w:left w:val="none" w:sz="0" w:space="0" w:color="auto"/>
                                    <w:bottom w:val="none" w:sz="0" w:space="0" w:color="auto"/>
                                    <w:right w:val="none" w:sz="0" w:space="0" w:color="auto"/>
                                  </w:divBdr>
                                </w:div>
                                <w:div w:id="7138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300">
      <w:marLeft w:val="0"/>
      <w:marRight w:val="0"/>
      <w:marTop w:val="0"/>
      <w:marBottom w:val="0"/>
      <w:divBdr>
        <w:top w:val="none" w:sz="0" w:space="0" w:color="auto"/>
        <w:left w:val="none" w:sz="0" w:space="0" w:color="auto"/>
        <w:bottom w:val="none" w:sz="0" w:space="0" w:color="auto"/>
        <w:right w:val="none" w:sz="0" w:space="0" w:color="auto"/>
      </w:divBdr>
    </w:div>
    <w:div w:id="713891303">
      <w:marLeft w:val="0"/>
      <w:marRight w:val="0"/>
      <w:marTop w:val="0"/>
      <w:marBottom w:val="0"/>
      <w:divBdr>
        <w:top w:val="none" w:sz="0" w:space="0" w:color="auto"/>
        <w:left w:val="none" w:sz="0" w:space="0" w:color="auto"/>
        <w:bottom w:val="none" w:sz="0" w:space="0" w:color="auto"/>
        <w:right w:val="none" w:sz="0" w:space="0" w:color="auto"/>
      </w:divBdr>
    </w:div>
    <w:div w:id="713891307">
      <w:marLeft w:val="0"/>
      <w:marRight w:val="0"/>
      <w:marTop w:val="0"/>
      <w:marBottom w:val="0"/>
      <w:divBdr>
        <w:top w:val="none" w:sz="0" w:space="0" w:color="auto"/>
        <w:left w:val="none" w:sz="0" w:space="0" w:color="auto"/>
        <w:bottom w:val="none" w:sz="0" w:space="0" w:color="auto"/>
        <w:right w:val="none" w:sz="0" w:space="0" w:color="auto"/>
      </w:divBdr>
    </w:div>
    <w:div w:id="713891308">
      <w:marLeft w:val="0"/>
      <w:marRight w:val="0"/>
      <w:marTop w:val="0"/>
      <w:marBottom w:val="0"/>
      <w:divBdr>
        <w:top w:val="none" w:sz="0" w:space="0" w:color="auto"/>
        <w:left w:val="none" w:sz="0" w:space="0" w:color="auto"/>
        <w:bottom w:val="none" w:sz="0" w:space="0" w:color="auto"/>
        <w:right w:val="none" w:sz="0" w:space="0" w:color="auto"/>
      </w:divBdr>
    </w:div>
    <w:div w:id="713891309">
      <w:marLeft w:val="0"/>
      <w:marRight w:val="0"/>
      <w:marTop w:val="0"/>
      <w:marBottom w:val="0"/>
      <w:divBdr>
        <w:top w:val="none" w:sz="0" w:space="0" w:color="auto"/>
        <w:left w:val="none" w:sz="0" w:space="0" w:color="auto"/>
        <w:bottom w:val="none" w:sz="0" w:space="0" w:color="auto"/>
        <w:right w:val="none" w:sz="0" w:space="0" w:color="auto"/>
      </w:divBdr>
      <w:divsChild>
        <w:div w:id="713891294">
          <w:marLeft w:val="0"/>
          <w:marRight w:val="1"/>
          <w:marTop w:val="0"/>
          <w:marBottom w:val="0"/>
          <w:divBdr>
            <w:top w:val="none" w:sz="0" w:space="0" w:color="auto"/>
            <w:left w:val="none" w:sz="0" w:space="0" w:color="auto"/>
            <w:bottom w:val="none" w:sz="0" w:space="0" w:color="auto"/>
            <w:right w:val="none" w:sz="0" w:space="0" w:color="auto"/>
          </w:divBdr>
          <w:divsChild>
            <w:div w:id="713891313">
              <w:marLeft w:val="0"/>
              <w:marRight w:val="0"/>
              <w:marTop w:val="0"/>
              <w:marBottom w:val="0"/>
              <w:divBdr>
                <w:top w:val="none" w:sz="0" w:space="0" w:color="auto"/>
                <w:left w:val="none" w:sz="0" w:space="0" w:color="auto"/>
                <w:bottom w:val="none" w:sz="0" w:space="0" w:color="auto"/>
                <w:right w:val="none" w:sz="0" w:space="0" w:color="auto"/>
              </w:divBdr>
              <w:divsChild>
                <w:div w:id="713891343">
                  <w:marLeft w:val="0"/>
                  <w:marRight w:val="1"/>
                  <w:marTop w:val="0"/>
                  <w:marBottom w:val="0"/>
                  <w:divBdr>
                    <w:top w:val="none" w:sz="0" w:space="0" w:color="auto"/>
                    <w:left w:val="none" w:sz="0" w:space="0" w:color="auto"/>
                    <w:bottom w:val="none" w:sz="0" w:space="0" w:color="auto"/>
                    <w:right w:val="none" w:sz="0" w:space="0" w:color="auto"/>
                  </w:divBdr>
                  <w:divsChild>
                    <w:div w:id="713891306">
                      <w:marLeft w:val="0"/>
                      <w:marRight w:val="0"/>
                      <w:marTop w:val="0"/>
                      <w:marBottom w:val="0"/>
                      <w:divBdr>
                        <w:top w:val="none" w:sz="0" w:space="0" w:color="auto"/>
                        <w:left w:val="none" w:sz="0" w:space="0" w:color="auto"/>
                        <w:bottom w:val="none" w:sz="0" w:space="0" w:color="auto"/>
                        <w:right w:val="none" w:sz="0" w:space="0" w:color="auto"/>
                      </w:divBdr>
                      <w:divsChild>
                        <w:div w:id="713891314">
                          <w:marLeft w:val="0"/>
                          <w:marRight w:val="0"/>
                          <w:marTop w:val="0"/>
                          <w:marBottom w:val="0"/>
                          <w:divBdr>
                            <w:top w:val="none" w:sz="0" w:space="0" w:color="auto"/>
                            <w:left w:val="none" w:sz="0" w:space="0" w:color="auto"/>
                            <w:bottom w:val="none" w:sz="0" w:space="0" w:color="auto"/>
                            <w:right w:val="none" w:sz="0" w:space="0" w:color="auto"/>
                          </w:divBdr>
                          <w:divsChild>
                            <w:div w:id="713891311">
                              <w:marLeft w:val="0"/>
                              <w:marRight w:val="0"/>
                              <w:marTop w:val="120"/>
                              <w:marBottom w:val="360"/>
                              <w:divBdr>
                                <w:top w:val="none" w:sz="0" w:space="0" w:color="auto"/>
                                <w:left w:val="none" w:sz="0" w:space="0" w:color="auto"/>
                                <w:bottom w:val="none" w:sz="0" w:space="0" w:color="auto"/>
                                <w:right w:val="none" w:sz="0" w:space="0" w:color="auto"/>
                              </w:divBdr>
                              <w:divsChild>
                                <w:div w:id="713891291">
                                  <w:marLeft w:val="0"/>
                                  <w:marRight w:val="0"/>
                                  <w:marTop w:val="0"/>
                                  <w:marBottom w:val="0"/>
                                  <w:divBdr>
                                    <w:top w:val="none" w:sz="0" w:space="0" w:color="auto"/>
                                    <w:left w:val="none" w:sz="0" w:space="0" w:color="auto"/>
                                    <w:bottom w:val="none" w:sz="0" w:space="0" w:color="auto"/>
                                    <w:right w:val="none" w:sz="0" w:space="0" w:color="auto"/>
                                  </w:divBdr>
                                </w:div>
                                <w:div w:id="7138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315">
      <w:marLeft w:val="0"/>
      <w:marRight w:val="0"/>
      <w:marTop w:val="0"/>
      <w:marBottom w:val="0"/>
      <w:divBdr>
        <w:top w:val="none" w:sz="0" w:space="0" w:color="auto"/>
        <w:left w:val="none" w:sz="0" w:space="0" w:color="auto"/>
        <w:bottom w:val="none" w:sz="0" w:space="0" w:color="auto"/>
        <w:right w:val="none" w:sz="0" w:space="0" w:color="auto"/>
      </w:divBdr>
    </w:div>
    <w:div w:id="713891317">
      <w:marLeft w:val="0"/>
      <w:marRight w:val="0"/>
      <w:marTop w:val="0"/>
      <w:marBottom w:val="0"/>
      <w:divBdr>
        <w:top w:val="none" w:sz="0" w:space="0" w:color="auto"/>
        <w:left w:val="none" w:sz="0" w:space="0" w:color="auto"/>
        <w:bottom w:val="none" w:sz="0" w:space="0" w:color="auto"/>
        <w:right w:val="none" w:sz="0" w:space="0" w:color="auto"/>
      </w:divBdr>
    </w:div>
    <w:div w:id="713891318">
      <w:marLeft w:val="0"/>
      <w:marRight w:val="0"/>
      <w:marTop w:val="0"/>
      <w:marBottom w:val="0"/>
      <w:divBdr>
        <w:top w:val="none" w:sz="0" w:space="0" w:color="auto"/>
        <w:left w:val="none" w:sz="0" w:space="0" w:color="auto"/>
        <w:bottom w:val="none" w:sz="0" w:space="0" w:color="auto"/>
        <w:right w:val="none" w:sz="0" w:space="0" w:color="auto"/>
      </w:divBdr>
    </w:div>
    <w:div w:id="713891321">
      <w:marLeft w:val="0"/>
      <w:marRight w:val="0"/>
      <w:marTop w:val="0"/>
      <w:marBottom w:val="0"/>
      <w:divBdr>
        <w:top w:val="none" w:sz="0" w:space="0" w:color="auto"/>
        <w:left w:val="none" w:sz="0" w:space="0" w:color="auto"/>
        <w:bottom w:val="none" w:sz="0" w:space="0" w:color="auto"/>
        <w:right w:val="none" w:sz="0" w:space="0" w:color="auto"/>
      </w:divBdr>
    </w:div>
    <w:div w:id="713891322">
      <w:marLeft w:val="0"/>
      <w:marRight w:val="0"/>
      <w:marTop w:val="0"/>
      <w:marBottom w:val="0"/>
      <w:divBdr>
        <w:top w:val="none" w:sz="0" w:space="0" w:color="auto"/>
        <w:left w:val="none" w:sz="0" w:space="0" w:color="auto"/>
        <w:bottom w:val="none" w:sz="0" w:space="0" w:color="auto"/>
        <w:right w:val="none" w:sz="0" w:space="0" w:color="auto"/>
      </w:divBdr>
    </w:div>
    <w:div w:id="713891323">
      <w:marLeft w:val="0"/>
      <w:marRight w:val="0"/>
      <w:marTop w:val="0"/>
      <w:marBottom w:val="0"/>
      <w:divBdr>
        <w:top w:val="none" w:sz="0" w:space="0" w:color="auto"/>
        <w:left w:val="none" w:sz="0" w:space="0" w:color="auto"/>
        <w:bottom w:val="none" w:sz="0" w:space="0" w:color="auto"/>
        <w:right w:val="none" w:sz="0" w:space="0" w:color="auto"/>
      </w:divBdr>
    </w:div>
    <w:div w:id="713891324">
      <w:marLeft w:val="0"/>
      <w:marRight w:val="0"/>
      <w:marTop w:val="0"/>
      <w:marBottom w:val="0"/>
      <w:divBdr>
        <w:top w:val="none" w:sz="0" w:space="0" w:color="auto"/>
        <w:left w:val="none" w:sz="0" w:space="0" w:color="auto"/>
        <w:bottom w:val="none" w:sz="0" w:space="0" w:color="auto"/>
        <w:right w:val="none" w:sz="0" w:space="0" w:color="auto"/>
      </w:divBdr>
    </w:div>
    <w:div w:id="713891325">
      <w:marLeft w:val="0"/>
      <w:marRight w:val="0"/>
      <w:marTop w:val="0"/>
      <w:marBottom w:val="0"/>
      <w:divBdr>
        <w:top w:val="none" w:sz="0" w:space="0" w:color="auto"/>
        <w:left w:val="none" w:sz="0" w:space="0" w:color="auto"/>
        <w:bottom w:val="none" w:sz="0" w:space="0" w:color="auto"/>
        <w:right w:val="none" w:sz="0" w:space="0" w:color="auto"/>
      </w:divBdr>
      <w:divsChild>
        <w:div w:id="713891288">
          <w:marLeft w:val="0"/>
          <w:marRight w:val="1"/>
          <w:marTop w:val="0"/>
          <w:marBottom w:val="0"/>
          <w:divBdr>
            <w:top w:val="none" w:sz="0" w:space="0" w:color="auto"/>
            <w:left w:val="none" w:sz="0" w:space="0" w:color="auto"/>
            <w:bottom w:val="none" w:sz="0" w:space="0" w:color="auto"/>
            <w:right w:val="none" w:sz="0" w:space="0" w:color="auto"/>
          </w:divBdr>
          <w:divsChild>
            <w:div w:id="713891334">
              <w:marLeft w:val="0"/>
              <w:marRight w:val="0"/>
              <w:marTop w:val="0"/>
              <w:marBottom w:val="0"/>
              <w:divBdr>
                <w:top w:val="none" w:sz="0" w:space="0" w:color="auto"/>
                <w:left w:val="none" w:sz="0" w:space="0" w:color="auto"/>
                <w:bottom w:val="none" w:sz="0" w:space="0" w:color="auto"/>
                <w:right w:val="none" w:sz="0" w:space="0" w:color="auto"/>
              </w:divBdr>
              <w:divsChild>
                <w:div w:id="713891302">
                  <w:marLeft w:val="0"/>
                  <w:marRight w:val="1"/>
                  <w:marTop w:val="0"/>
                  <w:marBottom w:val="0"/>
                  <w:divBdr>
                    <w:top w:val="none" w:sz="0" w:space="0" w:color="auto"/>
                    <w:left w:val="none" w:sz="0" w:space="0" w:color="auto"/>
                    <w:bottom w:val="none" w:sz="0" w:space="0" w:color="auto"/>
                    <w:right w:val="none" w:sz="0" w:space="0" w:color="auto"/>
                  </w:divBdr>
                  <w:divsChild>
                    <w:div w:id="713891304">
                      <w:marLeft w:val="0"/>
                      <w:marRight w:val="0"/>
                      <w:marTop w:val="0"/>
                      <w:marBottom w:val="0"/>
                      <w:divBdr>
                        <w:top w:val="none" w:sz="0" w:space="0" w:color="auto"/>
                        <w:left w:val="none" w:sz="0" w:space="0" w:color="auto"/>
                        <w:bottom w:val="none" w:sz="0" w:space="0" w:color="auto"/>
                        <w:right w:val="none" w:sz="0" w:space="0" w:color="auto"/>
                      </w:divBdr>
                      <w:divsChild>
                        <w:div w:id="713891332">
                          <w:marLeft w:val="0"/>
                          <w:marRight w:val="0"/>
                          <w:marTop w:val="0"/>
                          <w:marBottom w:val="0"/>
                          <w:divBdr>
                            <w:top w:val="none" w:sz="0" w:space="0" w:color="auto"/>
                            <w:left w:val="none" w:sz="0" w:space="0" w:color="auto"/>
                            <w:bottom w:val="none" w:sz="0" w:space="0" w:color="auto"/>
                            <w:right w:val="none" w:sz="0" w:space="0" w:color="auto"/>
                          </w:divBdr>
                          <w:divsChild>
                            <w:div w:id="713891297">
                              <w:marLeft w:val="0"/>
                              <w:marRight w:val="0"/>
                              <w:marTop w:val="120"/>
                              <w:marBottom w:val="360"/>
                              <w:divBdr>
                                <w:top w:val="none" w:sz="0" w:space="0" w:color="auto"/>
                                <w:left w:val="none" w:sz="0" w:space="0" w:color="auto"/>
                                <w:bottom w:val="none" w:sz="0" w:space="0" w:color="auto"/>
                                <w:right w:val="none" w:sz="0" w:space="0" w:color="auto"/>
                              </w:divBdr>
                              <w:divsChild>
                                <w:div w:id="713891320">
                                  <w:marLeft w:val="0"/>
                                  <w:marRight w:val="0"/>
                                  <w:marTop w:val="0"/>
                                  <w:marBottom w:val="0"/>
                                  <w:divBdr>
                                    <w:top w:val="none" w:sz="0" w:space="0" w:color="auto"/>
                                    <w:left w:val="none" w:sz="0" w:space="0" w:color="auto"/>
                                    <w:bottom w:val="none" w:sz="0" w:space="0" w:color="auto"/>
                                    <w:right w:val="none" w:sz="0" w:space="0" w:color="auto"/>
                                  </w:divBdr>
                                </w:div>
                                <w:div w:id="7138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326">
      <w:marLeft w:val="0"/>
      <w:marRight w:val="0"/>
      <w:marTop w:val="0"/>
      <w:marBottom w:val="0"/>
      <w:divBdr>
        <w:top w:val="none" w:sz="0" w:space="0" w:color="auto"/>
        <w:left w:val="none" w:sz="0" w:space="0" w:color="auto"/>
        <w:bottom w:val="none" w:sz="0" w:space="0" w:color="auto"/>
        <w:right w:val="none" w:sz="0" w:space="0" w:color="auto"/>
      </w:divBdr>
    </w:div>
    <w:div w:id="713891328">
      <w:marLeft w:val="0"/>
      <w:marRight w:val="0"/>
      <w:marTop w:val="0"/>
      <w:marBottom w:val="0"/>
      <w:divBdr>
        <w:top w:val="none" w:sz="0" w:space="0" w:color="auto"/>
        <w:left w:val="none" w:sz="0" w:space="0" w:color="auto"/>
        <w:bottom w:val="none" w:sz="0" w:space="0" w:color="auto"/>
        <w:right w:val="none" w:sz="0" w:space="0" w:color="auto"/>
      </w:divBdr>
    </w:div>
    <w:div w:id="713891330">
      <w:marLeft w:val="0"/>
      <w:marRight w:val="0"/>
      <w:marTop w:val="0"/>
      <w:marBottom w:val="0"/>
      <w:divBdr>
        <w:top w:val="none" w:sz="0" w:space="0" w:color="auto"/>
        <w:left w:val="none" w:sz="0" w:space="0" w:color="auto"/>
        <w:bottom w:val="none" w:sz="0" w:space="0" w:color="auto"/>
        <w:right w:val="none" w:sz="0" w:space="0" w:color="auto"/>
      </w:divBdr>
    </w:div>
    <w:div w:id="713891336">
      <w:marLeft w:val="0"/>
      <w:marRight w:val="0"/>
      <w:marTop w:val="0"/>
      <w:marBottom w:val="0"/>
      <w:divBdr>
        <w:top w:val="none" w:sz="0" w:space="0" w:color="auto"/>
        <w:left w:val="none" w:sz="0" w:space="0" w:color="auto"/>
        <w:bottom w:val="none" w:sz="0" w:space="0" w:color="auto"/>
        <w:right w:val="none" w:sz="0" w:space="0" w:color="auto"/>
      </w:divBdr>
      <w:divsChild>
        <w:div w:id="713891340">
          <w:marLeft w:val="0"/>
          <w:marRight w:val="0"/>
          <w:marTop w:val="0"/>
          <w:marBottom w:val="0"/>
          <w:divBdr>
            <w:top w:val="none" w:sz="0" w:space="0" w:color="auto"/>
            <w:left w:val="none" w:sz="0" w:space="0" w:color="auto"/>
            <w:bottom w:val="none" w:sz="0" w:space="0" w:color="auto"/>
            <w:right w:val="none" w:sz="0" w:space="0" w:color="auto"/>
          </w:divBdr>
          <w:divsChild>
            <w:div w:id="713891298">
              <w:marLeft w:val="0"/>
              <w:marRight w:val="0"/>
              <w:marTop w:val="0"/>
              <w:marBottom w:val="0"/>
              <w:divBdr>
                <w:top w:val="none" w:sz="0" w:space="0" w:color="auto"/>
                <w:left w:val="none" w:sz="0" w:space="0" w:color="auto"/>
                <w:bottom w:val="none" w:sz="0" w:space="0" w:color="auto"/>
                <w:right w:val="none" w:sz="0" w:space="0" w:color="auto"/>
              </w:divBdr>
              <w:divsChild>
                <w:div w:id="713891329">
                  <w:marLeft w:val="0"/>
                  <w:marRight w:val="0"/>
                  <w:marTop w:val="0"/>
                  <w:marBottom w:val="0"/>
                  <w:divBdr>
                    <w:top w:val="none" w:sz="0" w:space="0" w:color="auto"/>
                    <w:left w:val="none" w:sz="0" w:space="0" w:color="auto"/>
                    <w:bottom w:val="none" w:sz="0" w:space="0" w:color="auto"/>
                    <w:right w:val="none" w:sz="0" w:space="0" w:color="auto"/>
                  </w:divBdr>
                  <w:divsChild>
                    <w:div w:id="713891286">
                      <w:marLeft w:val="0"/>
                      <w:marRight w:val="0"/>
                      <w:marTop w:val="0"/>
                      <w:marBottom w:val="0"/>
                      <w:divBdr>
                        <w:top w:val="none" w:sz="0" w:space="0" w:color="auto"/>
                        <w:left w:val="none" w:sz="0" w:space="0" w:color="auto"/>
                        <w:bottom w:val="none" w:sz="0" w:space="0" w:color="auto"/>
                        <w:right w:val="none" w:sz="0" w:space="0" w:color="auto"/>
                      </w:divBdr>
                      <w:divsChild>
                        <w:div w:id="7138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91337">
      <w:marLeft w:val="0"/>
      <w:marRight w:val="0"/>
      <w:marTop w:val="0"/>
      <w:marBottom w:val="0"/>
      <w:divBdr>
        <w:top w:val="none" w:sz="0" w:space="0" w:color="auto"/>
        <w:left w:val="none" w:sz="0" w:space="0" w:color="auto"/>
        <w:bottom w:val="none" w:sz="0" w:space="0" w:color="auto"/>
        <w:right w:val="none" w:sz="0" w:space="0" w:color="auto"/>
      </w:divBdr>
      <w:divsChild>
        <w:div w:id="713891293">
          <w:marLeft w:val="0"/>
          <w:marRight w:val="0"/>
          <w:marTop w:val="0"/>
          <w:marBottom w:val="0"/>
          <w:divBdr>
            <w:top w:val="none" w:sz="0" w:space="0" w:color="auto"/>
            <w:left w:val="none" w:sz="0" w:space="0" w:color="auto"/>
            <w:bottom w:val="none" w:sz="0" w:space="0" w:color="auto"/>
            <w:right w:val="none" w:sz="0" w:space="0" w:color="auto"/>
          </w:divBdr>
          <w:divsChild>
            <w:div w:id="713891316">
              <w:marLeft w:val="0"/>
              <w:marRight w:val="0"/>
              <w:marTop w:val="0"/>
              <w:marBottom w:val="0"/>
              <w:divBdr>
                <w:top w:val="none" w:sz="0" w:space="0" w:color="auto"/>
                <w:left w:val="none" w:sz="0" w:space="0" w:color="auto"/>
                <w:bottom w:val="none" w:sz="0" w:space="0" w:color="auto"/>
                <w:right w:val="none" w:sz="0" w:space="0" w:color="auto"/>
              </w:divBdr>
              <w:divsChild>
                <w:div w:id="713891331">
                  <w:marLeft w:val="0"/>
                  <w:marRight w:val="0"/>
                  <w:marTop w:val="0"/>
                  <w:marBottom w:val="0"/>
                  <w:divBdr>
                    <w:top w:val="none" w:sz="0" w:space="0" w:color="auto"/>
                    <w:left w:val="none" w:sz="0" w:space="0" w:color="auto"/>
                    <w:bottom w:val="none" w:sz="0" w:space="0" w:color="auto"/>
                    <w:right w:val="none" w:sz="0" w:space="0" w:color="auto"/>
                  </w:divBdr>
                  <w:divsChild>
                    <w:div w:id="713891301">
                      <w:marLeft w:val="0"/>
                      <w:marRight w:val="0"/>
                      <w:marTop w:val="0"/>
                      <w:marBottom w:val="0"/>
                      <w:divBdr>
                        <w:top w:val="none" w:sz="0" w:space="0" w:color="auto"/>
                        <w:left w:val="none" w:sz="0" w:space="0" w:color="auto"/>
                        <w:bottom w:val="none" w:sz="0" w:space="0" w:color="auto"/>
                        <w:right w:val="none" w:sz="0" w:space="0" w:color="auto"/>
                      </w:divBdr>
                      <w:divsChild>
                        <w:div w:id="713891289">
                          <w:marLeft w:val="0"/>
                          <w:marRight w:val="0"/>
                          <w:marTop w:val="0"/>
                          <w:marBottom w:val="0"/>
                          <w:divBdr>
                            <w:top w:val="none" w:sz="0" w:space="0" w:color="auto"/>
                            <w:left w:val="none" w:sz="0" w:space="0" w:color="auto"/>
                            <w:bottom w:val="none" w:sz="0" w:space="0" w:color="auto"/>
                            <w:right w:val="none" w:sz="0" w:space="0" w:color="auto"/>
                          </w:divBdr>
                          <w:divsChild>
                            <w:div w:id="713891305">
                              <w:marLeft w:val="0"/>
                              <w:marRight w:val="0"/>
                              <w:marTop w:val="0"/>
                              <w:marBottom w:val="0"/>
                              <w:divBdr>
                                <w:top w:val="none" w:sz="0" w:space="0" w:color="auto"/>
                                <w:left w:val="none" w:sz="0" w:space="0" w:color="auto"/>
                                <w:bottom w:val="none" w:sz="0" w:space="0" w:color="auto"/>
                                <w:right w:val="none" w:sz="0" w:space="0" w:color="auto"/>
                              </w:divBdr>
                              <w:divsChild>
                                <w:div w:id="7138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344">
      <w:marLeft w:val="0"/>
      <w:marRight w:val="0"/>
      <w:marTop w:val="0"/>
      <w:marBottom w:val="0"/>
      <w:divBdr>
        <w:top w:val="none" w:sz="0" w:space="0" w:color="auto"/>
        <w:left w:val="none" w:sz="0" w:space="0" w:color="auto"/>
        <w:bottom w:val="none" w:sz="0" w:space="0" w:color="auto"/>
        <w:right w:val="none" w:sz="0" w:space="0" w:color="auto"/>
      </w:divBdr>
      <w:divsChild>
        <w:div w:id="713891345">
          <w:marLeft w:val="0"/>
          <w:marRight w:val="0"/>
          <w:marTop w:val="0"/>
          <w:marBottom w:val="0"/>
          <w:divBdr>
            <w:top w:val="none" w:sz="0" w:space="0" w:color="auto"/>
            <w:left w:val="none" w:sz="0" w:space="0" w:color="auto"/>
            <w:bottom w:val="none" w:sz="0" w:space="0" w:color="auto"/>
            <w:right w:val="none" w:sz="0" w:space="0" w:color="auto"/>
          </w:divBdr>
          <w:divsChild>
            <w:div w:id="7138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1356">
      <w:marLeft w:val="0"/>
      <w:marRight w:val="0"/>
      <w:marTop w:val="0"/>
      <w:marBottom w:val="0"/>
      <w:divBdr>
        <w:top w:val="none" w:sz="0" w:space="0" w:color="auto"/>
        <w:left w:val="none" w:sz="0" w:space="0" w:color="auto"/>
        <w:bottom w:val="none" w:sz="0" w:space="0" w:color="auto"/>
        <w:right w:val="none" w:sz="0" w:space="0" w:color="auto"/>
      </w:divBdr>
      <w:divsChild>
        <w:div w:id="713891369">
          <w:marLeft w:val="0"/>
          <w:marRight w:val="0"/>
          <w:marTop w:val="0"/>
          <w:marBottom w:val="0"/>
          <w:divBdr>
            <w:top w:val="none" w:sz="0" w:space="0" w:color="auto"/>
            <w:left w:val="none" w:sz="0" w:space="0" w:color="auto"/>
            <w:bottom w:val="none" w:sz="0" w:space="0" w:color="auto"/>
            <w:right w:val="none" w:sz="0" w:space="0" w:color="auto"/>
          </w:divBdr>
          <w:divsChild>
            <w:div w:id="713891390">
              <w:marLeft w:val="0"/>
              <w:marRight w:val="0"/>
              <w:marTop w:val="0"/>
              <w:marBottom w:val="0"/>
              <w:divBdr>
                <w:top w:val="none" w:sz="0" w:space="0" w:color="auto"/>
                <w:left w:val="none" w:sz="0" w:space="0" w:color="auto"/>
                <w:bottom w:val="none" w:sz="0" w:space="0" w:color="auto"/>
                <w:right w:val="none" w:sz="0" w:space="0" w:color="auto"/>
              </w:divBdr>
              <w:divsChild>
                <w:div w:id="713891387">
                  <w:marLeft w:val="0"/>
                  <w:marRight w:val="0"/>
                  <w:marTop w:val="0"/>
                  <w:marBottom w:val="0"/>
                  <w:divBdr>
                    <w:top w:val="none" w:sz="0" w:space="0" w:color="auto"/>
                    <w:left w:val="none" w:sz="0" w:space="0" w:color="auto"/>
                    <w:bottom w:val="none" w:sz="0" w:space="0" w:color="auto"/>
                    <w:right w:val="none" w:sz="0" w:space="0" w:color="auto"/>
                  </w:divBdr>
                  <w:divsChild>
                    <w:div w:id="713891367">
                      <w:marLeft w:val="0"/>
                      <w:marRight w:val="0"/>
                      <w:marTop w:val="0"/>
                      <w:marBottom w:val="0"/>
                      <w:divBdr>
                        <w:top w:val="none" w:sz="0" w:space="0" w:color="auto"/>
                        <w:left w:val="none" w:sz="0" w:space="0" w:color="auto"/>
                        <w:bottom w:val="none" w:sz="0" w:space="0" w:color="auto"/>
                        <w:right w:val="none" w:sz="0" w:space="0" w:color="auto"/>
                      </w:divBdr>
                      <w:divsChild>
                        <w:div w:id="7138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91366">
      <w:marLeft w:val="0"/>
      <w:marRight w:val="0"/>
      <w:marTop w:val="0"/>
      <w:marBottom w:val="0"/>
      <w:divBdr>
        <w:top w:val="none" w:sz="0" w:space="0" w:color="auto"/>
        <w:left w:val="none" w:sz="0" w:space="0" w:color="auto"/>
        <w:bottom w:val="none" w:sz="0" w:space="0" w:color="auto"/>
        <w:right w:val="none" w:sz="0" w:space="0" w:color="auto"/>
      </w:divBdr>
      <w:divsChild>
        <w:div w:id="713891373">
          <w:marLeft w:val="0"/>
          <w:marRight w:val="0"/>
          <w:marTop w:val="0"/>
          <w:marBottom w:val="0"/>
          <w:divBdr>
            <w:top w:val="none" w:sz="0" w:space="0" w:color="auto"/>
            <w:left w:val="none" w:sz="0" w:space="0" w:color="auto"/>
            <w:bottom w:val="none" w:sz="0" w:space="0" w:color="auto"/>
            <w:right w:val="none" w:sz="0" w:space="0" w:color="auto"/>
          </w:divBdr>
          <w:divsChild>
            <w:div w:id="713891372">
              <w:marLeft w:val="0"/>
              <w:marRight w:val="0"/>
              <w:marTop w:val="0"/>
              <w:marBottom w:val="0"/>
              <w:divBdr>
                <w:top w:val="none" w:sz="0" w:space="0" w:color="auto"/>
                <w:left w:val="none" w:sz="0" w:space="0" w:color="auto"/>
                <w:bottom w:val="none" w:sz="0" w:space="0" w:color="auto"/>
                <w:right w:val="none" w:sz="0" w:space="0" w:color="auto"/>
              </w:divBdr>
              <w:divsChild>
                <w:div w:id="713891360">
                  <w:marLeft w:val="0"/>
                  <w:marRight w:val="0"/>
                  <w:marTop w:val="0"/>
                  <w:marBottom w:val="0"/>
                  <w:divBdr>
                    <w:top w:val="none" w:sz="0" w:space="0" w:color="auto"/>
                    <w:left w:val="none" w:sz="0" w:space="0" w:color="auto"/>
                    <w:bottom w:val="none" w:sz="0" w:space="0" w:color="auto"/>
                    <w:right w:val="none" w:sz="0" w:space="0" w:color="auto"/>
                  </w:divBdr>
                  <w:divsChild>
                    <w:div w:id="713891380">
                      <w:marLeft w:val="0"/>
                      <w:marRight w:val="0"/>
                      <w:marTop w:val="0"/>
                      <w:marBottom w:val="0"/>
                      <w:divBdr>
                        <w:top w:val="none" w:sz="0" w:space="0" w:color="auto"/>
                        <w:left w:val="none" w:sz="0" w:space="0" w:color="auto"/>
                        <w:bottom w:val="none" w:sz="0" w:space="0" w:color="auto"/>
                        <w:right w:val="none" w:sz="0" w:space="0" w:color="auto"/>
                      </w:divBdr>
                      <w:divsChild>
                        <w:div w:id="713891388">
                          <w:marLeft w:val="0"/>
                          <w:marRight w:val="0"/>
                          <w:marTop w:val="0"/>
                          <w:marBottom w:val="0"/>
                          <w:divBdr>
                            <w:top w:val="none" w:sz="0" w:space="0" w:color="auto"/>
                            <w:left w:val="none" w:sz="0" w:space="0" w:color="auto"/>
                            <w:bottom w:val="none" w:sz="0" w:space="0" w:color="auto"/>
                            <w:right w:val="none" w:sz="0" w:space="0" w:color="auto"/>
                          </w:divBdr>
                          <w:divsChild>
                            <w:div w:id="713891354">
                              <w:marLeft w:val="0"/>
                              <w:marRight w:val="0"/>
                              <w:marTop w:val="0"/>
                              <w:marBottom w:val="0"/>
                              <w:divBdr>
                                <w:top w:val="none" w:sz="0" w:space="0" w:color="auto"/>
                                <w:left w:val="none" w:sz="0" w:space="0" w:color="auto"/>
                                <w:bottom w:val="none" w:sz="0" w:space="0" w:color="auto"/>
                                <w:right w:val="none" w:sz="0" w:space="0" w:color="auto"/>
                              </w:divBdr>
                              <w:divsChild>
                                <w:div w:id="713891353">
                                  <w:marLeft w:val="0"/>
                                  <w:marRight w:val="0"/>
                                  <w:marTop w:val="0"/>
                                  <w:marBottom w:val="0"/>
                                  <w:divBdr>
                                    <w:top w:val="none" w:sz="0" w:space="0" w:color="auto"/>
                                    <w:left w:val="none" w:sz="0" w:space="0" w:color="auto"/>
                                    <w:bottom w:val="none" w:sz="0" w:space="0" w:color="auto"/>
                                    <w:right w:val="none" w:sz="0" w:space="0" w:color="auto"/>
                                  </w:divBdr>
                                  <w:divsChild>
                                    <w:div w:id="713891352">
                                      <w:marLeft w:val="0"/>
                                      <w:marRight w:val="0"/>
                                      <w:marTop w:val="0"/>
                                      <w:marBottom w:val="0"/>
                                      <w:divBdr>
                                        <w:top w:val="none" w:sz="0" w:space="0" w:color="auto"/>
                                        <w:left w:val="none" w:sz="0" w:space="0" w:color="auto"/>
                                        <w:bottom w:val="none" w:sz="0" w:space="0" w:color="auto"/>
                                        <w:right w:val="none" w:sz="0" w:space="0" w:color="auto"/>
                                      </w:divBdr>
                                      <w:divsChild>
                                        <w:div w:id="713891348">
                                          <w:marLeft w:val="0"/>
                                          <w:marRight w:val="0"/>
                                          <w:marTop w:val="0"/>
                                          <w:marBottom w:val="0"/>
                                          <w:divBdr>
                                            <w:top w:val="none" w:sz="0" w:space="0" w:color="auto"/>
                                            <w:left w:val="none" w:sz="0" w:space="0" w:color="auto"/>
                                            <w:bottom w:val="none" w:sz="0" w:space="0" w:color="auto"/>
                                            <w:right w:val="none" w:sz="0" w:space="0" w:color="auto"/>
                                          </w:divBdr>
                                        </w:div>
                                      </w:divsChild>
                                    </w:div>
                                    <w:div w:id="713891361">
                                      <w:marLeft w:val="0"/>
                                      <w:marRight w:val="0"/>
                                      <w:marTop w:val="0"/>
                                      <w:marBottom w:val="0"/>
                                      <w:divBdr>
                                        <w:top w:val="none" w:sz="0" w:space="0" w:color="auto"/>
                                        <w:left w:val="none" w:sz="0" w:space="0" w:color="auto"/>
                                        <w:bottom w:val="none" w:sz="0" w:space="0" w:color="auto"/>
                                        <w:right w:val="none" w:sz="0" w:space="0" w:color="auto"/>
                                      </w:divBdr>
                                    </w:div>
                                    <w:div w:id="713891363">
                                      <w:marLeft w:val="0"/>
                                      <w:marRight w:val="0"/>
                                      <w:marTop w:val="0"/>
                                      <w:marBottom w:val="0"/>
                                      <w:divBdr>
                                        <w:top w:val="none" w:sz="0" w:space="0" w:color="auto"/>
                                        <w:left w:val="none" w:sz="0" w:space="0" w:color="auto"/>
                                        <w:bottom w:val="none" w:sz="0" w:space="0" w:color="auto"/>
                                        <w:right w:val="none" w:sz="0" w:space="0" w:color="auto"/>
                                      </w:divBdr>
                                      <w:divsChild>
                                        <w:div w:id="713891357">
                                          <w:marLeft w:val="0"/>
                                          <w:marRight w:val="0"/>
                                          <w:marTop w:val="0"/>
                                          <w:marBottom w:val="0"/>
                                          <w:divBdr>
                                            <w:top w:val="none" w:sz="0" w:space="0" w:color="auto"/>
                                            <w:left w:val="none" w:sz="0" w:space="0" w:color="auto"/>
                                            <w:bottom w:val="none" w:sz="0" w:space="0" w:color="auto"/>
                                            <w:right w:val="none" w:sz="0" w:space="0" w:color="auto"/>
                                          </w:divBdr>
                                        </w:div>
                                      </w:divsChild>
                                    </w:div>
                                    <w:div w:id="713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1382">
      <w:marLeft w:val="0"/>
      <w:marRight w:val="0"/>
      <w:marTop w:val="0"/>
      <w:marBottom w:val="0"/>
      <w:divBdr>
        <w:top w:val="none" w:sz="0" w:space="0" w:color="auto"/>
        <w:left w:val="none" w:sz="0" w:space="0" w:color="auto"/>
        <w:bottom w:val="none" w:sz="0" w:space="0" w:color="auto"/>
        <w:right w:val="none" w:sz="0" w:space="0" w:color="auto"/>
      </w:divBdr>
      <w:divsChild>
        <w:div w:id="713891386">
          <w:marLeft w:val="0"/>
          <w:marRight w:val="0"/>
          <w:marTop w:val="0"/>
          <w:marBottom w:val="0"/>
          <w:divBdr>
            <w:top w:val="none" w:sz="0" w:space="0" w:color="auto"/>
            <w:left w:val="none" w:sz="0" w:space="0" w:color="auto"/>
            <w:bottom w:val="none" w:sz="0" w:space="0" w:color="auto"/>
            <w:right w:val="none" w:sz="0" w:space="0" w:color="auto"/>
          </w:divBdr>
          <w:divsChild>
            <w:div w:id="713891351">
              <w:marLeft w:val="0"/>
              <w:marRight w:val="0"/>
              <w:marTop w:val="0"/>
              <w:marBottom w:val="0"/>
              <w:divBdr>
                <w:top w:val="none" w:sz="0" w:space="0" w:color="auto"/>
                <w:left w:val="none" w:sz="0" w:space="0" w:color="auto"/>
                <w:bottom w:val="none" w:sz="0" w:space="0" w:color="auto"/>
                <w:right w:val="none" w:sz="0" w:space="0" w:color="auto"/>
              </w:divBdr>
              <w:divsChild>
                <w:div w:id="713891381">
                  <w:marLeft w:val="0"/>
                  <w:marRight w:val="0"/>
                  <w:marTop w:val="0"/>
                  <w:marBottom w:val="0"/>
                  <w:divBdr>
                    <w:top w:val="none" w:sz="0" w:space="0" w:color="auto"/>
                    <w:left w:val="none" w:sz="0" w:space="0" w:color="auto"/>
                    <w:bottom w:val="none" w:sz="0" w:space="0" w:color="auto"/>
                    <w:right w:val="none" w:sz="0" w:space="0" w:color="auto"/>
                  </w:divBdr>
                  <w:divsChild>
                    <w:div w:id="713891362">
                      <w:marLeft w:val="0"/>
                      <w:marRight w:val="0"/>
                      <w:marTop w:val="0"/>
                      <w:marBottom w:val="0"/>
                      <w:divBdr>
                        <w:top w:val="none" w:sz="0" w:space="0" w:color="auto"/>
                        <w:left w:val="none" w:sz="0" w:space="0" w:color="auto"/>
                        <w:bottom w:val="none" w:sz="0" w:space="0" w:color="auto"/>
                        <w:right w:val="none" w:sz="0" w:space="0" w:color="auto"/>
                      </w:divBdr>
                      <w:divsChild>
                        <w:div w:id="713891359">
                          <w:marLeft w:val="0"/>
                          <w:marRight w:val="0"/>
                          <w:marTop w:val="0"/>
                          <w:marBottom w:val="0"/>
                          <w:divBdr>
                            <w:top w:val="none" w:sz="0" w:space="0" w:color="auto"/>
                            <w:left w:val="none" w:sz="0" w:space="0" w:color="auto"/>
                            <w:bottom w:val="none" w:sz="0" w:space="0" w:color="auto"/>
                            <w:right w:val="none" w:sz="0" w:space="0" w:color="auto"/>
                          </w:divBdr>
                          <w:divsChild>
                            <w:div w:id="713891376">
                              <w:marLeft w:val="0"/>
                              <w:marRight w:val="0"/>
                              <w:marTop w:val="0"/>
                              <w:marBottom w:val="0"/>
                              <w:divBdr>
                                <w:top w:val="none" w:sz="0" w:space="0" w:color="auto"/>
                                <w:left w:val="none" w:sz="0" w:space="0" w:color="auto"/>
                                <w:bottom w:val="none" w:sz="0" w:space="0" w:color="auto"/>
                                <w:right w:val="none" w:sz="0" w:space="0" w:color="auto"/>
                              </w:divBdr>
                              <w:divsChild>
                                <w:div w:id="713891365">
                                  <w:marLeft w:val="0"/>
                                  <w:marRight w:val="0"/>
                                  <w:marTop w:val="0"/>
                                  <w:marBottom w:val="0"/>
                                  <w:divBdr>
                                    <w:top w:val="none" w:sz="0" w:space="0" w:color="auto"/>
                                    <w:left w:val="none" w:sz="0" w:space="0" w:color="auto"/>
                                    <w:bottom w:val="none" w:sz="0" w:space="0" w:color="auto"/>
                                    <w:right w:val="none" w:sz="0" w:space="0" w:color="auto"/>
                                  </w:divBdr>
                                  <w:divsChild>
                                    <w:div w:id="713891350">
                                      <w:marLeft w:val="0"/>
                                      <w:marRight w:val="0"/>
                                      <w:marTop w:val="0"/>
                                      <w:marBottom w:val="0"/>
                                      <w:divBdr>
                                        <w:top w:val="none" w:sz="0" w:space="0" w:color="auto"/>
                                        <w:left w:val="none" w:sz="0" w:space="0" w:color="auto"/>
                                        <w:bottom w:val="none" w:sz="0" w:space="0" w:color="auto"/>
                                        <w:right w:val="none" w:sz="0" w:space="0" w:color="auto"/>
                                      </w:divBdr>
                                    </w:div>
                                    <w:div w:id="7138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1383">
      <w:marLeft w:val="0"/>
      <w:marRight w:val="0"/>
      <w:marTop w:val="0"/>
      <w:marBottom w:val="0"/>
      <w:divBdr>
        <w:top w:val="none" w:sz="0" w:space="0" w:color="auto"/>
        <w:left w:val="none" w:sz="0" w:space="0" w:color="auto"/>
        <w:bottom w:val="none" w:sz="0" w:space="0" w:color="auto"/>
        <w:right w:val="none" w:sz="0" w:space="0" w:color="auto"/>
      </w:divBdr>
      <w:divsChild>
        <w:div w:id="713891385">
          <w:marLeft w:val="0"/>
          <w:marRight w:val="0"/>
          <w:marTop w:val="0"/>
          <w:marBottom w:val="0"/>
          <w:divBdr>
            <w:top w:val="none" w:sz="0" w:space="0" w:color="auto"/>
            <w:left w:val="none" w:sz="0" w:space="0" w:color="auto"/>
            <w:bottom w:val="none" w:sz="0" w:space="0" w:color="auto"/>
            <w:right w:val="none" w:sz="0" w:space="0" w:color="auto"/>
          </w:divBdr>
          <w:divsChild>
            <w:div w:id="713891358">
              <w:marLeft w:val="0"/>
              <w:marRight w:val="0"/>
              <w:marTop w:val="0"/>
              <w:marBottom w:val="0"/>
              <w:divBdr>
                <w:top w:val="none" w:sz="0" w:space="0" w:color="auto"/>
                <w:left w:val="none" w:sz="0" w:space="0" w:color="auto"/>
                <w:bottom w:val="none" w:sz="0" w:space="0" w:color="auto"/>
                <w:right w:val="none" w:sz="0" w:space="0" w:color="auto"/>
              </w:divBdr>
              <w:divsChild>
                <w:div w:id="713891371">
                  <w:marLeft w:val="0"/>
                  <w:marRight w:val="0"/>
                  <w:marTop w:val="0"/>
                  <w:marBottom w:val="0"/>
                  <w:divBdr>
                    <w:top w:val="none" w:sz="0" w:space="0" w:color="auto"/>
                    <w:left w:val="none" w:sz="0" w:space="0" w:color="auto"/>
                    <w:bottom w:val="none" w:sz="0" w:space="0" w:color="auto"/>
                    <w:right w:val="none" w:sz="0" w:space="0" w:color="auto"/>
                  </w:divBdr>
                  <w:divsChild>
                    <w:div w:id="713891347">
                      <w:marLeft w:val="0"/>
                      <w:marRight w:val="0"/>
                      <w:marTop w:val="0"/>
                      <w:marBottom w:val="0"/>
                      <w:divBdr>
                        <w:top w:val="none" w:sz="0" w:space="0" w:color="auto"/>
                        <w:left w:val="none" w:sz="0" w:space="0" w:color="auto"/>
                        <w:bottom w:val="none" w:sz="0" w:space="0" w:color="auto"/>
                        <w:right w:val="none" w:sz="0" w:space="0" w:color="auto"/>
                      </w:divBdr>
                      <w:divsChild>
                        <w:div w:id="713891368">
                          <w:marLeft w:val="0"/>
                          <w:marRight w:val="0"/>
                          <w:marTop w:val="0"/>
                          <w:marBottom w:val="0"/>
                          <w:divBdr>
                            <w:top w:val="none" w:sz="0" w:space="0" w:color="auto"/>
                            <w:left w:val="none" w:sz="0" w:space="0" w:color="auto"/>
                            <w:bottom w:val="none" w:sz="0" w:space="0" w:color="auto"/>
                            <w:right w:val="none" w:sz="0" w:space="0" w:color="auto"/>
                          </w:divBdr>
                          <w:divsChild>
                            <w:div w:id="713891349">
                              <w:marLeft w:val="0"/>
                              <w:marRight w:val="0"/>
                              <w:marTop w:val="0"/>
                              <w:marBottom w:val="0"/>
                              <w:divBdr>
                                <w:top w:val="none" w:sz="0" w:space="0" w:color="auto"/>
                                <w:left w:val="none" w:sz="0" w:space="0" w:color="auto"/>
                                <w:bottom w:val="none" w:sz="0" w:space="0" w:color="auto"/>
                                <w:right w:val="none" w:sz="0" w:space="0" w:color="auto"/>
                              </w:divBdr>
                              <w:divsChild>
                                <w:div w:id="713891374">
                                  <w:marLeft w:val="0"/>
                                  <w:marRight w:val="0"/>
                                  <w:marTop w:val="0"/>
                                  <w:marBottom w:val="0"/>
                                  <w:divBdr>
                                    <w:top w:val="none" w:sz="0" w:space="0" w:color="auto"/>
                                    <w:left w:val="none" w:sz="0" w:space="0" w:color="auto"/>
                                    <w:bottom w:val="none" w:sz="0" w:space="0" w:color="auto"/>
                                    <w:right w:val="none" w:sz="0" w:space="0" w:color="auto"/>
                                  </w:divBdr>
                                  <w:divsChild>
                                    <w:div w:id="713891364">
                                      <w:marLeft w:val="0"/>
                                      <w:marRight w:val="0"/>
                                      <w:marTop w:val="0"/>
                                      <w:marBottom w:val="0"/>
                                      <w:divBdr>
                                        <w:top w:val="none" w:sz="0" w:space="0" w:color="auto"/>
                                        <w:left w:val="none" w:sz="0" w:space="0" w:color="auto"/>
                                        <w:bottom w:val="none" w:sz="0" w:space="0" w:color="auto"/>
                                        <w:right w:val="none" w:sz="0" w:space="0" w:color="auto"/>
                                      </w:divBdr>
                                    </w:div>
                                    <w:div w:id="713891370">
                                      <w:marLeft w:val="0"/>
                                      <w:marRight w:val="0"/>
                                      <w:marTop w:val="0"/>
                                      <w:marBottom w:val="0"/>
                                      <w:divBdr>
                                        <w:top w:val="none" w:sz="0" w:space="0" w:color="auto"/>
                                        <w:left w:val="none" w:sz="0" w:space="0" w:color="auto"/>
                                        <w:bottom w:val="none" w:sz="0" w:space="0" w:color="auto"/>
                                        <w:right w:val="none" w:sz="0" w:space="0" w:color="auto"/>
                                      </w:divBdr>
                                      <w:divsChild>
                                        <w:div w:id="713891377">
                                          <w:marLeft w:val="0"/>
                                          <w:marRight w:val="0"/>
                                          <w:marTop w:val="0"/>
                                          <w:marBottom w:val="0"/>
                                          <w:divBdr>
                                            <w:top w:val="none" w:sz="0" w:space="0" w:color="auto"/>
                                            <w:left w:val="none" w:sz="0" w:space="0" w:color="auto"/>
                                            <w:bottom w:val="none" w:sz="0" w:space="0" w:color="auto"/>
                                            <w:right w:val="none" w:sz="0" w:space="0" w:color="auto"/>
                                          </w:divBdr>
                                        </w:div>
                                      </w:divsChild>
                                    </w:div>
                                    <w:div w:id="713891375">
                                      <w:marLeft w:val="0"/>
                                      <w:marRight w:val="0"/>
                                      <w:marTop w:val="0"/>
                                      <w:marBottom w:val="0"/>
                                      <w:divBdr>
                                        <w:top w:val="none" w:sz="0" w:space="0" w:color="auto"/>
                                        <w:left w:val="none" w:sz="0" w:space="0" w:color="auto"/>
                                        <w:bottom w:val="none" w:sz="0" w:space="0" w:color="auto"/>
                                        <w:right w:val="none" w:sz="0" w:space="0" w:color="auto"/>
                                      </w:divBdr>
                                      <w:divsChild>
                                        <w:div w:id="713891355">
                                          <w:marLeft w:val="0"/>
                                          <w:marRight w:val="0"/>
                                          <w:marTop w:val="0"/>
                                          <w:marBottom w:val="0"/>
                                          <w:divBdr>
                                            <w:top w:val="none" w:sz="0" w:space="0" w:color="auto"/>
                                            <w:left w:val="none" w:sz="0" w:space="0" w:color="auto"/>
                                            <w:bottom w:val="none" w:sz="0" w:space="0" w:color="auto"/>
                                            <w:right w:val="none" w:sz="0" w:space="0" w:color="auto"/>
                                          </w:divBdr>
                                        </w:div>
                                      </w:divsChild>
                                    </w:div>
                                    <w:div w:id="7138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1391">
      <w:marLeft w:val="0"/>
      <w:marRight w:val="0"/>
      <w:marTop w:val="0"/>
      <w:marBottom w:val="0"/>
      <w:divBdr>
        <w:top w:val="none" w:sz="0" w:space="0" w:color="auto"/>
        <w:left w:val="none" w:sz="0" w:space="0" w:color="auto"/>
        <w:bottom w:val="none" w:sz="0" w:space="0" w:color="auto"/>
        <w:right w:val="none" w:sz="0" w:space="0" w:color="auto"/>
      </w:divBdr>
    </w:div>
    <w:div w:id="850483911">
      <w:bodyDiv w:val="1"/>
      <w:marLeft w:val="0"/>
      <w:marRight w:val="0"/>
      <w:marTop w:val="0"/>
      <w:marBottom w:val="0"/>
      <w:divBdr>
        <w:top w:val="none" w:sz="0" w:space="0" w:color="auto"/>
        <w:left w:val="none" w:sz="0" w:space="0" w:color="auto"/>
        <w:bottom w:val="none" w:sz="0" w:space="0" w:color="auto"/>
        <w:right w:val="none" w:sz="0" w:space="0" w:color="auto"/>
      </w:divBdr>
    </w:div>
    <w:div w:id="1723872216">
      <w:bodyDiv w:val="1"/>
      <w:marLeft w:val="0"/>
      <w:marRight w:val="0"/>
      <w:marTop w:val="0"/>
      <w:marBottom w:val="0"/>
      <w:divBdr>
        <w:top w:val="none" w:sz="0" w:space="0" w:color="auto"/>
        <w:left w:val="none" w:sz="0" w:space="0" w:color="auto"/>
        <w:bottom w:val="none" w:sz="0" w:space="0" w:color="auto"/>
        <w:right w:val="none" w:sz="0" w:space="0" w:color="auto"/>
      </w:divBdr>
    </w:div>
    <w:div w:id="20130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5483</Words>
  <Characters>31256</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Title</vt:lpstr>
    </vt:vector>
  </TitlesOfParts>
  <Company>FenF</Company>
  <LinksUpToDate>false</LinksUpToDate>
  <CharactersWithSpaces>36666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Klop, C. (Corinne)</dc:creator>
  <cp:lastModifiedBy>Karen Drake</cp:lastModifiedBy>
  <cp:revision>2</cp:revision>
  <cp:lastPrinted>2015-03-12T08:39:00Z</cp:lastPrinted>
  <dcterms:created xsi:type="dcterms:W3CDTF">2016-10-03T14:41:00Z</dcterms:created>
  <dcterms:modified xsi:type="dcterms:W3CDTF">2016-10-03T14:41:00Z</dcterms:modified>
</cp:coreProperties>
</file>