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74C0A" w14:textId="413BB4C9" w:rsidR="00BC765D" w:rsidRPr="009B4798" w:rsidRDefault="00DB5B0E" w:rsidP="0096729D">
      <w:pPr>
        <w:pBdr>
          <w:bottom w:val="single" w:sz="4" w:space="1" w:color="auto"/>
        </w:pBdr>
        <w:spacing w:line="360" w:lineRule="auto"/>
        <w:jc w:val="center"/>
        <w:rPr>
          <w:b/>
        </w:rPr>
      </w:pPr>
      <w:bookmarkStart w:id="0" w:name="_GoBack"/>
      <w:bookmarkEnd w:id="0"/>
      <w:r w:rsidRPr="009B4798">
        <w:rPr>
          <w:b/>
        </w:rPr>
        <w:t>S</w:t>
      </w:r>
      <w:r w:rsidR="00F612C9" w:rsidRPr="009B4798">
        <w:rPr>
          <w:b/>
        </w:rPr>
        <w:t>a</w:t>
      </w:r>
      <w:r w:rsidRPr="009B4798">
        <w:rPr>
          <w:b/>
        </w:rPr>
        <w:t>rcopenia in daily practice</w:t>
      </w:r>
      <w:r w:rsidR="00DF24BA" w:rsidRPr="009B4798">
        <w:rPr>
          <w:b/>
        </w:rPr>
        <w:t>:</w:t>
      </w:r>
    </w:p>
    <w:p w14:paraId="157DA545" w14:textId="342006F1" w:rsidR="00DB5B0E" w:rsidRPr="009B4798" w:rsidRDefault="00DB5B0E" w:rsidP="0096729D">
      <w:pPr>
        <w:pBdr>
          <w:bottom w:val="single" w:sz="4" w:space="1" w:color="auto"/>
        </w:pBdr>
        <w:spacing w:line="360" w:lineRule="auto"/>
        <w:jc w:val="center"/>
        <w:rPr>
          <w:b/>
        </w:rPr>
      </w:pPr>
      <w:r w:rsidRPr="009B4798">
        <w:rPr>
          <w:b/>
        </w:rPr>
        <w:t>Assessment and Management</w:t>
      </w:r>
    </w:p>
    <w:p w14:paraId="73932A56" w14:textId="19CEE411" w:rsidR="00F612C9" w:rsidRPr="000B0221" w:rsidRDefault="00BC765D" w:rsidP="0096729D">
      <w:pPr>
        <w:pBdr>
          <w:bottom w:val="single" w:sz="4" w:space="1" w:color="auto"/>
        </w:pBdr>
        <w:spacing w:line="360" w:lineRule="auto"/>
        <w:jc w:val="center"/>
      </w:pPr>
      <w:r w:rsidRPr="000B0221">
        <w:t xml:space="preserve">An Expert consensus report </w:t>
      </w:r>
      <w:r w:rsidR="00CA4A11" w:rsidRPr="000B0221">
        <w:t xml:space="preserve">from </w:t>
      </w:r>
      <w:r w:rsidRPr="000B0221">
        <w:t xml:space="preserve">the European Society for Clinical and Economic Aspects </w:t>
      </w:r>
      <w:r w:rsidR="001A1E92" w:rsidRPr="000B0221">
        <w:t>of</w:t>
      </w:r>
      <w:r w:rsidRPr="000B0221">
        <w:t xml:space="preserve"> Osteoporosis, Osteoarthritis, </w:t>
      </w:r>
      <w:r w:rsidR="00CA4A11" w:rsidRPr="000B0221">
        <w:t>F</w:t>
      </w:r>
      <w:r w:rsidRPr="000B0221">
        <w:t xml:space="preserve">railty and </w:t>
      </w:r>
      <w:r w:rsidR="00CA4A11" w:rsidRPr="000B0221">
        <w:t>S</w:t>
      </w:r>
      <w:r w:rsidRPr="000B0221">
        <w:t>arcopenia (ESCEO)</w:t>
      </w:r>
    </w:p>
    <w:p w14:paraId="6FCC1FF9" w14:textId="1CE8DC59" w:rsidR="00E3627A" w:rsidRPr="000B0221" w:rsidRDefault="00E3627A" w:rsidP="0096729D">
      <w:pPr>
        <w:pBdr>
          <w:bottom w:val="single" w:sz="4" w:space="1" w:color="auto"/>
        </w:pBdr>
        <w:spacing w:line="360" w:lineRule="auto"/>
        <w:jc w:val="center"/>
      </w:pPr>
    </w:p>
    <w:p w14:paraId="04F381AE" w14:textId="77777777" w:rsidR="00C46900" w:rsidRPr="000B0221" w:rsidRDefault="00C46900" w:rsidP="0096729D">
      <w:pPr>
        <w:spacing w:line="360" w:lineRule="auto"/>
      </w:pPr>
    </w:p>
    <w:p w14:paraId="29CBE04C" w14:textId="418CF7C4" w:rsidR="00B43758" w:rsidRPr="000B0221" w:rsidRDefault="005F10A3" w:rsidP="0096729D">
      <w:pPr>
        <w:spacing w:line="360" w:lineRule="auto"/>
        <w:rPr>
          <w:rFonts w:ascii="Calibri" w:eastAsia="Times New Roman" w:hAnsi="Calibri" w:cs="Times New Roman"/>
          <w:lang w:eastAsia="fr-BE"/>
        </w:rPr>
      </w:pPr>
      <w:r w:rsidRPr="000B0221">
        <w:rPr>
          <w:rFonts w:ascii="Calibri" w:eastAsia="Times New Roman" w:hAnsi="Calibri" w:cs="Times New Roman"/>
          <w:lang w:eastAsia="fr-BE"/>
        </w:rPr>
        <w:t xml:space="preserve">Beaudart C. , </w:t>
      </w:r>
      <w:r w:rsidR="000B3730" w:rsidRPr="000B0221">
        <w:rPr>
          <w:rFonts w:ascii="Calibri" w:eastAsia="Times New Roman" w:hAnsi="Calibri" w:cs="Times New Roman"/>
          <w:lang w:eastAsia="fr-BE"/>
        </w:rPr>
        <w:t xml:space="preserve">McCloskey E., </w:t>
      </w:r>
      <w:r w:rsidR="0083783F" w:rsidRPr="000B0221">
        <w:rPr>
          <w:rFonts w:ascii="Calibri" w:eastAsia="Times New Roman" w:hAnsi="Calibri" w:cs="Times New Roman"/>
          <w:lang w:eastAsia="fr-BE"/>
        </w:rPr>
        <w:t xml:space="preserve">Bruyère O., </w:t>
      </w:r>
      <w:r w:rsidR="007A796C" w:rsidRPr="000B0221">
        <w:rPr>
          <w:rFonts w:ascii="Calibri" w:eastAsia="Times New Roman" w:hAnsi="Calibri" w:cs="Times New Roman"/>
          <w:lang w:eastAsia="fr-BE"/>
        </w:rPr>
        <w:t xml:space="preserve">Cesari M., </w:t>
      </w:r>
      <w:r w:rsidRPr="000B0221">
        <w:rPr>
          <w:rFonts w:ascii="Calibri" w:eastAsia="Times New Roman" w:hAnsi="Calibri" w:cs="Times New Roman"/>
          <w:lang w:eastAsia="fr-BE"/>
        </w:rPr>
        <w:t xml:space="preserve">Rolland Y., Rizzoli R., </w:t>
      </w:r>
      <w:r w:rsidR="00150790" w:rsidRPr="000B0221">
        <w:rPr>
          <w:rFonts w:ascii="Calibri" w:eastAsia="Times New Roman" w:hAnsi="Calibri" w:cs="Times New Roman"/>
          <w:lang w:eastAsia="fr-BE"/>
        </w:rPr>
        <w:t xml:space="preserve">Araujo de Carvalho I., </w:t>
      </w:r>
      <w:r w:rsidR="008058C7" w:rsidRPr="000B0221">
        <w:rPr>
          <w:rFonts w:ascii="Calibri" w:eastAsia="Times New Roman" w:hAnsi="Calibri" w:cs="Times New Roman"/>
          <w:lang w:eastAsia="fr-BE"/>
        </w:rPr>
        <w:t xml:space="preserve">Amuthavalli </w:t>
      </w:r>
      <w:r w:rsidR="00C8041B" w:rsidRPr="00C8041B">
        <w:rPr>
          <w:rFonts w:ascii="Calibri" w:eastAsia="Times New Roman" w:hAnsi="Calibri" w:cs="Times New Roman"/>
          <w:lang w:eastAsia="fr-BE"/>
        </w:rPr>
        <w:t>Thiyagarajan</w:t>
      </w:r>
      <w:r w:rsidR="008058C7" w:rsidRPr="000B0221">
        <w:rPr>
          <w:rFonts w:ascii="Calibri" w:eastAsia="Times New Roman" w:hAnsi="Calibri" w:cs="Times New Roman"/>
          <w:lang w:eastAsia="fr-BE"/>
        </w:rPr>
        <w:t xml:space="preserve"> J.,</w:t>
      </w:r>
      <w:r w:rsidR="008058C7" w:rsidRPr="000B0221">
        <w:rPr>
          <w:rFonts w:ascii="Trebuchet MS" w:hAnsi="Trebuchet MS"/>
          <w:color w:val="000000"/>
          <w:sz w:val="20"/>
          <w:szCs w:val="20"/>
        </w:rPr>
        <w:t xml:space="preserve"> </w:t>
      </w:r>
      <w:r w:rsidR="00150790" w:rsidRPr="000B0221">
        <w:rPr>
          <w:rFonts w:ascii="Calibri" w:eastAsia="Times New Roman" w:hAnsi="Calibri" w:cs="Times New Roman"/>
          <w:lang w:eastAsia="fr-BE"/>
        </w:rPr>
        <w:t>Bautmans</w:t>
      </w:r>
      <w:r w:rsidRPr="000B0221">
        <w:rPr>
          <w:rFonts w:ascii="Calibri" w:eastAsia="Times New Roman" w:hAnsi="Calibri" w:cs="Times New Roman"/>
          <w:lang w:eastAsia="fr-BE"/>
        </w:rPr>
        <w:t xml:space="preserve"> I.</w:t>
      </w:r>
      <w:r w:rsidR="00150790" w:rsidRPr="000B0221">
        <w:rPr>
          <w:rFonts w:ascii="Calibri" w:eastAsia="Times New Roman" w:hAnsi="Calibri" w:cs="Times New Roman"/>
          <w:lang w:eastAsia="fr-BE"/>
        </w:rPr>
        <w:t>, Bertière MC., Brandi M.</w:t>
      </w:r>
      <w:r w:rsidR="0083783F" w:rsidRPr="000B0221">
        <w:rPr>
          <w:rFonts w:ascii="Calibri" w:eastAsia="Times New Roman" w:hAnsi="Calibri" w:cs="Times New Roman"/>
          <w:lang w:eastAsia="fr-BE"/>
        </w:rPr>
        <w:t>L.</w:t>
      </w:r>
      <w:r w:rsidR="00150790" w:rsidRPr="000B0221">
        <w:rPr>
          <w:rFonts w:ascii="Calibri" w:eastAsia="Times New Roman" w:hAnsi="Calibri" w:cs="Times New Roman"/>
          <w:lang w:eastAsia="fr-BE"/>
        </w:rPr>
        <w:t>,</w:t>
      </w:r>
      <w:r w:rsidR="001B7548" w:rsidRPr="001B7548">
        <w:t xml:space="preserve"> </w:t>
      </w:r>
      <w:r w:rsidR="00605B0E">
        <w:t>Al-Daghri N.M.</w:t>
      </w:r>
      <w:r w:rsidR="001B7548">
        <w:t xml:space="preserve">, </w:t>
      </w:r>
      <w:r w:rsidR="00150790" w:rsidRPr="000B0221">
        <w:rPr>
          <w:rFonts w:ascii="Calibri" w:eastAsia="Times New Roman" w:hAnsi="Calibri" w:cs="Times New Roman"/>
          <w:lang w:eastAsia="fr-BE"/>
        </w:rPr>
        <w:t xml:space="preserve"> </w:t>
      </w:r>
      <w:r w:rsidR="00515608" w:rsidRPr="000B0221">
        <w:rPr>
          <w:rFonts w:ascii="Calibri" w:eastAsia="Times New Roman" w:hAnsi="Calibri" w:cs="Times New Roman"/>
          <w:lang w:eastAsia="fr-BE"/>
        </w:rPr>
        <w:t xml:space="preserve">Burlet N., </w:t>
      </w:r>
      <w:r w:rsidR="00150790" w:rsidRPr="000B0221">
        <w:rPr>
          <w:rFonts w:ascii="Calibri" w:eastAsia="Times New Roman" w:hAnsi="Calibri" w:cs="Times New Roman"/>
          <w:lang w:eastAsia="fr-BE"/>
        </w:rPr>
        <w:t>Cavalier E., Cerreta</w:t>
      </w:r>
      <w:r w:rsidR="007A796C" w:rsidRPr="000B0221">
        <w:rPr>
          <w:rFonts w:ascii="Calibri" w:eastAsia="Times New Roman" w:hAnsi="Calibri" w:cs="Times New Roman"/>
          <w:lang w:eastAsia="fr-BE"/>
        </w:rPr>
        <w:t xml:space="preserve"> F., </w:t>
      </w:r>
      <w:r w:rsidR="00150790" w:rsidRPr="000B0221">
        <w:rPr>
          <w:rFonts w:ascii="Calibri" w:eastAsia="Times New Roman" w:hAnsi="Calibri" w:cs="Times New Roman"/>
          <w:lang w:eastAsia="fr-BE"/>
        </w:rPr>
        <w:t>Cherubini</w:t>
      </w:r>
      <w:r w:rsidRPr="000B0221">
        <w:rPr>
          <w:rFonts w:ascii="Calibri" w:eastAsia="Times New Roman" w:hAnsi="Calibri" w:cs="Times New Roman"/>
          <w:lang w:eastAsia="fr-BE"/>
        </w:rPr>
        <w:t xml:space="preserve"> A.</w:t>
      </w:r>
      <w:r w:rsidR="00150790" w:rsidRPr="000B0221">
        <w:rPr>
          <w:rFonts w:ascii="Calibri" w:eastAsia="Times New Roman" w:hAnsi="Calibri" w:cs="Times New Roman"/>
          <w:lang w:eastAsia="fr-BE"/>
        </w:rPr>
        <w:t>, Fielding R., Gielen E., Landi F., Petermans J., Regin</w:t>
      </w:r>
      <w:r w:rsidRPr="000B0221">
        <w:rPr>
          <w:rFonts w:ascii="Calibri" w:eastAsia="Times New Roman" w:hAnsi="Calibri" w:cs="Times New Roman"/>
          <w:lang w:eastAsia="fr-BE"/>
        </w:rPr>
        <w:t>ster JY.</w:t>
      </w:r>
      <w:r w:rsidR="00150790" w:rsidRPr="000B0221">
        <w:rPr>
          <w:rFonts w:ascii="Calibri" w:eastAsia="Times New Roman" w:hAnsi="Calibri" w:cs="Times New Roman"/>
          <w:lang w:eastAsia="fr-BE"/>
        </w:rPr>
        <w:t>, Visser M.</w:t>
      </w:r>
      <w:r w:rsidRPr="000B0221">
        <w:rPr>
          <w:rFonts w:ascii="Calibri" w:eastAsia="Times New Roman" w:hAnsi="Calibri" w:cs="Times New Roman"/>
          <w:lang w:eastAsia="fr-BE"/>
        </w:rPr>
        <w:t xml:space="preserve">, </w:t>
      </w:r>
      <w:r w:rsidR="00DB5B0E" w:rsidRPr="000B0221">
        <w:rPr>
          <w:rFonts w:ascii="Calibri" w:eastAsia="Times New Roman" w:hAnsi="Calibri" w:cs="Times New Roman"/>
          <w:lang w:eastAsia="fr-BE"/>
        </w:rPr>
        <w:t xml:space="preserve">Kanis J.A., </w:t>
      </w:r>
      <w:r w:rsidRPr="000B0221">
        <w:rPr>
          <w:rFonts w:ascii="Calibri" w:eastAsia="Times New Roman" w:hAnsi="Calibri" w:cs="Times New Roman"/>
          <w:lang w:eastAsia="fr-BE"/>
        </w:rPr>
        <w:t>Cooper C.</w:t>
      </w:r>
    </w:p>
    <w:p w14:paraId="53E8DAFD" w14:textId="77777777" w:rsidR="00150790" w:rsidRDefault="00150790" w:rsidP="0096729D">
      <w:pPr>
        <w:spacing w:line="360" w:lineRule="auto"/>
      </w:pPr>
    </w:p>
    <w:p w14:paraId="2E40AC91" w14:textId="58134A43" w:rsidR="001C66D0" w:rsidRPr="00363F57" w:rsidRDefault="001C66D0" w:rsidP="00363F57">
      <w:pPr>
        <w:spacing w:line="360" w:lineRule="auto"/>
        <w:jc w:val="both"/>
      </w:pPr>
      <w:r w:rsidRPr="00363F57">
        <w:t xml:space="preserve">Charlotte Beaudart; </w:t>
      </w:r>
      <w:r w:rsidR="00C67664" w:rsidRPr="00363F57">
        <w:t>Department of Public Health, Epidemiology and Health Economics, University of Liège, Liège, Belgium</w:t>
      </w:r>
      <w:r w:rsidRPr="00363F57">
        <w:t xml:space="preserve">; </w:t>
      </w:r>
      <w:hyperlink r:id="rId9" w:history="1">
        <w:r w:rsidRPr="00363F57">
          <w:rPr>
            <w:rStyle w:val="Hyperlink"/>
          </w:rPr>
          <w:t>c.beaudart@ulg.ac.be</w:t>
        </w:r>
      </w:hyperlink>
    </w:p>
    <w:p w14:paraId="32C6D033" w14:textId="3E7A8A7B" w:rsidR="001C66D0" w:rsidRPr="00363F57" w:rsidRDefault="001C66D0" w:rsidP="00363F57">
      <w:pPr>
        <w:spacing w:line="360" w:lineRule="auto"/>
        <w:jc w:val="both"/>
      </w:pPr>
      <w:r w:rsidRPr="00363F57">
        <w:t xml:space="preserve">Eugène McCloskey; </w:t>
      </w:r>
      <w:r w:rsidR="00C67664" w:rsidRPr="00363F57">
        <w:t xml:space="preserve"> </w:t>
      </w:r>
      <w:r w:rsidR="00B52A60">
        <w:rPr>
          <w:rFonts w:ascii="Calibri" w:hAnsi="Calibri"/>
          <w:color w:val="000000"/>
          <w:shd w:val="clear" w:color="auto" w:fill="FDFDFD"/>
        </w:rPr>
        <w:t>Centre for Metabolic Bone Diseases, University of Sheffield, Sheffield, UK; MRC and Arthritis Research UK Centre for Integrated research in Musculoskeletal Ageing (CIMA)</w:t>
      </w:r>
      <w:r w:rsidRPr="00363F57">
        <w:t xml:space="preserve">; </w:t>
      </w:r>
      <w:hyperlink r:id="rId10" w:history="1">
        <w:r w:rsidR="00CD1FB4" w:rsidRPr="005B3A58">
          <w:rPr>
            <w:rStyle w:val="Hyperlink"/>
          </w:rPr>
          <w:t>e.v.mccloskey@sheffield.ac.uk</w:t>
        </w:r>
      </w:hyperlink>
      <w:r w:rsidR="00CD1FB4">
        <w:t xml:space="preserve"> </w:t>
      </w:r>
    </w:p>
    <w:p w14:paraId="3E1D1300" w14:textId="26D7BE55" w:rsidR="001C66D0" w:rsidRPr="00363F57" w:rsidRDefault="00AD1F1F" w:rsidP="00363F57">
      <w:pPr>
        <w:spacing w:line="360" w:lineRule="auto"/>
        <w:jc w:val="both"/>
      </w:pPr>
      <w:r>
        <w:t xml:space="preserve">Olivier Bruyère; </w:t>
      </w:r>
      <w:r w:rsidR="00C67664" w:rsidRPr="00363F57">
        <w:t>Department of Public Health, Epidemiology and Health Economics, University of Liège, Liège, Belgium</w:t>
      </w:r>
      <w:r>
        <w:t>;</w:t>
      </w:r>
      <w:r w:rsidR="00C67664" w:rsidRPr="00363F57">
        <w:t xml:space="preserve"> </w:t>
      </w:r>
      <w:hyperlink r:id="rId11" w:history="1">
        <w:r w:rsidR="001C66D0" w:rsidRPr="00363F57">
          <w:rPr>
            <w:rStyle w:val="Hyperlink"/>
          </w:rPr>
          <w:t>olivier.bruyere@ulg.ac.be</w:t>
        </w:r>
      </w:hyperlink>
    </w:p>
    <w:p w14:paraId="1A7FC6BB" w14:textId="3DAD9A2C" w:rsidR="001C66D0" w:rsidRPr="00363F57" w:rsidRDefault="001C66D0" w:rsidP="00363F57">
      <w:pPr>
        <w:spacing w:line="360" w:lineRule="auto"/>
        <w:jc w:val="both"/>
      </w:pPr>
      <w:r w:rsidRPr="00363F57">
        <w:t xml:space="preserve">Matteo Cesari; </w:t>
      </w:r>
      <w:r w:rsidR="00C67664" w:rsidRPr="00363F57">
        <w:rPr>
          <w:rFonts w:cs="Arial"/>
          <w:color w:val="000000"/>
          <w:shd w:val="clear" w:color="auto" w:fill="FFFFFF"/>
        </w:rPr>
        <w:t>Gérontopôle, University Hospital of Toulouse, Toulouse, France; INSERM UMR1027, University of Toulouse III Paul Sabatier, Toulouse, France</w:t>
      </w:r>
      <w:r w:rsidRPr="00363F57">
        <w:t xml:space="preserve">; </w:t>
      </w:r>
      <w:hyperlink r:id="rId12" w:history="1">
        <w:r w:rsidR="00CD1FB4" w:rsidRPr="005B3A58">
          <w:rPr>
            <w:rStyle w:val="Hyperlink"/>
          </w:rPr>
          <w:t>macesari@gmail.com</w:t>
        </w:r>
      </w:hyperlink>
      <w:r w:rsidR="00CD1FB4">
        <w:t xml:space="preserve"> </w:t>
      </w:r>
    </w:p>
    <w:p w14:paraId="346AD050" w14:textId="2523735D" w:rsidR="001C66D0" w:rsidRPr="00363F57" w:rsidRDefault="001C66D0" w:rsidP="00363F57">
      <w:pPr>
        <w:spacing w:line="360" w:lineRule="auto"/>
        <w:jc w:val="both"/>
      </w:pPr>
      <w:r w:rsidRPr="00363F57">
        <w:t xml:space="preserve">Yves Rolland; </w:t>
      </w:r>
      <w:r w:rsidR="00C67664" w:rsidRPr="00363F57">
        <w:rPr>
          <w:rFonts w:cs="Arial"/>
          <w:color w:val="000000"/>
          <w:shd w:val="clear" w:color="auto" w:fill="FFFFFF"/>
        </w:rPr>
        <w:t>Gérontopôle of Toulouse, University of Toulouse III, CHU Purpan, Toulouse, France</w:t>
      </w:r>
      <w:r w:rsidRPr="00363F57">
        <w:t xml:space="preserve">; </w:t>
      </w:r>
      <w:hyperlink r:id="rId13" w:history="1">
        <w:r w:rsidR="00CD1FB4" w:rsidRPr="005B3A58">
          <w:rPr>
            <w:rStyle w:val="Hyperlink"/>
          </w:rPr>
          <w:t>rolland.y@chu-toulouse.fr</w:t>
        </w:r>
      </w:hyperlink>
      <w:r w:rsidR="00CD1FB4">
        <w:t xml:space="preserve"> </w:t>
      </w:r>
    </w:p>
    <w:p w14:paraId="5244AD2E" w14:textId="480054EA" w:rsidR="001C66D0" w:rsidRPr="002D29B7" w:rsidRDefault="001C66D0" w:rsidP="00363F57">
      <w:pPr>
        <w:spacing w:line="360" w:lineRule="auto"/>
        <w:jc w:val="both"/>
      </w:pPr>
      <w:r w:rsidRPr="00363F57">
        <w:rPr>
          <w:lang w:val="en-US"/>
        </w:rPr>
        <w:t xml:space="preserve">René Rizzoli; </w:t>
      </w:r>
      <w:r w:rsidR="00C67664" w:rsidRPr="00363F57">
        <w:t>Service of Bone Diseases, Faculty of Medicine, Geneva University Hospitals, Geneva, Switzerland</w:t>
      </w:r>
      <w:r w:rsidRPr="002D29B7">
        <w:t xml:space="preserve">; </w:t>
      </w:r>
      <w:hyperlink r:id="rId14" w:history="1">
        <w:r w:rsidR="00CD1FB4" w:rsidRPr="005B3A58">
          <w:rPr>
            <w:rStyle w:val="Hyperlink"/>
          </w:rPr>
          <w:t>rene.rizzoli@unige.ch</w:t>
        </w:r>
      </w:hyperlink>
      <w:r w:rsidR="00CD1FB4">
        <w:t xml:space="preserve"> </w:t>
      </w:r>
    </w:p>
    <w:p w14:paraId="7F8D1CBB" w14:textId="7625FCF5" w:rsidR="001C66D0" w:rsidRPr="002D29B7" w:rsidRDefault="00F50CDB" w:rsidP="00363F57">
      <w:pPr>
        <w:spacing w:line="360" w:lineRule="auto"/>
        <w:jc w:val="both"/>
      </w:pPr>
      <w:r w:rsidRPr="002D29B7">
        <w:t>Islè</w:t>
      </w:r>
      <w:r w:rsidR="001C66D0" w:rsidRPr="002D29B7">
        <w:t xml:space="preserve">ne Araujo de Carvalho; </w:t>
      </w:r>
      <w:r w:rsidR="002D29B7" w:rsidRPr="002D29B7">
        <w:t>World Health Organization, Geneva, Switzerland</w:t>
      </w:r>
      <w:r w:rsidR="001C66D0" w:rsidRPr="002D29B7">
        <w:t xml:space="preserve">; </w:t>
      </w:r>
      <w:hyperlink r:id="rId15" w:history="1">
        <w:r w:rsidR="00CD1FB4" w:rsidRPr="005B3A58">
          <w:rPr>
            <w:rStyle w:val="Hyperlink"/>
          </w:rPr>
          <w:t>araujodecarvalho@who.int</w:t>
        </w:r>
      </w:hyperlink>
      <w:r w:rsidR="00CD1FB4">
        <w:t xml:space="preserve"> </w:t>
      </w:r>
    </w:p>
    <w:p w14:paraId="46DB7FE5" w14:textId="3B8E3842" w:rsidR="001C66D0" w:rsidRPr="002D29B7" w:rsidRDefault="001C66D0" w:rsidP="00363F57">
      <w:pPr>
        <w:spacing w:line="360" w:lineRule="auto"/>
        <w:jc w:val="both"/>
      </w:pPr>
      <w:r w:rsidRPr="00363F57">
        <w:t>J</w:t>
      </w:r>
      <w:r w:rsidRPr="002D29B7">
        <w:t>otheeswaran</w:t>
      </w:r>
      <w:r w:rsidRPr="00363F57">
        <w:t xml:space="preserve"> </w:t>
      </w:r>
      <w:r w:rsidRPr="002D29B7">
        <w:t xml:space="preserve">Amuthavalli Thiyagarajanm; </w:t>
      </w:r>
      <w:r w:rsidR="002D29B7" w:rsidRPr="002D29B7">
        <w:t>World Health Organization, Geneva, Switzerland</w:t>
      </w:r>
      <w:r w:rsidRPr="002D29B7">
        <w:t xml:space="preserve">; </w:t>
      </w:r>
      <w:hyperlink r:id="rId16" w:history="1">
        <w:r w:rsidR="00CD1FB4" w:rsidRPr="005B3A58">
          <w:rPr>
            <w:rStyle w:val="Hyperlink"/>
          </w:rPr>
          <w:t>amuthavallithiya@who.int</w:t>
        </w:r>
      </w:hyperlink>
      <w:r w:rsidR="00CD1FB4">
        <w:t xml:space="preserve"> </w:t>
      </w:r>
    </w:p>
    <w:p w14:paraId="1ADFC8F1" w14:textId="22130C26" w:rsidR="001C66D0" w:rsidRPr="00753175" w:rsidRDefault="001C66D0" w:rsidP="00363F57">
      <w:pPr>
        <w:spacing w:line="360" w:lineRule="auto"/>
        <w:jc w:val="both"/>
        <w:rPr>
          <w:rFonts w:eastAsia="Times New Roman" w:cs="Times New Roman"/>
          <w:lang w:val="fr-BE" w:eastAsia="fr-BE"/>
        </w:rPr>
      </w:pPr>
      <w:r w:rsidRPr="00753175">
        <w:rPr>
          <w:rFonts w:eastAsia="Times New Roman" w:cs="Times New Roman"/>
          <w:lang w:val="fr-BE" w:eastAsia="fr-BE"/>
        </w:rPr>
        <w:lastRenderedPageBreak/>
        <w:t>Ivan Bautmans; </w:t>
      </w:r>
      <w:r w:rsidR="00C67664" w:rsidRPr="00753175">
        <w:rPr>
          <w:rFonts w:eastAsia="Times New Roman" w:cs="Times New Roman"/>
          <w:lang w:val="fr-BE" w:eastAsia="fr-BE"/>
        </w:rPr>
        <w:t>Gerontology and Frailty in Ageing Research Department, Vrije Universiteit Brussel (VUB), Brussels, Belgium</w:t>
      </w:r>
      <w:r w:rsidRPr="00753175">
        <w:rPr>
          <w:rFonts w:eastAsia="Times New Roman" w:cs="Times New Roman"/>
          <w:lang w:val="fr-BE" w:eastAsia="fr-BE"/>
        </w:rPr>
        <w:t xml:space="preserve">; </w:t>
      </w:r>
      <w:hyperlink r:id="rId17" w:history="1">
        <w:r w:rsidR="00CD1FB4" w:rsidRPr="00753175">
          <w:rPr>
            <w:rStyle w:val="Hyperlink"/>
            <w:rFonts w:eastAsia="Times New Roman" w:cs="Times New Roman"/>
            <w:lang w:val="fr-BE" w:eastAsia="fr-BE"/>
          </w:rPr>
          <w:t>ivan.bautmans@vub.ac.be</w:t>
        </w:r>
      </w:hyperlink>
      <w:r w:rsidR="00CD1FB4" w:rsidRPr="00753175">
        <w:rPr>
          <w:rFonts w:eastAsia="Times New Roman" w:cs="Times New Roman"/>
          <w:lang w:val="fr-BE" w:eastAsia="fr-BE"/>
        </w:rPr>
        <w:t xml:space="preserve"> </w:t>
      </w:r>
    </w:p>
    <w:p w14:paraId="31765CCC" w14:textId="4C1890D3" w:rsidR="001C66D0" w:rsidRPr="00363F57" w:rsidRDefault="00F50CDB" w:rsidP="00363F57">
      <w:pPr>
        <w:spacing w:line="360" w:lineRule="auto"/>
        <w:jc w:val="both"/>
        <w:rPr>
          <w:rFonts w:eastAsia="Times New Roman" w:cs="Times New Roman"/>
          <w:lang w:val="fr-BE" w:eastAsia="fr-BE"/>
        </w:rPr>
      </w:pPr>
      <w:r w:rsidRPr="00363F57">
        <w:rPr>
          <w:rFonts w:eastAsia="Times New Roman" w:cs="Times New Roman"/>
          <w:lang w:val="fr-BE" w:eastAsia="fr-BE"/>
        </w:rPr>
        <w:t xml:space="preserve">Marie-Claude </w:t>
      </w:r>
      <w:r w:rsidR="001C66D0" w:rsidRPr="00363F57">
        <w:rPr>
          <w:rFonts w:eastAsia="Times New Roman" w:cs="Times New Roman"/>
          <w:lang w:val="fr-BE" w:eastAsia="fr-BE"/>
        </w:rPr>
        <w:t xml:space="preserve">Bertière; </w:t>
      </w:r>
      <w:r w:rsidR="00C67664" w:rsidRPr="00363F57">
        <w:rPr>
          <w:rFonts w:cs="Arial"/>
          <w:color w:val="000000"/>
          <w:shd w:val="clear" w:color="auto" w:fill="FFFFFF"/>
          <w:lang w:val="fr-BE"/>
        </w:rPr>
        <w:t>Centre de Recherche et d'inform</w:t>
      </w:r>
      <w:r w:rsidR="008863EB">
        <w:rPr>
          <w:rFonts w:cs="Arial"/>
          <w:color w:val="000000"/>
          <w:shd w:val="clear" w:color="auto" w:fill="FFFFFF"/>
          <w:lang w:val="fr-BE"/>
        </w:rPr>
        <w:t>a</w:t>
      </w:r>
      <w:r w:rsidR="00C67664" w:rsidRPr="00363F57">
        <w:rPr>
          <w:rFonts w:cs="Arial"/>
          <w:color w:val="000000"/>
          <w:shd w:val="clear" w:color="auto" w:fill="FFFFFF"/>
          <w:lang w:val="fr-BE"/>
        </w:rPr>
        <w:t>tion Nutritionnelles, Paris</w:t>
      </w:r>
      <w:r w:rsidR="00CD1FB4">
        <w:rPr>
          <w:rFonts w:cs="Arial"/>
          <w:color w:val="000000"/>
          <w:shd w:val="clear" w:color="auto" w:fill="FFFFFF"/>
          <w:lang w:val="fr-BE"/>
        </w:rPr>
        <w:t>, France</w:t>
      </w:r>
      <w:r w:rsidR="001C66D0" w:rsidRPr="00363F57">
        <w:rPr>
          <w:rFonts w:eastAsia="Times New Roman" w:cs="Times New Roman"/>
          <w:lang w:val="fr-BE" w:eastAsia="fr-BE"/>
        </w:rPr>
        <w:t xml:space="preserve">; </w:t>
      </w:r>
      <w:hyperlink r:id="rId18" w:history="1">
        <w:r w:rsidR="00CD1FB4" w:rsidRPr="005B3A58">
          <w:rPr>
            <w:rStyle w:val="Hyperlink"/>
            <w:rFonts w:eastAsia="Times New Roman" w:cs="Times New Roman"/>
            <w:lang w:val="fr-BE" w:eastAsia="fr-BE"/>
          </w:rPr>
          <w:t>mcbertiere@cerin.org</w:t>
        </w:r>
      </w:hyperlink>
      <w:r w:rsidR="00CD1FB4">
        <w:rPr>
          <w:rFonts w:eastAsia="Times New Roman" w:cs="Times New Roman"/>
          <w:lang w:val="fr-BE" w:eastAsia="fr-BE"/>
        </w:rPr>
        <w:t xml:space="preserve"> </w:t>
      </w:r>
    </w:p>
    <w:p w14:paraId="123C9841" w14:textId="77777777" w:rsidR="00877962" w:rsidRDefault="00F50CDB" w:rsidP="00363F57">
      <w:pPr>
        <w:spacing w:line="360" w:lineRule="auto"/>
        <w:jc w:val="both"/>
        <w:rPr>
          <w:rStyle w:val="Hyperlink"/>
          <w:rFonts w:eastAsia="Times New Roman"/>
        </w:rPr>
      </w:pPr>
      <w:r w:rsidRPr="00363F57">
        <w:rPr>
          <w:rFonts w:eastAsia="Times New Roman" w:cs="Times New Roman"/>
          <w:lang w:val="en-US" w:eastAsia="fr-BE"/>
        </w:rPr>
        <w:t xml:space="preserve">Maria </w:t>
      </w:r>
      <w:r w:rsidR="001C66D0" w:rsidRPr="00363F57">
        <w:rPr>
          <w:rFonts w:eastAsia="Times New Roman" w:cs="Times New Roman"/>
          <w:lang w:val="en-US" w:eastAsia="fr-BE"/>
        </w:rPr>
        <w:t>Luisa Brandi;</w:t>
      </w:r>
      <w:r w:rsidR="00B3711A" w:rsidRPr="00363F57">
        <w:rPr>
          <w:rFonts w:eastAsia="Times New Roman" w:cs="Times New Roman"/>
          <w:lang w:val="en-US" w:eastAsia="fr-BE"/>
        </w:rPr>
        <w:t> </w:t>
      </w:r>
      <w:r w:rsidR="00877962">
        <w:rPr>
          <w:rFonts w:eastAsia="Times New Roman"/>
        </w:rPr>
        <w:t>Department of Surgery and Translational Medicine, University of Florence, viale Pieraccini 6, 59139 Florence, Italy.  </w:t>
      </w:r>
      <w:hyperlink r:id="rId19" w:history="1">
        <w:r w:rsidR="00877962">
          <w:rPr>
            <w:rStyle w:val="Hyperlink"/>
            <w:rFonts w:eastAsia="Times New Roman"/>
          </w:rPr>
          <w:t>marialuisa.brandi@unifi.it</w:t>
        </w:r>
      </w:hyperlink>
    </w:p>
    <w:p w14:paraId="3AF4DBEF" w14:textId="77777777" w:rsidR="00605B0E" w:rsidRPr="001B7548" w:rsidRDefault="00605B0E" w:rsidP="00605B0E">
      <w:pPr>
        <w:spacing w:line="360" w:lineRule="auto"/>
        <w:jc w:val="both"/>
        <w:rPr>
          <w:rFonts w:eastAsia="Times New Roman"/>
        </w:rPr>
      </w:pPr>
      <w:r w:rsidRPr="001B7548">
        <w:rPr>
          <w:rFonts w:eastAsia="Times New Roman"/>
        </w:rPr>
        <w:t xml:space="preserve">Nasser </w:t>
      </w:r>
      <w:r>
        <w:rPr>
          <w:rFonts w:eastAsia="Times New Roman"/>
        </w:rPr>
        <w:t xml:space="preserve">M. </w:t>
      </w:r>
      <w:r w:rsidRPr="001B7548">
        <w:rPr>
          <w:rFonts w:eastAsia="Times New Roman"/>
        </w:rPr>
        <w:t xml:space="preserve">Al-Daghri; </w:t>
      </w:r>
      <w:r>
        <w:rPr>
          <w:rFonts w:eastAsia="Times New Roman"/>
        </w:rPr>
        <w:t>Prince Mutaib Chair for Biomarkers of Osteoporosis</w:t>
      </w:r>
      <w:r w:rsidRPr="001B7548">
        <w:rPr>
          <w:rFonts w:eastAsia="Times New Roman"/>
        </w:rPr>
        <w:t xml:space="preserve">, Biochemistry Department, College of Science, King Saud University, Riyadh, 11451, Saudi Arabia; </w:t>
      </w:r>
      <w:hyperlink r:id="rId20" w:history="1">
        <w:r w:rsidRPr="001B7548">
          <w:rPr>
            <w:rFonts w:eastAsia="Times New Roman"/>
          </w:rPr>
          <w:t>aldaghri2011@gmail.com</w:t>
        </w:r>
      </w:hyperlink>
      <w:r>
        <w:rPr>
          <w:rFonts w:eastAsia="Times New Roman"/>
        </w:rPr>
        <w:t xml:space="preserve"> </w:t>
      </w:r>
    </w:p>
    <w:p w14:paraId="093411FB" w14:textId="39A9A438" w:rsidR="001C66D0" w:rsidRPr="00363F57" w:rsidRDefault="001C66D0" w:rsidP="00363F57">
      <w:pPr>
        <w:spacing w:line="360" w:lineRule="auto"/>
        <w:jc w:val="both"/>
        <w:rPr>
          <w:rFonts w:eastAsia="Times New Roman" w:cs="Times New Roman"/>
          <w:lang w:val="en-US" w:eastAsia="fr-BE"/>
        </w:rPr>
      </w:pPr>
      <w:r w:rsidRPr="00363F57">
        <w:rPr>
          <w:rFonts w:eastAsia="Times New Roman" w:cs="Times New Roman"/>
          <w:lang w:val="en-US" w:eastAsia="fr-BE"/>
        </w:rPr>
        <w:t>Nansa Burlet; </w:t>
      </w:r>
      <w:r w:rsidR="00363F57" w:rsidRPr="00363F57">
        <w:rPr>
          <w:rFonts w:cs="Arial"/>
          <w:color w:val="000000"/>
          <w:shd w:val="clear" w:color="auto" w:fill="FFFFFF"/>
        </w:rPr>
        <w:t>Department of Public Health, Epidemiology and Health Economics, University of Liege, Liege, Belgium</w:t>
      </w:r>
      <w:r w:rsidRPr="00363F57">
        <w:rPr>
          <w:rFonts w:cs="Arial"/>
          <w:color w:val="000000"/>
          <w:shd w:val="clear" w:color="auto" w:fill="FFFFFF"/>
        </w:rPr>
        <w:t xml:space="preserve">; </w:t>
      </w:r>
      <w:hyperlink r:id="rId21" w:history="1">
        <w:r w:rsidR="00CD1FB4" w:rsidRPr="005B3A58">
          <w:rPr>
            <w:rStyle w:val="Hyperlink"/>
            <w:rFonts w:cs="Arial"/>
            <w:shd w:val="clear" w:color="auto" w:fill="FFFFFF"/>
          </w:rPr>
          <w:t>nansaburlet@gmail</w:t>
        </w:r>
        <w:r w:rsidR="00CD1FB4" w:rsidRPr="005B3A58">
          <w:rPr>
            <w:rStyle w:val="Hyperlink"/>
            <w:rFonts w:eastAsia="Times New Roman" w:cs="Times New Roman"/>
            <w:lang w:val="en-US" w:eastAsia="fr-BE"/>
          </w:rPr>
          <w:t>.com</w:t>
        </w:r>
      </w:hyperlink>
      <w:r w:rsidR="00CD1FB4">
        <w:rPr>
          <w:rFonts w:eastAsia="Times New Roman" w:cs="Times New Roman"/>
          <w:lang w:val="en-US" w:eastAsia="fr-BE"/>
        </w:rPr>
        <w:t xml:space="preserve"> </w:t>
      </w:r>
    </w:p>
    <w:p w14:paraId="5EF5833C" w14:textId="629C892C" w:rsidR="001C66D0" w:rsidRPr="00363F57" w:rsidRDefault="00E87F8D" w:rsidP="00363F57">
      <w:pPr>
        <w:spacing w:line="360" w:lineRule="auto"/>
        <w:jc w:val="both"/>
        <w:rPr>
          <w:rFonts w:cs="Arial"/>
          <w:color w:val="000000"/>
          <w:shd w:val="clear" w:color="auto" w:fill="FFFFFF"/>
        </w:rPr>
      </w:pPr>
      <w:r>
        <w:rPr>
          <w:lang w:val="en-US"/>
        </w:rPr>
        <w:t>Etienne Cavalier</w:t>
      </w:r>
      <w:r w:rsidR="001C66D0" w:rsidRPr="00363F57">
        <w:rPr>
          <w:lang w:val="en-US"/>
        </w:rPr>
        <w:t>; </w:t>
      </w:r>
      <w:r w:rsidR="00136B79" w:rsidRPr="00363F57">
        <w:rPr>
          <w:rFonts w:cs="Arial"/>
          <w:color w:val="000000"/>
          <w:shd w:val="clear" w:color="auto" w:fill="FFFFFF"/>
        </w:rPr>
        <w:t>Department of Clinical Chemistry, University of Liège, CHU Sart-Tilman, Bât B35, 4000 Liège, Belgium</w:t>
      </w:r>
      <w:r w:rsidR="001C66D0" w:rsidRPr="00363F57">
        <w:rPr>
          <w:rFonts w:cs="Arial"/>
          <w:color w:val="000000"/>
          <w:shd w:val="clear" w:color="auto" w:fill="FFFFFF"/>
        </w:rPr>
        <w:t xml:space="preserve">; </w:t>
      </w:r>
      <w:hyperlink r:id="rId22" w:history="1">
        <w:r w:rsidR="00CD1FB4" w:rsidRPr="005B3A58">
          <w:rPr>
            <w:rStyle w:val="Hyperlink"/>
            <w:rFonts w:cs="Arial"/>
            <w:shd w:val="clear" w:color="auto" w:fill="FFFFFF"/>
          </w:rPr>
          <w:t>etienne.cavalier@chu.ulg.ac.be</w:t>
        </w:r>
      </w:hyperlink>
      <w:r w:rsidR="00CD1FB4">
        <w:rPr>
          <w:rFonts w:cs="Arial"/>
          <w:color w:val="000000"/>
          <w:shd w:val="clear" w:color="auto" w:fill="FFFFFF"/>
        </w:rPr>
        <w:t xml:space="preserve"> </w:t>
      </w:r>
    </w:p>
    <w:p w14:paraId="6054A1A6" w14:textId="064C0704" w:rsidR="001C66D0" w:rsidRPr="00363F57" w:rsidRDefault="00E87F8D" w:rsidP="00363F57">
      <w:pPr>
        <w:spacing w:line="360" w:lineRule="auto"/>
        <w:jc w:val="both"/>
        <w:rPr>
          <w:rFonts w:cs="Arial"/>
          <w:color w:val="000000"/>
          <w:shd w:val="clear" w:color="auto" w:fill="FFFFFF"/>
        </w:rPr>
      </w:pPr>
      <w:r>
        <w:rPr>
          <w:rFonts w:cs="Arial"/>
          <w:color w:val="000000"/>
          <w:shd w:val="clear" w:color="auto" w:fill="FFFFFF"/>
        </w:rPr>
        <w:t>Francesca Cerreta</w:t>
      </w:r>
      <w:r w:rsidR="001C66D0" w:rsidRPr="00363F57">
        <w:rPr>
          <w:rFonts w:cs="Arial"/>
          <w:color w:val="000000"/>
          <w:shd w:val="clear" w:color="auto" w:fill="FFFFFF"/>
        </w:rPr>
        <w:t>; </w:t>
      </w:r>
      <w:r w:rsidR="00363F57" w:rsidRPr="00363F57">
        <w:rPr>
          <w:rFonts w:cs="Arial"/>
          <w:color w:val="000000"/>
          <w:shd w:val="clear" w:color="auto" w:fill="FFFFFF"/>
        </w:rPr>
        <w:t>Human Medicines Research and Development Support Division, Scientific</w:t>
      </w:r>
      <w:r w:rsidR="00CD1FB4">
        <w:rPr>
          <w:rFonts w:cs="Arial"/>
          <w:color w:val="000000"/>
          <w:shd w:val="clear" w:color="auto" w:fill="FFFFFF"/>
        </w:rPr>
        <w:t xml:space="preserve"> Advice, London, UK</w:t>
      </w:r>
      <w:r w:rsidR="001C66D0" w:rsidRPr="00363F57">
        <w:rPr>
          <w:rFonts w:cs="Arial"/>
          <w:color w:val="000000"/>
          <w:shd w:val="clear" w:color="auto" w:fill="FFFFFF"/>
        </w:rPr>
        <w:t xml:space="preserve">; </w:t>
      </w:r>
      <w:hyperlink r:id="rId23" w:history="1">
        <w:r w:rsidR="00B3711A" w:rsidRPr="00363F57">
          <w:rPr>
            <w:rFonts w:cs="Arial"/>
            <w:color w:val="000000"/>
            <w:shd w:val="clear" w:color="auto" w:fill="FFFFFF"/>
          </w:rPr>
          <w:t>francesca.cerreta@ema.europa.eu</w:t>
        </w:r>
      </w:hyperlink>
      <w:r w:rsidR="00CD1FB4">
        <w:rPr>
          <w:rFonts w:cs="Arial"/>
          <w:color w:val="000000"/>
          <w:shd w:val="clear" w:color="auto" w:fill="FFFFFF"/>
        </w:rPr>
        <w:t xml:space="preserve">  </w:t>
      </w:r>
    </w:p>
    <w:p w14:paraId="3C4BD643" w14:textId="26C2AE5F" w:rsidR="00B3711A" w:rsidRPr="00363F57" w:rsidRDefault="00AD1F1F" w:rsidP="00363F57">
      <w:pPr>
        <w:spacing w:line="360" w:lineRule="auto"/>
        <w:jc w:val="both"/>
        <w:rPr>
          <w:rFonts w:cs="Arial"/>
          <w:color w:val="000000"/>
          <w:shd w:val="clear" w:color="auto" w:fill="FFFFFF"/>
        </w:rPr>
      </w:pPr>
      <w:r>
        <w:rPr>
          <w:rFonts w:cs="Arial"/>
          <w:color w:val="000000"/>
          <w:shd w:val="clear" w:color="auto" w:fill="FFFFFF"/>
        </w:rPr>
        <w:t>Antonio Cherubini</w:t>
      </w:r>
      <w:r w:rsidR="00B3711A" w:rsidRPr="00363F57">
        <w:rPr>
          <w:rFonts w:cs="Arial"/>
          <w:color w:val="000000"/>
          <w:shd w:val="clear" w:color="auto" w:fill="FFFFFF"/>
        </w:rPr>
        <w:t xml:space="preserve">; </w:t>
      </w:r>
      <w:r w:rsidR="00C67664" w:rsidRPr="00363F57">
        <w:rPr>
          <w:rFonts w:cs="Arial"/>
          <w:color w:val="000000"/>
          <w:shd w:val="clear" w:color="auto" w:fill="FFFFFF"/>
        </w:rPr>
        <w:t>Geriatrics and Geriatric Emergency Care, IRCCS-INRCA, Ancona, Italy</w:t>
      </w:r>
      <w:r w:rsidR="00B3711A" w:rsidRPr="00363F57">
        <w:rPr>
          <w:rFonts w:cs="Arial"/>
          <w:color w:val="000000"/>
          <w:shd w:val="clear" w:color="auto" w:fill="FFFFFF"/>
        </w:rPr>
        <w:t>; a.cherubini@inrca.it</w:t>
      </w:r>
    </w:p>
    <w:p w14:paraId="73795B65" w14:textId="5875D91D" w:rsidR="00B3711A" w:rsidRPr="00363F57" w:rsidRDefault="00AD1F1F" w:rsidP="00363F57">
      <w:pPr>
        <w:spacing w:line="360" w:lineRule="auto"/>
        <w:jc w:val="both"/>
        <w:rPr>
          <w:lang w:val="en-US"/>
        </w:rPr>
      </w:pPr>
      <w:r>
        <w:rPr>
          <w:lang w:val="en-US"/>
        </w:rPr>
        <w:t>Roger Fielding</w:t>
      </w:r>
      <w:r w:rsidR="00B3711A" w:rsidRPr="00363F57">
        <w:rPr>
          <w:lang w:val="en-US"/>
        </w:rPr>
        <w:t xml:space="preserve">; </w:t>
      </w:r>
      <w:r w:rsidR="00C67664" w:rsidRPr="00363F57">
        <w:rPr>
          <w:rFonts w:cs="Arial"/>
          <w:color w:val="000000"/>
          <w:shd w:val="clear" w:color="auto" w:fill="FFFFFF"/>
        </w:rPr>
        <w:t>Nutrition, Exercise Physiology and Sarcopenia Laboratory, Jean Mayer USDA Human Nutrition Research Center on Aging at Tufts University, Boston, USA</w:t>
      </w:r>
      <w:r w:rsidR="00B3711A" w:rsidRPr="00363F57">
        <w:rPr>
          <w:lang w:val="en-US"/>
        </w:rPr>
        <w:t>; roger.fielding@tufts.edu</w:t>
      </w:r>
    </w:p>
    <w:p w14:paraId="4EB550FF" w14:textId="25E6F3E3" w:rsidR="00B3711A" w:rsidRPr="00877962" w:rsidRDefault="00AD1F1F" w:rsidP="00363F57">
      <w:pPr>
        <w:spacing w:line="360" w:lineRule="auto"/>
        <w:jc w:val="both"/>
        <w:rPr>
          <w:lang w:val="nl-BE"/>
        </w:rPr>
      </w:pPr>
      <w:r w:rsidRPr="00877962">
        <w:rPr>
          <w:lang w:val="nl-BE"/>
        </w:rPr>
        <w:t>Evelien Gielen</w:t>
      </w:r>
      <w:r w:rsidR="00B3711A" w:rsidRPr="00877962">
        <w:rPr>
          <w:lang w:val="nl-BE"/>
        </w:rPr>
        <w:t xml:space="preserve">; </w:t>
      </w:r>
      <w:r w:rsidR="00136B79" w:rsidRPr="00877962">
        <w:rPr>
          <w:rFonts w:cs="Arial"/>
          <w:color w:val="000000"/>
          <w:shd w:val="clear" w:color="auto" w:fill="FFFFFF"/>
          <w:lang w:val="nl-BE"/>
        </w:rPr>
        <w:t>Geriatric Medicine Department, Katholieke Universiteit Leuven, Leuven, Belgium</w:t>
      </w:r>
      <w:r w:rsidR="00B3711A" w:rsidRPr="00877962">
        <w:rPr>
          <w:lang w:val="nl-BE"/>
        </w:rPr>
        <w:t xml:space="preserve">; </w:t>
      </w:r>
      <w:hyperlink r:id="rId24" w:history="1">
        <w:r w:rsidRPr="00877962">
          <w:rPr>
            <w:rStyle w:val="Hyperlink"/>
            <w:lang w:val="nl-BE"/>
          </w:rPr>
          <w:t>evelien.gielen@uzleuven.be</w:t>
        </w:r>
      </w:hyperlink>
      <w:r w:rsidRPr="00877962">
        <w:rPr>
          <w:lang w:val="nl-BE"/>
        </w:rPr>
        <w:t xml:space="preserve"> </w:t>
      </w:r>
    </w:p>
    <w:p w14:paraId="44A87BBB" w14:textId="3C170F2B" w:rsidR="00B3711A" w:rsidRPr="00363F57" w:rsidRDefault="00AD1F1F" w:rsidP="00363F57">
      <w:pPr>
        <w:spacing w:line="360" w:lineRule="auto"/>
        <w:jc w:val="both"/>
        <w:rPr>
          <w:lang w:val="en-US"/>
        </w:rPr>
      </w:pPr>
      <w:r>
        <w:rPr>
          <w:lang w:val="en-US"/>
        </w:rPr>
        <w:t>Francesco Landi</w:t>
      </w:r>
      <w:r w:rsidR="00B3711A" w:rsidRPr="00363F57">
        <w:rPr>
          <w:lang w:val="en-US"/>
        </w:rPr>
        <w:t xml:space="preserve">; </w:t>
      </w:r>
      <w:r w:rsidR="00136B79" w:rsidRPr="00363F57">
        <w:rPr>
          <w:rFonts w:cs="Arial"/>
          <w:color w:val="000000"/>
          <w:shd w:val="clear" w:color="auto" w:fill="FFFFFF"/>
        </w:rPr>
        <w:t>Department of Geriatrics, Neurosciences and Orthopedics, Catholic University of the Sacred Heart Rome, Italy</w:t>
      </w:r>
      <w:r w:rsidR="00136B79" w:rsidRPr="00363F57">
        <w:rPr>
          <w:lang w:val="en-US"/>
        </w:rPr>
        <w:t xml:space="preserve">; </w:t>
      </w:r>
      <w:hyperlink r:id="rId25" w:history="1">
        <w:r w:rsidRPr="005B3A58">
          <w:rPr>
            <w:rStyle w:val="Hyperlink"/>
            <w:lang w:val="en-US"/>
          </w:rPr>
          <w:t>francesco.landi@rm.unicatt.it</w:t>
        </w:r>
      </w:hyperlink>
      <w:r>
        <w:rPr>
          <w:lang w:val="en-US"/>
        </w:rPr>
        <w:t xml:space="preserve"> </w:t>
      </w:r>
    </w:p>
    <w:p w14:paraId="153F639C" w14:textId="5CB5FAFB" w:rsidR="00B3711A" w:rsidRPr="00363F57" w:rsidRDefault="00AD1F1F" w:rsidP="00363F57">
      <w:pPr>
        <w:spacing w:line="360" w:lineRule="auto"/>
        <w:jc w:val="both"/>
        <w:rPr>
          <w:lang w:val="en-US"/>
        </w:rPr>
      </w:pPr>
      <w:r>
        <w:rPr>
          <w:lang w:val="en-US"/>
        </w:rPr>
        <w:t>Jean Petermans</w:t>
      </w:r>
      <w:r w:rsidR="00B3711A" w:rsidRPr="00363F57">
        <w:rPr>
          <w:lang w:val="en-US"/>
        </w:rPr>
        <w:t>; </w:t>
      </w:r>
      <w:r w:rsidR="00136B79" w:rsidRPr="00363F57">
        <w:rPr>
          <w:rFonts w:cs="Arial"/>
          <w:color w:val="000000"/>
          <w:shd w:val="clear" w:color="auto" w:fill="FFFFFF"/>
        </w:rPr>
        <w:t>Geriatric Department, CHU Sart-Tilman, Bât B35, 4000 Liège, Belgium</w:t>
      </w:r>
      <w:r w:rsidR="00B3711A" w:rsidRPr="00363F57">
        <w:rPr>
          <w:lang w:val="en-US"/>
        </w:rPr>
        <w:t xml:space="preserve">; </w:t>
      </w:r>
      <w:hyperlink r:id="rId26" w:history="1">
        <w:r w:rsidRPr="005B3A58">
          <w:rPr>
            <w:rStyle w:val="Hyperlink"/>
            <w:lang w:val="en-US"/>
          </w:rPr>
          <w:t>jean.petermans@chu.ulg.ac.be</w:t>
        </w:r>
      </w:hyperlink>
      <w:r>
        <w:rPr>
          <w:lang w:val="en-US"/>
        </w:rPr>
        <w:t xml:space="preserve"> </w:t>
      </w:r>
    </w:p>
    <w:p w14:paraId="67BD7FC9" w14:textId="5C9A356B" w:rsidR="00B3711A" w:rsidRPr="00363F57" w:rsidRDefault="00AD1F1F" w:rsidP="00363F57">
      <w:pPr>
        <w:spacing w:line="360" w:lineRule="auto"/>
        <w:jc w:val="both"/>
        <w:rPr>
          <w:lang w:val="en-US"/>
        </w:rPr>
      </w:pPr>
      <w:r>
        <w:rPr>
          <w:lang w:val="en-US"/>
        </w:rPr>
        <w:t>Jean-Yves Reginster</w:t>
      </w:r>
      <w:r w:rsidR="00B3711A" w:rsidRPr="00363F57">
        <w:rPr>
          <w:lang w:val="en-US"/>
        </w:rPr>
        <w:t xml:space="preserve">; </w:t>
      </w:r>
      <w:r w:rsidR="00136B79" w:rsidRPr="00363F57">
        <w:t>Department of Public Health, Epidemiology and Health Economics, University of Liège, Liège, Belgium</w:t>
      </w:r>
      <w:r w:rsidR="00B3711A" w:rsidRPr="00363F57">
        <w:rPr>
          <w:lang w:val="en-US"/>
        </w:rPr>
        <w:t xml:space="preserve">; </w:t>
      </w:r>
      <w:hyperlink r:id="rId27" w:history="1">
        <w:r w:rsidRPr="005B3A58">
          <w:rPr>
            <w:rStyle w:val="Hyperlink"/>
            <w:lang w:val="en-US"/>
          </w:rPr>
          <w:t>jyr.ch@bluewin.ch</w:t>
        </w:r>
      </w:hyperlink>
      <w:r>
        <w:rPr>
          <w:lang w:val="en-US"/>
        </w:rPr>
        <w:t xml:space="preserve"> </w:t>
      </w:r>
    </w:p>
    <w:p w14:paraId="776C37F5" w14:textId="086AC88C" w:rsidR="00B3711A" w:rsidRPr="00363F57" w:rsidRDefault="00AD1F1F" w:rsidP="00363F57">
      <w:pPr>
        <w:spacing w:line="360" w:lineRule="auto"/>
        <w:jc w:val="both"/>
        <w:rPr>
          <w:lang w:val="en-US"/>
        </w:rPr>
      </w:pPr>
      <w:r>
        <w:rPr>
          <w:lang w:val="en-US"/>
        </w:rPr>
        <w:t>Marjolein Visser</w:t>
      </w:r>
      <w:r w:rsidR="00B3711A" w:rsidRPr="00363F57">
        <w:rPr>
          <w:lang w:val="en-US"/>
        </w:rPr>
        <w:t>;</w:t>
      </w:r>
      <w:r w:rsidR="00511196" w:rsidRPr="00511196">
        <w:rPr>
          <w:rFonts w:ascii="Calibri" w:hAnsi="Calibri"/>
          <w:color w:val="1F497D"/>
          <w:lang w:val="en-US"/>
        </w:rPr>
        <w:t xml:space="preserve"> </w:t>
      </w:r>
      <w:r w:rsidR="00511196" w:rsidRPr="00511196">
        <w:t>Department of Health Sciences, VU University Amsterdam, Amsterdam, Netherlands</w:t>
      </w:r>
      <w:r w:rsidR="00B3711A" w:rsidRPr="00511196">
        <w:t>;</w:t>
      </w:r>
      <w:r w:rsidR="00511196" w:rsidRPr="00511196">
        <w:t xml:space="preserve"> Department of Nutrition and Dietetics, Internal Medicine, VU University Medical</w:t>
      </w:r>
      <w:r w:rsidR="00511196">
        <w:t xml:space="preserve"> Center, Amsterdam, Netherlands ;</w:t>
      </w:r>
      <w:r w:rsidR="00B3711A" w:rsidRPr="00363F57">
        <w:rPr>
          <w:lang w:val="en-US"/>
        </w:rPr>
        <w:t xml:space="preserve"> </w:t>
      </w:r>
      <w:hyperlink r:id="rId28" w:history="1">
        <w:r w:rsidRPr="005B3A58">
          <w:rPr>
            <w:rStyle w:val="Hyperlink"/>
            <w:lang w:val="en-US"/>
          </w:rPr>
          <w:t>m.visser@vu.nl</w:t>
        </w:r>
      </w:hyperlink>
      <w:r>
        <w:rPr>
          <w:lang w:val="en-US"/>
        </w:rPr>
        <w:t xml:space="preserve"> </w:t>
      </w:r>
    </w:p>
    <w:p w14:paraId="2F1112ED" w14:textId="5AF4BE1B" w:rsidR="00B3711A" w:rsidRPr="00363F57" w:rsidRDefault="00AD1F1F" w:rsidP="00363F57">
      <w:pPr>
        <w:spacing w:line="360" w:lineRule="auto"/>
        <w:jc w:val="both"/>
        <w:rPr>
          <w:lang w:val="en-US"/>
        </w:rPr>
      </w:pPr>
      <w:r>
        <w:rPr>
          <w:lang w:val="en-US"/>
        </w:rPr>
        <w:lastRenderedPageBreak/>
        <w:t>John Kanis</w:t>
      </w:r>
      <w:r w:rsidR="00B3711A" w:rsidRPr="00363F57">
        <w:rPr>
          <w:lang w:val="en-US"/>
        </w:rPr>
        <w:t>;</w:t>
      </w:r>
      <w:r w:rsidR="00C67664" w:rsidRPr="00363F57">
        <w:t xml:space="preserve"> </w:t>
      </w:r>
      <w:r w:rsidR="0029226E">
        <w:t xml:space="preserve">Centre for Metabolic Bone Diseases, University of Sheffield, Sheffield, UK; Institute for Health and Aging, Catholic University of Australia, Melbourne, Australia </w:t>
      </w:r>
      <w:r w:rsidR="00C67664" w:rsidRPr="00363F57">
        <w:t>;</w:t>
      </w:r>
      <w:r w:rsidR="00B3711A" w:rsidRPr="00363F57">
        <w:rPr>
          <w:lang w:val="en-US"/>
        </w:rPr>
        <w:t xml:space="preserve"> </w:t>
      </w:r>
      <w:hyperlink r:id="rId29" w:history="1">
        <w:r w:rsidRPr="005B3A58">
          <w:rPr>
            <w:rStyle w:val="Hyperlink"/>
            <w:lang w:val="en-US"/>
          </w:rPr>
          <w:t>jakanis@outlook.com</w:t>
        </w:r>
      </w:hyperlink>
      <w:r>
        <w:rPr>
          <w:lang w:val="en-US"/>
        </w:rPr>
        <w:t xml:space="preserve"> </w:t>
      </w:r>
    </w:p>
    <w:p w14:paraId="0C903318" w14:textId="3F0EEB89" w:rsidR="00B3711A" w:rsidRPr="00363F57" w:rsidRDefault="00AD1F1F" w:rsidP="00363F57">
      <w:pPr>
        <w:spacing w:line="360" w:lineRule="auto"/>
        <w:jc w:val="both"/>
        <w:rPr>
          <w:lang w:val="en-US"/>
        </w:rPr>
      </w:pPr>
      <w:r>
        <w:rPr>
          <w:lang w:val="en-US"/>
        </w:rPr>
        <w:t>Cyrus Cooper</w:t>
      </w:r>
      <w:r w:rsidR="00B3711A" w:rsidRPr="00363F57">
        <w:rPr>
          <w:lang w:val="en-US"/>
        </w:rPr>
        <w:t xml:space="preserve">; </w:t>
      </w:r>
      <w:r w:rsidR="00871BD6">
        <w:t>MRC Lifecourse Epidemiology Unit, University of Southampton, Southampton, England, UK; NIHR Musculoskeletal Biomedical Research Unit, University of Oxford, Oxford, UK</w:t>
      </w:r>
      <w:r w:rsidR="00B3711A" w:rsidRPr="00363F57">
        <w:rPr>
          <w:lang w:val="en-US"/>
        </w:rPr>
        <w:t xml:space="preserve">; </w:t>
      </w:r>
      <w:hyperlink r:id="rId30" w:history="1">
        <w:r w:rsidRPr="005B3A58">
          <w:rPr>
            <w:rStyle w:val="Hyperlink"/>
            <w:lang w:val="en-US"/>
          </w:rPr>
          <w:t>cc@mrc.soton.ac.uk</w:t>
        </w:r>
      </w:hyperlink>
      <w:r>
        <w:rPr>
          <w:lang w:val="en-US"/>
        </w:rPr>
        <w:t xml:space="preserve"> </w:t>
      </w:r>
    </w:p>
    <w:p w14:paraId="7CC7AE86" w14:textId="77777777" w:rsidR="001C66D0" w:rsidRPr="00C67664" w:rsidRDefault="001C66D0" w:rsidP="0096729D">
      <w:pPr>
        <w:spacing w:line="360" w:lineRule="auto"/>
        <w:rPr>
          <w:lang w:val="en-US"/>
        </w:rPr>
      </w:pPr>
    </w:p>
    <w:p w14:paraId="7EBB357C" w14:textId="7CC62D30" w:rsidR="00B43758" w:rsidRPr="000B0221" w:rsidRDefault="00B43758" w:rsidP="0096729D">
      <w:pPr>
        <w:spacing w:line="360" w:lineRule="auto"/>
        <w:rPr>
          <w:i/>
        </w:rPr>
      </w:pPr>
      <w:r w:rsidRPr="000B0221">
        <w:rPr>
          <w:i/>
        </w:rPr>
        <w:t xml:space="preserve">Corresponding author: </w:t>
      </w:r>
    </w:p>
    <w:p w14:paraId="6EFFCD68" w14:textId="606ABCAF" w:rsidR="00B43758" w:rsidRPr="000B0221" w:rsidRDefault="00B43758" w:rsidP="0096729D">
      <w:pPr>
        <w:spacing w:line="360" w:lineRule="auto"/>
      </w:pPr>
      <w:r w:rsidRPr="000B0221">
        <w:t>Charlotte Beaudart</w:t>
      </w:r>
    </w:p>
    <w:p w14:paraId="79D56D7F" w14:textId="485A6A53" w:rsidR="00B43758" w:rsidRPr="000B0221" w:rsidRDefault="00B43758" w:rsidP="0096729D">
      <w:pPr>
        <w:spacing w:line="360" w:lineRule="auto"/>
        <w:rPr>
          <w:i/>
        </w:rPr>
      </w:pPr>
      <w:r w:rsidRPr="000B0221">
        <w:rPr>
          <w:i/>
        </w:rPr>
        <w:t xml:space="preserve">Email. </w:t>
      </w:r>
      <w:hyperlink r:id="rId31" w:history="1">
        <w:r w:rsidRPr="000B0221">
          <w:rPr>
            <w:rStyle w:val="Hyperlink"/>
            <w:i/>
          </w:rPr>
          <w:t>c.beaudart@ulg.ac.be</w:t>
        </w:r>
      </w:hyperlink>
    </w:p>
    <w:p w14:paraId="20D34135" w14:textId="2E359E0B" w:rsidR="00B43758" w:rsidRPr="000B0221" w:rsidRDefault="00B43758" w:rsidP="0096729D">
      <w:pPr>
        <w:spacing w:line="360" w:lineRule="auto"/>
        <w:rPr>
          <w:i/>
        </w:rPr>
      </w:pPr>
      <w:r w:rsidRPr="000B0221">
        <w:rPr>
          <w:i/>
        </w:rPr>
        <w:t>Tel. 0032 43664933</w:t>
      </w:r>
    </w:p>
    <w:p w14:paraId="321D6EEF" w14:textId="136D37D4" w:rsidR="00B43758" w:rsidRPr="000B0221" w:rsidRDefault="00B43758" w:rsidP="0096729D">
      <w:pPr>
        <w:spacing w:line="360" w:lineRule="auto"/>
        <w:rPr>
          <w:i/>
        </w:rPr>
      </w:pPr>
      <w:r w:rsidRPr="000B0221">
        <w:rPr>
          <w:i/>
        </w:rPr>
        <w:t>Fax. 0032 43662812</w:t>
      </w:r>
    </w:p>
    <w:p w14:paraId="52C2BA2D" w14:textId="7323AB3C" w:rsidR="00B43758" w:rsidRPr="000B0221" w:rsidRDefault="00B43758" w:rsidP="0096729D">
      <w:pPr>
        <w:spacing w:line="360" w:lineRule="auto"/>
        <w:rPr>
          <w:i/>
        </w:rPr>
      </w:pPr>
      <w:r w:rsidRPr="000B0221">
        <w:rPr>
          <w:i/>
        </w:rPr>
        <w:t>Address. Avenue Hippocrate 13, CHU B23, 4000 Liège BELGIUM</w:t>
      </w:r>
    </w:p>
    <w:p w14:paraId="59C09428" w14:textId="77777777" w:rsidR="00B43758" w:rsidRPr="000B0221" w:rsidRDefault="00B43758" w:rsidP="0096729D">
      <w:pPr>
        <w:spacing w:line="360" w:lineRule="auto"/>
      </w:pPr>
    </w:p>
    <w:p w14:paraId="4DACC37F" w14:textId="77777777" w:rsidR="00B43758" w:rsidRPr="000B0221" w:rsidRDefault="00B43758">
      <w:r w:rsidRPr="000B0221">
        <w:br w:type="page"/>
      </w:r>
    </w:p>
    <w:p w14:paraId="3791ABB1" w14:textId="77777777" w:rsidR="00B43758" w:rsidRPr="004B0C0A" w:rsidRDefault="00B43758">
      <w:pPr>
        <w:rPr>
          <w:b/>
        </w:rPr>
      </w:pPr>
      <w:r w:rsidRPr="004B0C0A">
        <w:rPr>
          <w:b/>
        </w:rPr>
        <w:lastRenderedPageBreak/>
        <w:t>Abstract</w:t>
      </w:r>
    </w:p>
    <w:p w14:paraId="66205CD8" w14:textId="77777777" w:rsidR="00C25D9C" w:rsidRDefault="00A672A5" w:rsidP="003D7361">
      <w:pPr>
        <w:spacing w:line="360" w:lineRule="auto"/>
        <w:jc w:val="both"/>
      </w:pPr>
      <w:r w:rsidRPr="006E24F7">
        <w:rPr>
          <w:i/>
        </w:rPr>
        <w:t>Background</w:t>
      </w:r>
      <w:r>
        <w:t xml:space="preserve">: </w:t>
      </w:r>
      <w:r w:rsidR="00563F48" w:rsidRPr="000B0221">
        <w:t xml:space="preserve">Sarcopenia is increasingly recognized as a </w:t>
      </w:r>
      <w:r w:rsidR="00963970" w:rsidRPr="000B0221">
        <w:t xml:space="preserve">correlate </w:t>
      </w:r>
      <w:r w:rsidR="00563F48" w:rsidRPr="000B0221">
        <w:t>of ageing and is associated with increased likelihood of adverse outcomes including falls, fractures, frailty and mortality</w:t>
      </w:r>
      <w:r w:rsidR="00131988" w:rsidRPr="000B0221">
        <w:t>. Several t</w:t>
      </w:r>
      <w:r w:rsidR="00814B11" w:rsidRPr="000B0221">
        <w:t xml:space="preserve">ools </w:t>
      </w:r>
      <w:r w:rsidR="000479F9" w:rsidRPr="000B0221">
        <w:t xml:space="preserve">have been </w:t>
      </w:r>
      <w:r w:rsidR="00814B11" w:rsidRPr="000B0221">
        <w:t>recommended</w:t>
      </w:r>
      <w:r w:rsidR="00BC765D" w:rsidRPr="000B0221">
        <w:t xml:space="preserve"> to assess</w:t>
      </w:r>
      <w:r w:rsidR="00131988" w:rsidRPr="000B0221">
        <w:t xml:space="preserve"> muscle mass, muscle strength and physical pe</w:t>
      </w:r>
      <w:r w:rsidR="00BC765D" w:rsidRPr="000B0221">
        <w:t xml:space="preserve">rformance in clinical trials. </w:t>
      </w:r>
      <w:r w:rsidR="000479F9" w:rsidRPr="000B0221">
        <w:t xml:space="preserve">Whilst </w:t>
      </w:r>
      <w:r w:rsidR="00BC765D" w:rsidRPr="000B0221">
        <w:t xml:space="preserve">these tools </w:t>
      </w:r>
      <w:r w:rsidR="000479F9" w:rsidRPr="000B0221">
        <w:t xml:space="preserve">have proven </w:t>
      </w:r>
      <w:r w:rsidR="00BC765D" w:rsidRPr="000B0221">
        <w:t>to be accurate and reliable in investigational settings</w:t>
      </w:r>
      <w:r w:rsidR="00131988" w:rsidRPr="000B0221">
        <w:t xml:space="preserve">, </w:t>
      </w:r>
      <w:r w:rsidR="00BF6758" w:rsidRPr="000B0221">
        <w:t>many are</w:t>
      </w:r>
      <w:r w:rsidR="000479F9" w:rsidRPr="000B0221">
        <w:t xml:space="preserve"> </w:t>
      </w:r>
      <w:r w:rsidR="00ED07D8" w:rsidRPr="000B0221">
        <w:t>not easily</w:t>
      </w:r>
      <w:r w:rsidR="00BC765D" w:rsidRPr="000B0221">
        <w:t xml:space="preserve"> </w:t>
      </w:r>
      <w:r w:rsidR="005405B8" w:rsidRPr="000B0221">
        <w:t>applied</w:t>
      </w:r>
      <w:r w:rsidR="000479F9" w:rsidRPr="000B0221">
        <w:t xml:space="preserve"> </w:t>
      </w:r>
      <w:r w:rsidR="005405B8" w:rsidRPr="000B0221">
        <w:t xml:space="preserve">to </w:t>
      </w:r>
      <w:r w:rsidR="00131988" w:rsidRPr="000B0221">
        <w:t xml:space="preserve">daily practice. </w:t>
      </w:r>
    </w:p>
    <w:p w14:paraId="6A9CE02D" w14:textId="77777777" w:rsidR="00C25D9C" w:rsidRDefault="006E24F7" w:rsidP="003D7361">
      <w:pPr>
        <w:spacing w:line="360" w:lineRule="auto"/>
        <w:jc w:val="both"/>
        <w:rPr>
          <w:color w:val="000000" w:themeColor="text1"/>
        </w:rPr>
      </w:pPr>
      <w:r w:rsidRPr="006E24F7">
        <w:rPr>
          <w:i/>
        </w:rPr>
        <w:t>Methods</w:t>
      </w:r>
      <w:r>
        <w:t>: This paper is based on literature reviews performed by members of the</w:t>
      </w:r>
      <w:r w:rsidRPr="000B0221">
        <w:rPr>
          <w:color w:val="000000" w:themeColor="text1"/>
        </w:rPr>
        <w:t xml:space="preserve"> European Society for Clinical and Economic Aspects of Osteoporosis and Osteoarthritis (ESCEO) working group on frailty and sarcopenia</w:t>
      </w:r>
      <w:r w:rsidR="00723AE5">
        <w:rPr>
          <w:color w:val="000000" w:themeColor="text1"/>
        </w:rPr>
        <w:t>. F</w:t>
      </w:r>
      <w:r w:rsidRPr="000B0221">
        <w:rPr>
          <w:color w:val="000000" w:themeColor="text1"/>
        </w:rPr>
        <w:t>ace-to-face meeting</w:t>
      </w:r>
      <w:r w:rsidR="00723AE5">
        <w:rPr>
          <w:color w:val="000000" w:themeColor="text1"/>
        </w:rPr>
        <w:t>s</w:t>
      </w:r>
      <w:r w:rsidRPr="000B0221">
        <w:rPr>
          <w:color w:val="000000" w:themeColor="text1"/>
        </w:rPr>
        <w:t xml:space="preserve"> </w:t>
      </w:r>
      <w:r w:rsidR="00723AE5">
        <w:rPr>
          <w:color w:val="000000" w:themeColor="text1"/>
        </w:rPr>
        <w:t xml:space="preserve">were afterwards organized </w:t>
      </w:r>
      <w:r w:rsidRPr="000B0221">
        <w:rPr>
          <w:color w:val="000000" w:themeColor="text1"/>
        </w:rPr>
        <w:t>for the whole group to make amendments and discuss further recommendations</w:t>
      </w:r>
      <w:r>
        <w:rPr>
          <w:color w:val="000000" w:themeColor="text1"/>
        </w:rPr>
        <w:t>.</w:t>
      </w:r>
      <w:r w:rsidRPr="000B0221">
        <w:rPr>
          <w:color w:val="000000" w:themeColor="text1"/>
        </w:rPr>
        <w:t xml:space="preserve"> </w:t>
      </w:r>
    </w:p>
    <w:p w14:paraId="03958C5A" w14:textId="77777777" w:rsidR="00C25D9C" w:rsidRDefault="006E24F7" w:rsidP="003D7361">
      <w:pPr>
        <w:spacing w:line="360" w:lineRule="auto"/>
        <w:jc w:val="both"/>
      </w:pPr>
      <w:r w:rsidRPr="006E24F7">
        <w:rPr>
          <w:i/>
          <w:color w:val="000000" w:themeColor="text1"/>
        </w:rPr>
        <w:t>Results</w:t>
      </w:r>
      <w:r>
        <w:rPr>
          <w:color w:val="000000" w:themeColor="text1"/>
        </w:rPr>
        <w:t>:</w:t>
      </w:r>
      <w:r>
        <w:t xml:space="preserve"> T</w:t>
      </w:r>
      <w:r w:rsidR="00131988" w:rsidRPr="000B0221">
        <w:t xml:space="preserve">his paper </w:t>
      </w:r>
      <w:r w:rsidR="002D4147">
        <w:t>proposes</w:t>
      </w:r>
      <w:r w:rsidR="005405B8" w:rsidRPr="000B0221">
        <w:t xml:space="preserve"> </w:t>
      </w:r>
      <w:r w:rsidR="00814B11" w:rsidRPr="000B0221">
        <w:t xml:space="preserve">some </w:t>
      </w:r>
      <w:r w:rsidR="00BC765D" w:rsidRPr="000B0221">
        <w:t xml:space="preserve">user-friendly and </w:t>
      </w:r>
      <w:r w:rsidR="000479F9" w:rsidRPr="000B0221">
        <w:t>inexpensive</w:t>
      </w:r>
      <w:r w:rsidR="00BC765D" w:rsidRPr="000B0221">
        <w:t xml:space="preserve"> methods </w:t>
      </w:r>
      <w:r w:rsidR="005405B8" w:rsidRPr="000B0221">
        <w:t xml:space="preserve">that can </w:t>
      </w:r>
      <w:r w:rsidR="00BC765D" w:rsidRPr="000B0221">
        <w:t xml:space="preserve">be used </w:t>
      </w:r>
      <w:r w:rsidR="005405B8" w:rsidRPr="000B0221">
        <w:t xml:space="preserve">to assess sarcopenia </w:t>
      </w:r>
      <w:r w:rsidR="00BC765D" w:rsidRPr="000B0221">
        <w:t>in real-life settings</w:t>
      </w:r>
      <w:r w:rsidR="00131988" w:rsidRPr="000B0221">
        <w:t xml:space="preserve">. </w:t>
      </w:r>
      <w:r w:rsidR="00723AE5" w:rsidRPr="000B0221">
        <w:t xml:space="preserve">Healthcare providers, particularly in primary care, should consider an assessment of sarcopenia in individuals at increased risk; suggested tools for assessing risk include the </w:t>
      </w:r>
      <w:r w:rsidR="00723AE5">
        <w:t xml:space="preserve">Red Flag Method, the </w:t>
      </w:r>
      <w:r w:rsidR="00723AE5" w:rsidRPr="000B0221">
        <w:t>SARC-F questionnaire, the SMI method or different prediction equations</w:t>
      </w:r>
      <w:r w:rsidR="00723AE5">
        <w:t xml:space="preserve">. </w:t>
      </w:r>
      <w:r w:rsidR="00620506" w:rsidRPr="000B0221">
        <w:t>Management of sarcopenia</w:t>
      </w:r>
      <w:r w:rsidR="00BC765D" w:rsidRPr="000B0221">
        <w:t xml:space="preserve"> should </w:t>
      </w:r>
      <w:r w:rsidR="00B11F75">
        <w:t>primarily be patient centered and involve the combination of both resistance and endurance based activity programmes with or without dietary interventions</w:t>
      </w:r>
      <w:r w:rsidR="005B3EE3" w:rsidRPr="000B0221">
        <w:t>.</w:t>
      </w:r>
      <w:r w:rsidR="003A2C7B" w:rsidRPr="000B0221">
        <w:t xml:space="preserve"> </w:t>
      </w:r>
      <w:r w:rsidR="00563F48" w:rsidRPr="000B0221">
        <w:t xml:space="preserve">Development of a number of pharmacological interventions is </w:t>
      </w:r>
      <w:r w:rsidR="00723AE5">
        <w:t xml:space="preserve">also </w:t>
      </w:r>
      <w:r w:rsidR="00563F48" w:rsidRPr="000B0221">
        <w:t>in progress.</w:t>
      </w:r>
      <w:r w:rsidR="00602653" w:rsidRPr="000B0221">
        <w:t xml:space="preserve"> </w:t>
      </w:r>
    </w:p>
    <w:p w14:paraId="56445FBE" w14:textId="1B361AEF" w:rsidR="003D7361" w:rsidRPr="000B0221" w:rsidRDefault="00723AE5" w:rsidP="003D7361">
      <w:pPr>
        <w:spacing w:line="360" w:lineRule="auto"/>
        <w:jc w:val="both"/>
      </w:pPr>
      <w:r w:rsidRPr="00723AE5">
        <w:rPr>
          <w:i/>
        </w:rPr>
        <w:t>Conclusions</w:t>
      </w:r>
      <w:r>
        <w:t>: A</w:t>
      </w:r>
      <w:r w:rsidR="003D7361" w:rsidRPr="000B0221">
        <w:t xml:space="preserve">ssessment of sarcopenia in individuals with risk factors, symptoms and/or conditions exposing them to the risk of disability </w:t>
      </w:r>
      <w:r w:rsidR="005B3EE3" w:rsidRPr="000B0221">
        <w:t>will</w:t>
      </w:r>
      <w:r w:rsidR="00EC5483" w:rsidRPr="000B0221">
        <w:t xml:space="preserve"> </w:t>
      </w:r>
      <w:r w:rsidR="003D7361" w:rsidRPr="000B0221">
        <w:t xml:space="preserve">become particularly important in the </w:t>
      </w:r>
      <w:r w:rsidR="005B3EE3" w:rsidRPr="000B0221">
        <w:t xml:space="preserve">near </w:t>
      </w:r>
      <w:r w:rsidR="003D7361" w:rsidRPr="000B0221">
        <w:t>future</w:t>
      </w:r>
      <w:r w:rsidR="00605B0E">
        <w:t>.</w:t>
      </w:r>
      <w:r w:rsidR="003D7361" w:rsidRPr="000B0221">
        <w:t xml:space="preserve"> </w:t>
      </w:r>
    </w:p>
    <w:p w14:paraId="5EE869C8" w14:textId="1A7D3B82" w:rsidR="00131988" w:rsidRDefault="00131988" w:rsidP="00131988">
      <w:pPr>
        <w:spacing w:line="360" w:lineRule="auto"/>
        <w:jc w:val="both"/>
      </w:pPr>
    </w:p>
    <w:p w14:paraId="7F561186" w14:textId="23EB4A47" w:rsidR="004B0C0A" w:rsidRPr="004B0C0A" w:rsidRDefault="004B0C0A" w:rsidP="00131988">
      <w:pPr>
        <w:spacing w:line="360" w:lineRule="auto"/>
        <w:jc w:val="both"/>
        <w:rPr>
          <w:b/>
        </w:rPr>
      </w:pPr>
      <w:r w:rsidRPr="004B0C0A">
        <w:rPr>
          <w:b/>
        </w:rPr>
        <w:t>Keywords</w:t>
      </w:r>
    </w:p>
    <w:p w14:paraId="3530F2DB" w14:textId="099E54F3" w:rsidR="00B43758" w:rsidRPr="000B0221" w:rsidRDefault="004B0C0A" w:rsidP="00131988">
      <w:pPr>
        <w:spacing w:line="360" w:lineRule="auto"/>
      </w:pPr>
      <w:r>
        <w:t>Sarcopenia, daily practice, assessment, management, tools</w:t>
      </w:r>
      <w:r w:rsidR="00B43758" w:rsidRPr="000B0221">
        <w:br w:type="page"/>
      </w:r>
    </w:p>
    <w:p w14:paraId="0CC2AB2F" w14:textId="03D56F98" w:rsidR="00C46900" w:rsidRPr="004B0C0A" w:rsidRDefault="00353EDE" w:rsidP="0096729D">
      <w:pPr>
        <w:spacing w:line="360" w:lineRule="auto"/>
        <w:rPr>
          <w:b/>
        </w:rPr>
      </w:pPr>
      <w:r>
        <w:rPr>
          <w:b/>
        </w:rPr>
        <w:lastRenderedPageBreak/>
        <w:t xml:space="preserve">Background </w:t>
      </w:r>
      <w:r w:rsidRPr="004B0C0A">
        <w:rPr>
          <w:b/>
        </w:rPr>
        <w:t xml:space="preserve"> </w:t>
      </w:r>
    </w:p>
    <w:p w14:paraId="3B1DA0F0" w14:textId="636D6D82" w:rsidR="002F4D82" w:rsidRPr="000B0221" w:rsidRDefault="00605B0E" w:rsidP="00A85BA3">
      <w:pPr>
        <w:spacing w:line="360" w:lineRule="auto"/>
        <w:jc w:val="both"/>
      </w:pPr>
      <w:r>
        <w:t>T</w:t>
      </w:r>
      <w:r w:rsidR="00632582" w:rsidRPr="000B0221">
        <w:t>he</w:t>
      </w:r>
      <w:r w:rsidR="00814B11" w:rsidRPr="000B0221">
        <w:t xml:space="preserve"> term sarcopenia was</w:t>
      </w:r>
      <w:r w:rsidR="00632582" w:rsidRPr="000B0221">
        <w:t xml:space="preserve"> </w:t>
      </w:r>
      <w:r w:rsidR="0014243A" w:rsidRPr="000B0221">
        <w:t xml:space="preserve">first </w:t>
      </w:r>
      <w:r w:rsidR="00D05002" w:rsidRPr="000B0221">
        <w:t xml:space="preserve">coined </w:t>
      </w:r>
      <w:r w:rsidR="00960BFC" w:rsidRPr="000B0221">
        <w:t>by Rosenberg et al. in 1989</w:t>
      </w:r>
      <w:r w:rsidR="00632582" w:rsidRPr="000B0221">
        <w:t xml:space="preserve"> </w:t>
      </w:r>
      <w:r w:rsidR="00960BFC" w:rsidRPr="000B0221">
        <w:fldChar w:fldCharType="begin" w:fldLock="1"/>
      </w:r>
      <w:r w:rsidR="007E0300">
        <w:instrText>ADDIN CSL_CITATION { "citationItems" : [ { "id" : "ITEM-1", "itemData" : { "ISBN" : "0022-3166 (Print)\r0022-3166 (Linking)", "PMID" : "9164280", "abstract" : "This presentation reflects on the origins of the term sarcopenia. The Greek roots of the word are sarx for flesh and penia for loss. The term actually describes important changes in body composition and related functions. Clearly defining sarcopenia will allow investigators to appropriately classify patients and examine underlying pathogenic mechanisms and will allow funding agencies to appropriately target research funds to a taxonomically distinct syndrome.", "author" : [ { "dropping-particle" : "", "family" : "Rosenberg", "given" : "I H", "non-dropping-particle" : "", "parse-names" : false, "suffix" : "" } ], "container-title" : "J Nutr", "edition" : "1997/05/01", "id" : "ITEM-1", "issue" : "5 Suppl", "issued" : { "date-parts" : [ [ "1997" ] ] }, "language" : "eng", "note" : "Rosenberg, I H\nJ Nutr. 1997 May;127(5 Suppl):990S-991S.", "page" : "990S-991S", "title" : "Sarcopenia: origins and clinical relevance", "type" : "article-journal", "volume" : "127" }, "uris" : [ "http://www.mendeley.com/documents/?uuid=fc569711-9524-4716-a621-40343c3f3107" ] } ], "mendeley" : { "formattedCitation" : "&lt;sup&gt;1&lt;/sup&gt;", "plainTextFormattedCitation" : "1", "previouslyFormattedCitation" : "&lt;sup&gt;1&lt;/sup&gt;" }, "properties" : { "noteIndex" : 0 }, "schema" : "https://github.com/citation-style-language/schema/raw/master/csl-citation.json" }</w:instrText>
      </w:r>
      <w:r w:rsidR="00960BFC" w:rsidRPr="000B0221">
        <w:fldChar w:fldCharType="separate"/>
      </w:r>
      <w:r w:rsidR="00960BFC" w:rsidRPr="000B0221">
        <w:rPr>
          <w:noProof/>
          <w:vertAlign w:val="superscript"/>
        </w:rPr>
        <w:t>1</w:t>
      </w:r>
      <w:r w:rsidR="00960BFC" w:rsidRPr="000B0221">
        <w:fldChar w:fldCharType="end"/>
      </w:r>
      <w:r w:rsidR="00960BFC" w:rsidRPr="000B0221">
        <w:t xml:space="preserve"> </w:t>
      </w:r>
      <w:r w:rsidR="00632582" w:rsidRPr="000B0221">
        <w:t xml:space="preserve">as a progressive loss of </w:t>
      </w:r>
      <w:r w:rsidR="00B11F75">
        <w:t xml:space="preserve">skeletal </w:t>
      </w:r>
      <w:r w:rsidR="00632582" w:rsidRPr="000B0221">
        <w:t>muscle mass with advancing age</w:t>
      </w:r>
      <w:r>
        <w:t>. Since then,</w:t>
      </w:r>
      <w:r w:rsidRPr="000B0221">
        <w:t xml:space="preserve"> </w:t>
      </w:r>
      <w:r w:rsidR="00632582" w:rsidRPr="000B0221">
        <w:t>the d</w:t>
      </w:r>
      <w:r w:rsidR="00814B11" w:rsidRPr="000B0221">
        <w:t xml:space="preserve">efinition </w:t>
      </w:r>
      <w:r w:rsidR="0014243A" w:rsidRPr="000B0221">
        <w:t xml:space="preserve">has </w:t>
      </w:r>
      <w:r w:rsidR="00814B11" w:rsidRPr="000B0221">
        <w:t>expanded</w:t>
      </w:r>
      <w:r w:rsidR="00632582" w:rsidRPr="000B0221">
        <w:t xml:space="preserve"> to incorporate</w:t>
      </w:r>
      <w:r w:rsidR="0014243A" w:rsidRPr="000B0221">
        <w:t xml:space="preserve"> </w:t>
      </w:r>
      <w:r w:rsidR="00632582" w:rsidRPr="000B0221">
        <w:t xml:space="preserve">the notion of </w:t>
      </w:r>
      <w:r w:rsidR="0014243A" w:rsidRPr="000B0221">
        <w:t xml:space="preserve">impaired </w:t>
      </w:r>
      <w:r w:rsidR="00632582" w:rsidRPr="000B0221">
        <w:t>muscle strength and</w:t>
      </w:r>
      <w:r w:rsidR="00841703" w:rsidRPr="000B0221">
        <w:t>/or</w:t>
      </w:r>
      <w:r w:rsidR="00632582" w:rsidRPr="000B0221">
        <w:t xml:space="preserve"> physical performance. </w:t>
      </w:r>
      <w:r w:rsidR="00454CBA" w:rsidRPr="000B0221">
        <w:t>Currently, several definitions of sarcopenia have been proposed</w:t>
      </w:r>
      <w:r w:rsidR="00454CBA" w:rsidRPr="000B0221">
        <w:fldChar w:fldCharType="begin" w:fldLock="1"/>
      </w:r>
      <w:r w:rsidR="007E0300">
        <w:instrText>ADDIN CSL_CITATION { "citationItems" : [ { "id" : "ITEM-1", "itemData" : { "DOI" : "10.1016/j.clnu.2009.12.004", "ISSN" : "1532-1983", "PMID" : "20060626", "abstract" : "Chronic diseases as well as aging are frequently associated with deterioration of nutritional status, loss muscle mass and function (i.e. sarcopenia), impaired quality of life and increased risk for morbidity and mortality. Although simple and effective tools for the accurate screening, diagnosis and treatment of malnutrition have been developed during the recent years, its prevalence still remains disappointingly high and its impact on morbidity, mortality and quality of life clinically significant. Based on these premises, the Special Interest Group (SIG) on cachexia-anorexia in chronic wasting diseases was created within ESPEN with the aim of developing and spreading the knowledge on the basic and clinical aspects of cachexia and anorexia as well as of increasing the awareness of cachexia among health professionals and care givers. The definition, the assessment and the staging of cachexia, were identified as a priority by the SIG. This consensus paper reports the definition of cachexia, pre-cachexia and sarcopenia as well as the criteria for the differentiation between cachexia and other conditions associated with sarcopenia, which have been developed in cooperation with the ESPEN SIG on nutrition in geriatrics.", "author" : [ { "dropping-particle" : "", "family" : "Muscaritoli", "given" : "M", "non-dropping-particle" : "", "parse-names" : false, "suffix" : "" }, { "dropping-particle" : "", "family" : "Anker", "given" : "S D", "non-dropping-particle" : "", "parse-names" : false, "suffix" : "" }, { "dropping-particle" : "", "family" : "Argil\u00e9s", "given" : "J", "non-dropping-particle" : "", "parse-names" : false, "suffix" : "" }, { "dropping-particle" : "", "family" : "Aversa", "given" : "Z", "non-dropping-particle" : "", "parse-names" : false, "suffix" : "" }, { "dropping-particle" : "", "family" : "Bauer", "given" : "J M", "non-dropping-particle" : "", "parse-names" : false, "suffix" : "" }, { "dropping-particle" : "", "family" : "Biolo", "given" : "G", "non-dropping-particle" : "", "parse-names" : false, "suffix" : "" }, { "dropping-particle" : "", "family" : "Boirie", "given" : "Y", "non-dropping-particle" : "", "parse-names" : false, "suffix" : "" }, { "dropping-particle" : "", "family" : "Bosaeus", "given" : "I", "non-dropping-particle" : "", "parse-names" : false, "suffix" : "" }, { "dropping-particle" : "", "family" : "Cederholm", "given" : "T", "non-dropping-particle" : "", "parse-names" : false, "suffix" : "" }, { "dropping-particle" : "", "family" : "Costelli", "given" : "P", "non-dropping-particle" : "", "parse-names" : false, "suffix" : "" }, { "dropping-particle" : "", "family" : "Fearon", "given" : "K C", "non-dropping-particle" : "", "parse-names" : false, "suffix" : "" }, { "dropping-particle" : "", "family" : "Laviano", "given" : "A", "non-dropping-particle" : "", "parse-names" : false, "suffix" : "" }, { "dropping-particle" : "", "family" : "Maggio", "given" : "M", "non-dropping-particle" : "", "parse-names" : false, "suffix" : "" }, { "dropping-particle" : "", "family" : "Rossi Fanelli", "given" : "F", "non-dropping-particle" : "", "parse-names" : false, "suffix" : "" }, { "dropping-particle" : "", "family" : "Schneider", "given" : "S M", "non-dropping-particle" : "", "parse-names" : false, "suffix" : "" }, { "dropping-particle" : "", "family" : "Schols", "given" : "A", "non-dropping-particle" : "", "parse-names" : false, "suffix" : "" }, { "dropping-particle" : "", "family" : "Sieber", "given" : "C C", "non-dropping-particle" : "", "parse-names" : false, "suffix" : "" } ], "container-title" : "Clinical nutrition (Edinburgh, Scotland)", "id" : "ITEM-1", "issue" : "2", "issued" : { "date-parts" : [ [ "2010", "4" ] ] }, "page" : "154-9", "title" : "Consensus definition of sarcopenia, cachexia and pre-cachexia: joint document elaborated by Special Interest Groups (SIG) \"cachexia-anorexia in chronic wasting diseases\" and \"nutrition in geriatrics\".", "type" : "article-journal", "volume" : "29" }, "uris" : [ "http://www.mendeley.com/documents/?uuid=93a81ae2-cb8b-442b-80b5-89ce44368664" ] }, { "id" : "ITEM-2",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"id" : "ITEM-2",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"http://www.mendeley.com/documents/?uuid=3d1f265c-6af0-49a0-b05a-8d359df2f375" ] }, { "id" : "ITEM-3", "itemData" : { "DOI" : "10.1016/j.jamda.2011.01.003", "ISSN" : "1538-9375", "PMID" : "21527165", "abstract" : "Sarcopenia, the age-associated loss of skeletal muscle mass and function, has considerable societal consequences for the development of frailty, disability, and health care planning. A group of geriatricians and scientists from academia and industry met in Rome, Italy, on November 18, 2009, to arrive at a consensus definition of sarcopenia. The current consensus definition was approved unanimously by the meeting participants and is as follows: Sarcopenia is defined as the age-associated loss of skeletal muscle mass and function. The causes of sarcopenia are multifactorial and can include disuse, altered endocrine function, chronic diseases, inflammation, insulin resistance, and nutritional deficiencies. Although cachexia may be a component of sarcopenia, the 2 conditions are not the same. The diagnosis of sarcopenia should be considered in all older patients who present with observed declines in physical function, strength, or overall health. Sarcopenia should specifically be considered in patients who are bedridden, cannot independently rise from a chair, or who have a measured gait speed less that 1 m/s(-1). Patients who meet these criteria should further undergo body composition assessment using dual energy x-ray absorptiometry with sarcopenia being defined using currently validated definitions. A diagnosis of sarcopenia is consistent with a gait speed of less than 1 m\u00b7s(-1) and an objectively measured low muscle mass (eg, appendicular mass relative to ht(2) that is \u2264 7.23 kg/m(2) in men and \u2264 5.67 kg/m(2) in women). Sarcopenia is a highly prevalent condition in older persons that leads to disability, hospitalization, and death.", "author" : [ { "dropping-particle" : "", "family" : "Fielding", "given" : "Roger A", "non-dropping-particle" : "", "parse-names" : false, "suffix" : "" }, { "dropping-particle" : "", "family" : "Vellas", "given" : "Bruno", "non-dropping-particle" : "", "parse-names" : false, "suffix" : "" }, { "dropping-particle" : "", "family" : "Evans", "given" : "William J", "non-dropping-particle" : "", "parse-names" : false, "suffix" : "" }, { "dropping-particle" : "", "family" : "Bhasin", "given" : "Shalender", "non-dropping-particle" : "", "parse-names" : false, "suffix" : "" }, { "dropping-particle" : "", "family" : "Morley", "given" : "John E", "non-dropping-particle" : "", "parse-names" : false, "suffix" : "" }, { "dropping-particle" : "", "family" : "Newman", "given" : "Anne B", "non-dropping-particle" : "", "parse-names" : false, "suffix" : "" }, { "dropping-particle" : "", "family" : "Abellan van Kan", "given" : "Gabor", "non-dropping-particle" : "", "parse-names" : false, "suffix" : "" }, { "dropping-particle" : "", "family" : "Andrieu", "given" : "Sandrine", "non-dropping-particle" : "", "parse-names" : false, "suffix" : "" }, { "dropping-particle" : "", "family" : "Bauer", "given" : "Juergen", "non-dropping-particle" : "", "parse-names" : false, "suffix" : "" }, { "dropping-particle" : "", "family" : "Breuille", "given" : "Denis", "non-dropping-particle" : "", "parse-names" : false, "suffix" : "" }, { "dropping-particle" : "", "family" : "Cederholm", "given" : "Tommy", "non-dropping-particle" : "", "parse-names" : false, "suffix" : "" }, { "dropping-particle" : "", "family" : "Chandler", "given" : "Julie", "non-dropping-particle" : "", "parse-names" : false, "suffix" : "" }, { "dropping-particle" : "", "family" : "Meynard", "given" : "Capucine", "non-dropping-particle" : "De", "parse-names" : false, "suffix" : "" }, { "dropping-particle" : "", "family" : "Donini", "given" : "Lorenzo", "non-dropping-particle" : "", "parse-names" : false, "suffix" : "" }, { "dropping-particle" : "", "family" : "Harris", "given" : "Tamara", "non-dropping-particle" : "", "parse-names" : false, "suffix" : "" }, { "dropping-particle" : "", "family" : "Kannt", "given" : "Aimo", "non-dropping-particle" : "", "parse-names" : false, "suffix" : "" }, { "dropping-particle" : "", "family" : "Keime Guibert", "given" : "Florence", "non-dropping-particle" : "", "parse-names" : false, "suffix" : "" }, { "dropping-particle" : "", "family" : "Onder", "given" : "Graziano", "non-dropping-particle" : "", "parse-names" : false, "suffix" : "" }, { "dropping-particle" : "", "family" : "Papanicolaou", "given" : "Dimitris", "non-dropping-particle" : "", "parse-names" : false, "suffix" : "" }, { "dropping-particle" : "", "family" : "Rolland", "given" : "Yves", "non-dropping-particle" : "", "parse-names" : false, "suffix" : "" }, { "dropping-particle" : "", "family" : "Rooks", "given" : "Daniel", "non-dropping-particle" : "", "parse-names" : false, "suffix" : "" }, { "dropping-particle" : "", "family" : "Sieber", "given" : "Cornel", "non-dropping-particle" : "", "parse-names" : false, "suffix" : "" }, { "dropping-particle" : "", "family" : "Souhami", "given" : "Elisabeth", "non-dropping-particle" : "", "parse-names" : false, "suffix" : "" }, { "dropping-particle" : "", "family" : "Verlaan", "given" : "Sjors", "non-dropping-particle" : "", "parse-names" : false, "suffix" : "" }, { "dropping-particle" : "", "family" : "Zamboni", "given" : "Mauro", "non-dropping-particle" : "", "parse-names" : false, "suffix" : "" } ], "container-title" : "Journal of the American Medical Directors Association", "id" : "ITEM-3", "issue" : "4", "issued" : { "date-parts" : [ [ "2011", "5" ] ] }, "page" : "249-56", "title" : "Sarcopenia: an undiagnosed condition in older adults. Current consensus definition: prevalence, etiology, and consequences. International working group on sarcopenia.", "type" : "article-journal", "volume" : "12" }, "uris" : [ "http://www.mendeley.com/documents/?uuid=7ae5cddb-2241-455d-aa79-c506636f2bda" ] }, { "id" : "ITEM-4", "itemData" : { "DOI" : "10.1093/gerona/glu013", "ISSN" : "1758-535X", "PMID" : "24737561", "abstract" : "BACKGROUND: Several consensus groups have previously published operational criteria for sarcopenia, incorporating lean mass with strength and/or physical performance. The purpose of this manuscript is to describe the prevalence, agreement, and discrepancies between the Foundation for the National Institutes of Health (FNIH) criteria with other operational definitions for sarcopenia.\n\nMETHODS: The FNIH Sarcopenia Project used data from nine studies including: Age, Gene and Environment Susceptibility-Reykjavik Study; Boston Puerto Rican Health Study; a series of six clinical trials from the University of Connecticut; Framingham Heart Study; Health, Aging, and Body Composition Study; Invecchiare in Chianti; Osteoporotic Fractures in Men Study; Rancho Bernardo Study; and Study of Osteoporotic Fractures. Participants included in these analyses were aged 65 and older and had measures of body mass index, appendicular lean mass, grip strength, and gait speed.\n\nRESULTS: The prevalence of sarcopenia and agreement proportions was higher in women than men. The lowest prevalence was observed with the FNIH criteria (1.3% men and 2.3% women) compared with the International Working Group and the European Working Group for Sarcopenia in Older Persons (5.1% and 5.3% in men and 11.8% and 13.3% in women, respectively). The positive percent agreements between the FNIH criteria and other criteria were low, ranging from 7% to 32% in men and 5% to 19% in women. However, the negative percent agreement were high (all &gt;95%).\n\nCONCLUSIONS: The FNIH criteria result in a more conservative operational definition of sarcopenia, and the prevalence was lower compared with other proposed criteria. Agreement for diagnosing sarcopenia was low, but agreement for ruling out sarcopenia was very high. Consensus on the operational criteria for the diagnosis of sarcopenia is much needed to characterize populations for study and to identify adults for treatment.", "author" : [ { "dropping-particle" : "", "family" : "Dam", "given" : "Thuy-Tien", "non-dropping-particle" : "", "parse-names" : false, "suffix" : "" }, { "dropping-particle" : "", "family" : "Peters", "given" : "Katherine W", "non-dropping-particle" : "", "parse-names" : false, "suffix" : "" }, { "dropping-particle" : "", "family" : "Fragala", "given" : "Maren", "non-dropping-particle" : "", "parse-names" : false, "suffix" : "" }, { "dropping-particle" : "", "family" : "Cawthon", "given" : "Peggy M", "non-dropping-particle" : "", "parse-names" : false, "suffix" : "" }, { "dropping-particle" : "", "family" : "Harris", "given" : "Tamara B", "non-dropping-particle" : "", "parse-names" : false, "suffix" : "" }, { "dropping-particle" : "", "family" : "McLean", "given" : "Robert", "non-dropping-particle" : "", "parse-names" : false, "suffix" : "" }, { "dropping-particle" : "", "family" : "Shardell", "given" : "Michelle", "non-dropping-particle" : "", "parse-names" : false, "suffix" : "" }, { "dropping-particle" : "", "family" : "Alley", "given" : "Dawn E", "non-dropping-particle" : "", "parse-names" : false, "suffix" : "" }, { "dropping-particle" : "", "family" : "Kenny", "given" : "Anne", "non-dropping-particle" : "", "parse-names" : false, "suffix" : "" }, { "dropping-particle" : "", "family" : "Ferrucci", "given" : "Luigi", "non-dropping-particle" : "", "parse-names" : false, "suffix" : "" }, { "dropping-particle" : "", "family" : "Guralnik", "given" : "Jack", "non-dropping-particle" : "", "parse-names" : false, "suffix" : "" }, { "dropping-particle" : "", "family" : "Kiel", "given" : "Douglas P", "non-dropping-particle" : "", "parse-names" : false, "suffix" : "" }, { "dropping-particle" : "", "family" : "Kritchevsky", "given" : "Steve", "non-dropping-particle" : "", "parse-names" : false, "suffix" : "" }, { "dropping-particle" : "", "family" : "Vassileva", "given" : "Maria T", "non-dropping-particle" : "", "parse-names" : false, "suffix" : "" }, { "dropping-particle" : "", "family" : "Studenski", "given" : "Stephanie", "non-dropping-particle" : "", "parse-names" : false, "suffix" : "" } ], "container-title" : "The journals of gerontology. Series A, Biological sciences and medical sciences", "id" : "ITEM-4", "issue" : "5", "issued" : { "date-parts" : [ [ "2014", "5" ] ] }, "page" : "584-90", "title" : "An evidence-based comparison of operational criteria for the presence of sarcopenia.", "type" : "article-journal", "volume" : "69" }, "uris" : [ "http://www.mendeley.com/documents/?uuid=bd04de09-5283-47bd-bb4e-0004f74f3185" ] }, { "id" : "ITEM-5", "itemData" : { "DOI" : "10.1016/j.jamda.2011.04.014", "ISSN" : "15258610", "PMID" : "21640657", "abstract" : "A consensus conference convened by the Society of Sarcopenia, Cachexia and Wasting Disorders has concluded that \"Sarcopenia, ie, reduced muscle mass, with limited mobility\" should be considered an important clinical entity and that most older persons should be screened for this condition. \"Sarcopenia with limited mobility\" is defined as a person with muscle loss whose walking speed is equal to or less than 1 m/s or who walks less than 400 m during a 6-minute walk, and who has a lean appendicular mass corrected for height squared of 2 standard deviations or more below the mean of healthy persons between 20 and 30 years of age of the same ethnic group. The limitation in mobility should not clearly be a result of otherwise defined specific diseases of muscle, peripheral vascular disease with intermittent claudication, central and peripheral nervous system disorders, or cachexia. Clinically significant interventions are defined as an increase in the 6-minute walk of at least 50 meters or an increase of walking speed of at least 0.1 m/s.", "author" : [ { "dropping-particle" : "", "family" : "Morley", "given" : "John E.", "non-dropping-particle" : "", "parse-names" : false, "suffix" : "" }, { "dropping-particle" : "", "family" : "Abbatecola", "given" : "Angela Marie", "non-dropping-particle" : "", "parse-names" : false, "suffix" : "" }, { "dropping-particle" : "", "family" : "Argiles", "given" : "Josep M.", "non-dropping-particle" : "", "parse-names" : false, "suffix" : "" }, { "dropping-particle" : "", "family" : "Baracos", "given" : "Vickie", "non-dropping-particle" : "", "parse-names" : false, "suffix" : "" }, { "dropping-particle" : "", "family" : "Bauer", "given" : "Juergen", "non-dropping-particle" : "", "parse-names" : false, "suffix" : "" }, { "dropping-particle" : "", "family" : "Bhasin", "given" : "Shalender", "non-dropping-particle" : "", "parse-names" : false, "suffix" : "" }, { "dropping-particle" : "", "family" : "Cederholm", "given" : "Tommy", "non-dropping-particle" : "", "parse-names" : false, "suffix" : "" }, { "dropping-particle" : "", "family" : "Stewart Coats", "given" : "Andrew J.", "non-dropping-particle" : "", "parse-names" : false, "suffix" : "" }, { "dropping-particle" : "", "family" : "Cummings", "given" : "Steven R.", "non-dropping-particle" : "", "parse-names" : false, "suffix" : "" }, { "dropping-particle" : "", "family" : "Evans", "given" : "William J.", "non-dropping-particle" : "", "parse-names" : false, "suffix" : "" }, { "dropping-particle" : "", "family" : "Fearon", "given" : "Kenneth", "non-dropping-particle" : "", "parse-names" : false, "suffix" : "" }, { "dropping-particle" : "", "family" : "Ferrucci", "given" : "Luigi", "non-dropping-particle" : "", "parse-names" : false, "suffix" : "" }, { "dropping-particle" : "", "family" : "Fielding", "given" : "Roger A.", "non-dropping-particle" : "", "parse-names" : false, "suffix" : "" }, { "dropping-particle" : "", "family" : "Guralnik", "given" : "Jack M.", "non-dropping-particle" : "", "parse-names" : false, "suffix" : "" }, { "dropping-particle" : "", "family" : "Harris", "given" : "Tamara B.", "non-dropping-particle" : "", "parse-names" : false, "suffix" : "" }, { "dropping-particle" : "", "family" : "Inui", "given" : "Akio", "non-dropping-particle" : "", "parse-names" : false, "suffix" : "" }, { "dropping-particle" : "", "family" : "Kalantar-Zadeh", "given" : "Kamyar", "non-dropping-particle" : "", "parse-names" : false, "suffix" : "" }, { "dropping-particle" : "", "family" : "Kirwan", "given" : "Bridget-Anne", "non-dropping-particle" : "", "parse-names" : false, "suffix" : "" }, { "dropping-particle" : "", "family" : "Mantovani", "given" : "Giovanni", "non-dropping-particle" : "", "parse-names" : false, "suffix" : "" }, { "dropping-particle" : "", "family" : "Muscaritoli", "given" : "Maurizio", "non-dropping-particle" : "", "parse-names" : false, "suffix" : "" }, { "dropping-particle" : "", "family" : "Newman", "given" : "Anne B.", "non-dropping-particle" : "", "parse-names" : false, "suffix" : "" }, { "dropping-particle" : "", "family" : "Rossi-Fanelli", "given" : "Filippo", "non-dropping-particle" : "", "parse-names" : false, "suffix" : "" }, { "dropping-particle" : "", "family" : "Rosano", "given" : "Giuseppe M.C.", "non-dropping-particle" : "", "parse-names" : false, "suffix" : "" }, { "dropping-particle" : "", "family" : "Roubenoff", "given" : "Ronenn", "non-dropping-particle" : "", "parse-names" : false, "suffix" : "" }, { "dropping-particle" : "", "family" : "Schambelan", "given" : "Morris", "non-dropping-particle" : "", "parse-names" : false, "suffix" : "" }, { "dropping-particle" : "", "family" : "Sokol", "given" : "Gerald H.", "non-dropping-particle" : "", "parse-names" : false, "suffix" : "" }, { "dropping-particle" : "", "family" : "Storer", "given" : "Thomas W.", "non-dropping-particle" : "", "parse-names" : false, "suffix" : "" }, { "dropping-particle" : "", "family" : "Vellas", "given" : "Bruno", "non-dropping-particle" : "", "parse-names" : false, "suffix" : "" }, { "dropping-particle" : "", "family" : "Haehling", "given" : "Stephan", "non-dropping-particle" : "von", "parse-names" : false, "suffix" : "" }, { "dropping-particle" : "", "family" : "Yeh", "given" : "Shing-Shing", "non-dropping-particle" : "", "parse-names" : false, "suffix" : "" }, { "dropping-particle" : "", "family" : "Anker", "given" : "Stefan D.", "non-dropping-particle" : "", "parse-names" : false, "suffix" : "" } ], "container-title" : "Journal of the American Medical Directors Association", "id" : "ITEM-5", "issue" : "6", "issued" : { "date-parts" : [ [ "2011", "7" ] ] }, "page" : "403-409", "title" : "Sarcopenia With Limited Mobility: An International Consensus", "type" : "article-journal", "volume" : "12" }, "uris" : [ "http://www.mendeley.com/documents/?uuid=e774b702-5f29-426e-ba87-c1404bd46742" ] }, { "id" : "ITEM-6",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manuscripts.\n\nMETHODS: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groups.\n\nRESULTS: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women.\n\nCONCLUSIONS: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Biological sciences and medical sciences", "id" : "ITEM-6", "issue" : "5", "issued" : { "date-parts" : [ [ "2014", "5" ] ] }, "page" : "547-58", "title" : "The FNIH sarcopenia project: rationale, study description, conference recommendations, and final estimates.", "type" : "article-journal", "volume" : "69" }, "uris" : [ "http://www.mendeley.com/documents/?uuid=6e4e94fb-1e9f-491f-87b7-c5d621323b4b" ] }, { "id" : "ITEM-7", "itemData" : { "ISBN" : "0002-9262 (Print)\r0002-9262 (Linking)", "PMID" : "9554417", "abstract" : "Muscle mass decreases with age, leading to \"sarcopenia,\" or low relative muscle mass, in elderly people. Sarcopenia is believed to be associated with metabolic, physiologic, and functional impairments and disability. Methods of estimating the prevalence of sarcopenia and its associated risks in elderly populations are lacking. Data from a population-based survey of 883 elderly Hispanic and non-Hispanic white men and women living in New Mexico (the New Mexico Elder Health Survey, 1993-1995) were analyzed to develop a method for estimating the prevalence of sarcopenia. An anthropometric equation for predicting appendicular skeletal muscle mass was developed from a random subsample (n = 199) of participants and was extended to the total sample. Sarcopenia was defined as appendicular skeletal muscle mass (kg)/height2 (m2) being less than two standard deviations below the mean of a young reference group. Prevalences increased from 13-24% in persons under 70 years of age to &gt;50% in persons over 80 years of age, and were slightly greater in Hispanics than in non-Hispanic whites. Sarcopenia was significantly associated with self-reported physical disability in both men and women, independent of ethnicity, age, morbidity, obesity, income, and health behaviors. This study provides some of the first estimates of the extent of the public health problem posed by sarcopenia.", "author" : [ { "dropping-particle" : "", "family" : "Baumgartner", "given" : "R N", "non-dropping-particle" : "", "parse-names" : false, "suffix" : "" }, { "dropping-particle" : "", "family" : "Koehler", "given" : "K M", "non-dropping-particle" : "", "parse-names" : false, "suffix" : "" }, { "dropping-particle" : "", "family" : "Gallagher", "given" : "D", "non-dropping-particle" : "", "parse-names" : false, "suffix" : "" }, { "dropping-particle" : "", "family" : "Romero", "given" : "L", "non-dropping-particle" : "", "parse-names" : false, "suffix" : "" }, { "dropping-particle" : "", "family" : "Heymsfield", "given" : "S B", "non-dropping-particle" : "", "parse-names" : false, "suffix" : "" }, { "dropping-particle" : "", "family" : "Ross", "given" : "R R", "non-dropping-particle" : "", "parse-names" : false, "suffix" : "" }, { "dropping-particle" : "", "family" : "Garry", "given" : "P J", "non-dropping-particle" : "", "parse-names" : false, "suffix" : "" }, { "dropping-particle" : "", "family" : "Lindeman", "given" : "R D", "non-dropping-particle" : "", "parse-names" : false, "suffix" : "" } ], "container-title" : "Am J Epidemiol", "edition" : "1998/04/29", "id" : "ITEM-7", "issue" : "8", "issued" : { "date-parts" : [ [ "1998" ] ] }, "language" : "eng", "note" : "Baumgartner, R N\nKoehler, K M\nGallagher, D\nRomero, L\nHeymsfield, S B\nRoss, R R\nGarry, P J\nLindeman, R D\nAG02049/AG/NIA NIH HHS/\nAG10149/AG/NIA NIH HHS/\nAG10941/AG/NIA NIH HHS/\netc.\nAm J Epidemiol. 1998 Apr 15;147(8):755-63.", "page" : "755-763", "title" : "Epidemiology of sarcopenia among the elderly in New Mexico", "type" : "article-journal", "volume" : "147" }, "uris" : [ "http://www.mendeley.com/documents/?uuid=65d750ea-4bf3-4844-93dd-edad8060df2e" ] }, { "id" : "ITEM-8", "itemData" : { "DOI" : "10.1007/s00198-012-1913-1", "ISBN" : "1433-2965 (Electronic)\r0937-941X (Linking)", "PMID" : "22290243", "abstract" : "An operational definition of musculoskeletal decline in older people is needed to allow development of interventions for prevention or treatment, as was developed for the treatment of osteoporosis. Frailty and sarcopenia are linked, but distinct, correlates of musculoskeletal aging that have many causes, including age-related changes in body composition, inflammation, and hormonal imbalance. With the emergence of a number of exciting candidate therapies to retard the loss of muscle mass with aging, the derivation of a consensual definition of sarcopenia and physical frailty becomes an urgent priority. Although several consensual definitions have been proposed, these require clinical validation. An operational definition, which might provide a threshold for treatment/trial inclusion, should incorporate a loss of muscle mass as well as evidence of a decrease in muscle strength and/or physical activity. Evidence is required for a link between improvements in the measures of muscle strength and/or physical activity and clinical outcomes to allow development of interventions to improve clinical outcomes in frail older patients.", "author" : [ { "dropping-particle" : "", "family" : "Cooper", "given" : "C", "non-dropping-particle" : "", "parse-names" : false, "suffix" : "" }, { "dropping-particle" : "", "family" : "Dere", "given" : "W", "non-dropping-particle" : "", "parse-names" : false, "suffix" : "" }, { "dropping-particle" : "", "family" : "Evans", "given" : "W", "non-dropping-particle" : "", "parse-names" : false, "suffix" : "" }, { "dropping-particle" : "", "family" : "Kanis", "given" : "J A", "non-dropping-particle" : "", "parse-names" : false, "suffix" : "" }, { "dropping-particle" : "", "family" : "Rizzoli", "given" : "R", "non-dropping-particle" : "", "parse-names" : false, "suffix" : "" }, { "dropping-particle" : "", "family" : "Sayer", "given" : "A A", "non-dropping-particle" : "", "parse-names" : false, "suffix" : "" }, { "dropping-particle" : "", "family" : "Sieber", "given" : "C C", "non-dropping-particle" : "", "parse-names" : false, "suffix" : "" }, { "dropping-particle" : "", "family" : "Kaufman", "given" : "J M", "non-dropping-particle" : "", "parse-names" : false, "suffix" : "" }, { "dropping-particle" : "", "family" : "Abellan van Kan", "given" : "G", "non-dropping-particle" : "", "parse-names" : false, "suffix" : "" }, { "dropping-particle" : "", "family" : "Boonen", "given" : "S", "non-dropping-particle" : "", "parse-names" : false, "suffix" : "" }, { "dropping-particle" : "", "family" : "Adachi", "given" : "J", "non-dropping-particle" : "", "parse-names" : false, "suffix" : "" }, { "dropping-particle" : "", "family" : "Mitlak", "given" : "B", "non-dropping-particle" : "", "parse-names" : false, "suffix" : "" }, { "dropping-particle" : "", "family" : "Tsouderos", "given" : "Y", "non-dropping-particle" : "", "parse-names" : false, "suffix" : "" }, { "dropping-particle" : "", "family" : "Rolland", "given" : "Y", "non-dropping-particle" : "", "parse-names" : false, "suffix" : "" }, { "dropping-particle" : "", "family" : "Reginster", "given" : "J Y", "non-dropping-particle" : "", "parse-names" : false, "suffix" : "" } ], "container-title" : "Osteoporos Int", "edition" : "2012/02/01", "id" : "ITEM-8", "issue" : "7", "issued" : { "date-parts" : [ [ "2012" ] ] }, "language" : "eng", "note" : "Cooper, C\nDere, W\nEvans, W\nKanis, J A\nRizzoli, R\nSayer, A A\nSieber, C C\nKaufman, J-M\nAbellan van Kan, G\nBoonen, S\nAdachi, J\nMitlak, B\nTsouderos, Y\nRolland, Y\nReginster, J-Y L\nMC_UP_A620_1014/Medical Research Council/United Kingdom\nMC_UP_A620_1015/Medical Research Council/United Kingdom\nEngland\nOsteoporos Int. 2012 Jul;23(7):1839-48. doi: 10.1007/s00198-012-1913-1.", "page" : "1839-1848", "title" : "Frailty and sarcopenia: definitions and outcome parameters", "type" : "article-journal", "volume" : "23" }, "uris" : [ "http://www.mendeley.com/documents/?uuid=6ff365cb-85ec-47a0-8ede-86119239e84e" ] }, { "id" : "ITEM-9", "itemData" : { "DOI" : "10.1016/j.jamda.2013.11.025", "abstract" : "a b s t r a c t Sarcopenia, a newly recognized geriatric syndrome, is characterized by age-related decline of skeletal muscle plus low muscle strength and/or physical performance. Previous studies have confirmed the association of sarcopenia and adverse health outcomes, such as falls, disability, hospital admission, long term care placement, poorer quality of life, and mortality, which denotes the importance of sarcopenia in the health care for older people. Despite the clinical significance of sarcopenia, the operational definition of sarcopenia and standardized intervention programs are still lacking. It is generally agreed by the different working groups for sarcopenia in the world that sarcopenia should be defined through a combined approach of muscle mass and muscle quality, however, selecting appropriate diagnostic cutoff values for all the measurements in Asian populations is challenging. Asia is a rapidly aging region with a huge population, so the impact of sarcopenia to this region is estimated to be huge as well. Asian Working Group for Sarcopenia (AWGS) aimed to promote sarcopenia research in Asia, and we collected the best available evidences of sarcopenia researches from Asian countries to establish the consensus for sarcopenia diagnosis. AWGS has agreed with the previous reports that sarcopenia should be described as", "author" : [ { "dropping-particle" : "", "family" : "Chen", "given" : "Liang-Kung", "non-dropping-particle" : "", "parse-names" : false, "suffix" : "" }, { "dropping-particle" : "", "family" : "Liu", "given" : "Li-Kuo", "non-dropping-particle" : "", "parse-names" : false, "suffix" : "" }, { "dropping-particle" : "", "family" : "Woo Md", "given" : "Jean", "non-dropping-particle" : "", "parse-names" : false, "suffix" : "" }, { "dropping-particle" : "", "family" : "Assantachai", "given" : "Prasert", "non-dropping-particle" : "", "parse-names" : false, "suffix" : "" }, { "dropping-particle" : "", "family" : "Auyeung", "given" : "Tung-Wai", "non-dropping-particle" : "", "parse-names" : false, "suffix" : "" }, { "dropping-particle" : "", "family" : "Shahrul", "given" : "Kamaruzzaman", "non-dropping-particle" : "", "parse-names" : false, "suffix" : "" }, { "dropping-particle" : "", "family" : "Md", "given" : "Bahyah", "non-dropping-particle" : "", "parse-names" : false, "suffix" : "" }, { "dropping-particle" : "", "family" : "Chou", "given" : "Ming-Yueh", "non-dropping-particle" : "", "parse-names" : false, "suffix" : "" }, { "dropping-particle" : "", "family" : "Chen", "given" : "Liang-Yu", "non-dropping-particle" : "", "parse-names" : false, "suffix" : "" }, { "dropping-particle" : "", "family" : "Hsu", "given" : "Pi-Shan", "non-dropping-particle" : "", "parse-names" : false, "suffix" : "" }, { "dropping-particle" : "", "family" : "Krairit", "given" : "Orapitchaya", "non-dropping-particle" : "", "parse-names" : false, "suffix" : "" }, { "dropping-particle" : "", "family" : "Lee Md", "given" : "Jenny S W", "non-dropping-particle" : "", "parse-names" : false, "suffix" : "" }, { "dropping-particle" : "", "family" : "Lee", "given" : "Wei-Ju", "non-dropping-particle" : "", "parse-names" : false, "suffix" : "" }, { "dropping-particle" : "", "family" : "Lee", "given" : "Yunhwan", "non-dropping-particle" : "", "parse-names" : false, "suffix" : "" }, { "dropping-particle" : "", "family" : "Liang", "given" : "Chih-Kuang", "non-dropping-particle" : "", "parse-names" : false, "suffix" : "" }, { "dropping-particle" : "", "family" : "Limpawattana", "given" : "Panita", "non-dropping-particle" : "", "parse-names" : false, "suffix" : "" }, { "dropping-particle" : "", "family" : "Lin", "given" : "Chu-Sheng", "non-dropping-particle" : "", "parse-names" : false, "suffix" : "" }, { "dropping-particle" : "", "family" : "Peng", "given" : "Li-Ning", "non-dropping-particle" : "", "parse-names" : false, "suffix" : "" }, { "dropping-particle" : "", "family" : "Satake", "given" : "Shosuke", "non-dropping-particle" : "", "parse-names" : false, "suffix" : "" }, { "dropping-particle" : "", "family" : "Suzuki", "given" : "Takao", "non-dropping-particle" : "", "parse-names" : false, "suffix" : "" }, { "dropping-particle" : "", "family" : "Won", "given" : "Chang", "non-dropping-particle" : "", "parse-names" : false, "suffix" : "" }, { "dropping-particle" : "", "family" : "Md", "given" : "Won", "non-dropping-particle" : "", "parse-names" : false, "suffix" : "" }, { "dropping-particle" : "", "family" : "Wu", "given" : "Chih-Hsing", "non-dropping-particle" : "", "parse-names" : false, "suffix" : "" }, { "dropping-particle" : "", "family" : "Wu", "given" : "Si-Nan", "non-dropping-particle" : "", "parse-names" : false, "suffix" : "" }, { "dropping-particle" : "", "family" : "Zhang", "given" : "Teimei", "non-dropping-particle" : "", "parse-names" : false, "suffix" : "" }, { "dropping-particle" : "", "family" : "Zeng", "given" : "Ping", "non-dropping-particle" : "", "parse-names" : false, "suffix" : "" }, { "dropping-particle" : "", "family" : "Akishita", "given" : "Masahiro", "non-dropping-particle" : "", "parse-names" : false, "suffix" : "" }, { "dropping-particle" : "", "family" : "Arai", "given" : "Hidenori", "non-dropping-particle" : "", "parse-names" : false, "suffix" : "" } ], "container-title" : "Journal of the American Medical Directors Association", "id" : "ITEM-9", "issued" : { "date-parts" : [ [ "2014" ] ] }, "page" : "95-101", "title" : "Sarcopenia in Asia: Consensus Report of the Asian Working Group for Sarcopenia", "type" : "article-journal", "volume" : "15" }, "uris" : [ "http://www.mendeley.com/documents/?uuid=1a14a4f4-9c86-35f0-bc4a-602b8cc657f9" ] } ], "mendeley" : { "formattedCitation" : "&lt;sup&gt;2\u201310&lt;/sup&gt;", "plainTextFormattedCitation" : "2\u201310", "previouslyFormattedCitation" : "&lt;sup&gt;2\u201310&lt;/sup&gt;" }, "properties" : { "noteIndex" : 0 }, "schema" : "https://github.com/citation-style-language/schema/raw/master/csl-citation.json" }</w:instrText>
      </w:r>
      <w:r w:rsidR="00454CBA" w:rsidRPr="000B0221">
        <w:fldChar w:fldCharType="separate"/>
      </w:r>
      <w:r w:rsidR="008069A0" w:rsidRPr="008069A0">
        <w:rPr>
          <w:noProof/>
          <w:vertAlign w:val="superscript"/>
        </w:rPr>
        <w:t>2–10</w:t>
      </w:r>
      <w:r w:rsidR="00454CBA" w:rsidRPr="000B0221">
        <w:fldChar w:fldCharType="end"/>
      </w:r>
      <w:r w:rsidR="00454CBA" w:rsidRPr="000B0221">
        <w:t xml:space="preserve"> but no consensus has yet been reached. </w:t>
      </w:r>
      <w:r>
        <w:t>Depending on the definition used, t</w:t>
      </w:r>
      <w:r w:rsidR="00C16418" w:rsidRPr="000B0221">
        <w:t xml:space="preserve">he prevalence of sarcopenia is reported to be </w:t>
      </w:r>
      <w:r w:rsidR="007572E7" w:rsidRPr="000B0221">
        <w:t xml:space="preserve">up to </w:t>
      </w:r>
      <w:r w:rsidR="00C16418" w:rsidRPr="000B0221">
        <w:t>29%</w:t>
      </w:r>
      <w:r w:rsidR="00814B11" w:rsidRPr="000B0221">
        <w:t xml:space="preserve"> for older </w:t>
      </w:r>
      <w:r w:rsidR="00C16418" w:rsidRPr="000B0221">
        <w:t>community</w:t>
      </w:r>
      <w:r w:rsidR="00814B11" w:rsidRPr="000B0221">
        <w:t>-d</w:t>
      </w:r>
      <w:r w:rsidR="00DB642A" w:rsidRPr="000B0221">
        <w:t>wel</w:t>
      </w:r>
      <w:r w:rsidR="00814B11" w:rsidRPr="000B0221">
        <w:t>ling adults</w:t>
      </w:r>
      <w:r w:rsidR="00C16418" w:rsidRPr="000B0221">
        <w:t xml:space="preserve"> and up to 33% for </w:t>
      </w:r>
      <w:r w:rsidR="0063591D">
        <w:t>individuals</w:t>
      </w:r>
      <w:r w:rsidR="00C16418" w:rsidRPr="000B0221">
        <w:t xml:space="preserve"> living in lon</w:t>
      </w:r>
      <w:r w:rsidR="00497414" w:rsidRPr="000B0221">
        <w:t>g-term care institutions</w:t>
      </w:r>
      <w:r w:rsidR="00497414" w:rsidRPr="000B0221">
        <w:fldChar w:fldCharType="begin" w:fldLock="1"/>
      </w:r>
      <w:r w:rsidR="007E0300">
        <w:instrText>ADDIN CSL_CITATION { "citationItems" : [ { "id" : "ITEM-1", "itemData" : { "DOI" : "10.1093/ageing/afu115", "ISBN" : "1468-2834 (Electronic)\r0002-0729 (Linking)", "PMID" : "25241753", "abstract" : "OBJECTIVE: to examine the clinical evidence reporting the prevalence of sarcopenia and the effect of nutrition and exercise interventions from studies using the consensus definition of sarcopenia proposed by the European Working Group on Sarcopenia in Older People (EWGSOP). METHODS: PubMed and Dialog databases were searched (January 2000-October 2013) using pre-defined search terms. Prevalence studies and intervention studies investigating muscle mass plus strength or function outcome measures using the EWGSOP definition of sarcopenia, in well-defined populations of adults aged &gt;/=50 years were selected. RESULTS: prevalence of sarcopenia was, with regional and age-related variations, 1-29% in community-dwelling populations, 14-33% in long-term care populations and 10% in the only acute hospital-care population examined. Moderate quality evidence suggests that exercise interventions improve muscle strength and physical performance. The results of nutrition interventions are equivocal due to the low number of studies and heterogeneous study design. Essential amino acid (EAA) supplements, including approximately 2.5 g of leucine, and beta-hydroxy beta-methylbutyric acid (HMB) supplements, show some effects in improving muscle mass and function parameters. Protein supplements have not shown consistent benefits on muscle mass and function. CONCLUSION: prevalence of sarcopenia is substantial in most geriatric settings. Well-designed, standardised studies evaluating exercise or nutrition interventions are needed before treatment guidelines can be developed. Physicians should screen for sarcopenia in both community and geriatric settings, with diagnosis based on muscle mass and function. Supervised resistance exercise is recommended for individuals with sarcopenia. EAA (with leucine) and HMB may improve muscle outcomes.", "author" : [ { "dropping-particle" : "", "family" : "Cruz-Jentoft", "given" : "A J", "non-dropping-particle" : "", "parse-names" : false, "suffix" : "" }, { "dropping-particle" : "", "family" : "Landi", "given" : "F", "non-dropping-particle" : "", "parse-names" : false, "suffix" : "" }, { "dropping-particle" : "", "family" : "Schneider", "given" : "S M", "non-dropping-particle" : "", "parse-names" : false, "suffix" : "" }, { "dropping-particle" : "", "family" : "Zuniga", "given" : "C", "non-dropping-particle" : "", "parse-names" : false, "suffix" : "" }, { "dropping-particle" : "", "family" : "Arai", "given" : "H", "non-dropping-particle" : "", "parse-names" : false, "suffix" : "" }, { "dropping-particle" : "", "family" : "Boirie", "given" : "Y", "non-dropping-particle" : "", "parse-names" : false, "suffix" : "" }, { "dropping-particle" : "", "family" : "Chen", "given" : "L K", "non-dropping-particle" : "", "parse-names" : false, "suffix" : "" }, { "dropping-particle" : "", "family" : "Fielding", "given" : "R A", "non-dropping-particle" : "", "parse-names" : false, "suffix" : "" }, { "dropping-particle" : "", "family" : "Martin", "given" : "F C", "non-dropping-particle" : "", "parse-names" : false, "suffix" : "" }, { "dropping-particle" : "", "family" : "Michel", "given" : "J P", "non-dropping-particle" : "", "parse-names" : false, "suffix" : "" }, { "dropping-particle" : "", "family" : "Sieber", "given" : "C", "non-dropping-particle" : "", "parse-names" : false, "suffix" : "" }, { "dropping-particle" : "", "family" : "Stout", "given" : "J R", "non-dropping-particle" : "", "parse-names" : false, "suffix" : "" }, { "dropping-particle" : "", "family" : "Studenski", "given" : "S A", "non-dropping-particle" : "", "parse-names" : false, "suffix" : "" }, { "dropping-particle" : "", "family" : "Vellas", "given" : "B", "non-dropping-particle" : "", "parse-names" : false, "suffix" : "" }, { "dropping-particle" : "", "family" : "Woo", "given" : "J", "non-dropping-particle" : "", "parse-names" : false, "suffix" : "" }, { "dropping-particle" : "", "family" : "Zamboni", "given" : "M", "non-dropping-particle" : "", "parse-names" : false, "suffix" : "" }, { "dropping-particle" : "", "family" : "Cederholm", "given" : "T", "non-dropping-particle" : "", "parse-names" : false, "suffix" : "" } ], "container-title" : "Age Ageing", "edition" : "2014/09/23", "id" : "ITEM-1", "issued" : { "date-parts" : [ [ "2014" ] ] }, "language" : "Eng", "note" : "Cruz-Jentoft, Alfonso J\nLandi, Francesco\nSchneider, Stephane M\nZuniga, Clemente\nArai, Hidenori\nBoirie, Yves\nChen, Liang-Kung\nFielding, Roger A\nMartin, Finbarr C\nMichel, Jean-Pierre\nSieber, Cornel\nStout, Jeffrey R\nStudenski, Stephanie A\nVellas, Bruno\nWoo, Jean\nZamboni, Mauro\nCederholm, Tommy\nAge Ageing. 2014 Sep 21. pii: afu115.", "title" : "Prevalence of and interventions for sarcopenia in ageing adults: a systematic review. Report of the International Sarcopenia Initiative (EWGSOP and IWGS)", "type" : "article-journal" }, "uris" : [ "http://www.mendeley.com/documents/?uuid=49a7d81c-efe3-4e43-b132-d9e18584453e" ] }, { "id" : "ITEM-2", "itemData" : { "DOI" : "10.1007/s00198-015-3194-y", "ISSN" : "1433-2965", "PMID" : "26068298", "abstract" : "In this study, we compare the extent to which seven available definitions of sarcopenia and two related definitions predict the rate of falling. Our results suggest that the definitions of Baumgartner and Cruz-Jentoft best predict the rate of falls among sarcopenic versus non-sarcopenic community-dwelling seniors.\n\nINTRODUCTION: The purpose of the study is to compare the extent to which seven available definitions of sarcopenia and two related definitions predict the prospective rate of falling.\n\nMETHODS: We studied a cohort of 445 seniors (mean age 71\u00a0years, 45\u00a0% men) living in the community who were followed with a detailed fall assessment for 3\u00a0years. For comparing the rate of falls in sarcopenic versus non-sarcopenic individuals, we used multivariate Poisson regression analyses adjusting for gender and treatment (original intervention tested vitamin D plus calcium against placebo). Of the seven available definitions, three were based on low lean mass alone (Baumgartner, Delmonico 1 and 2) and four required both low muscle mass and decreased performance in a functional test (Fielding, Cruz-Jentoft, Morley, Muscaritoli). The two related definitions were based on low lean mass alone (Studenski 1) and low lean mass contributing to weakness (Studenski 2).\n\nRESULTS: Among 445 participants, 231 fell, sustaining 514 falls over the 3-year follow-up. The prospective rate of falls in sarcopenic versus non-sarcopenic individuals was best predicted by the Baumgartner definition based on low lean mass alone (RR\u2009=\u20091.54; 95\u00a0% CI 1.09-2.18) with 11\u00a0% prevalence of sarcopenia and the Cruz-Jentoft definition based on low lean mass plus decreased functional performance (RR\u2009=\u20091.82; 95\u00a0% CI 1.24-2.69) with 7.1\u00a0% prevalence of sarcopenia. Consistently, fall rate was non-significantly higher in sarcopenic versus non-sarcopenic individuals based on the definitions of Delmonico 1, Fielding, and Morley.\n\nCONCLUSION: Among the definitions investigated, the Baumgartner definition and the Cruz-Jentoft definition had the highest validity for predicting the rate of falls.", "author" : [ { "dropping-particle" : "", "family" : "Bischoff-Ferrari", "given" : "H A", "non-dropping-particle" : "", "parse-names" : false, "suffix" : "" }, { "dropping-particle" : "", "family" : "Orav", "given" : "J E", "non-dropping-particle" : "", "parse-names" : false, "suffix" : "" }, { "dropping-particle" : "", "family" : "Kanis", "given" : "J A", "non-dropping-particle" : "", "parse-names" : false, "suffix" : "" }, { "dropping-particle" : "", "family" : "Rizzoli", "given" : "R", "non-dropping-particle" : "", "parse-names" : false, "suffix" : "" }, { "dropping-particle" : "", "family" : "Schl\u00f6gl", "given" : "M", "non-dropping-particle" : "", "parse-names" : false, "suffix" : "" }, { "dropping-particle" : "", "family" : "Staehelin", "given" : "H B", "non-dropping-particle" : "", "parse-names" : false, "suffix" : "" }, { "dropping-particle" : "", "family" : "Willett", "given" : "W C", "non-dropping-particle" : "", "parse-names" : false, "suffix" : "" }, { "dropping-particle" : "", "family" : "Dawson-Hughes", "given" : "B", "non-dropping-particle" : "", "parse-names" : false, "suffix" : "" } ], "container-title" : "Osteoporosis international : a journal established as result of cooperation between the European Foundation for Osteoporosis and the National Osteoporosis Foundation of the USA", "id" : "ITEM-2", "issued" : { "date-parts" : [ [ "2015", "6", "12" ] ] }, "title" : "Comparative performance of current definitions of sarcopenia against the prospective incidence of falls among community-dwelling seniors age 65 and older.", "type" : "article-journal" }, "uris" : [ "http://www.mendeley.com/documents/?uuid=b1270320-318d-458d-87e9-c5a51cdf0f15" ] } ], "mendeley" : { "formattedCitation" : "&lt;sup&gt;11,12&lt;/sup&gt;", "plainTextFormattedCitation" : "11,12", "previouslyFormattedCitation" : "&lt;sup&gt;11,12&lt;/sup&gt;" }, "properties" : { "noteIndex" : 0 }, "schema" : "https://github.com/citation-style-language/schema/raw/master/csl-citation.json" }</w:instrText>
      </w:r>
      <w:r w:rsidR="00497414" w:rsidRPr="000B0221">
        <w:fldChar w:fldCharType="separate"/>
      </w:r>
      <w:r w:rsidR="008069A0" w:rsidRPr="008069A0">
        <w:rPr>
          <w:noProof/>
          <w:vertAlign w:val="superscript"/>
        </w:rPr>
        <w:t>11,12</w:t>
      </w:r>
      <w:r w:rsidR="00497414" w:rsidRPr="000B0221">
        <w:fldChar w:fldCharType="end"/>
      </w:r>
      <w:r w:rsidR="00C16418" w:rsidRPr="000B0221">
        <w:t xml:space="preserve">. </w:t>
      </w:r>
      <w:r w:rsidR="00943DEC" w:rsidRPr="000B0221">
        <w:t>Sar</w:t>
      </w:r>
      <w:r w:rsidR="00814B11" w:rsidRPr="000B0221">
        <w:t>copenia i</w:t>
      </w:r>
      <w:r w:rsidR="00943DEC" w:rsidRPr="000B0221">
        <w:t>s</w:t>
      </w:r>
      <w:r w:rsidR="00B11F75">
        <w:t xml:space="preserve"> associated with morbidity and mortality from</w:t>
      </w:r>
      <w:r w:rsidR="00943DEC" w:rsidRPr="000B0221">
        <w:t xml:space="preserve"> </w:t>
      </w:r>
      <w:r w:rsidR="00814B11" w:rsidRPr="000B0221">
        <w:t xml:space="preserve">linked </w:t>
      </w:r>
      <w:r w:rsidR="00943DEC" w:rsidRPr="000B0221">
        <w:t xml:space="preserve">physical </w:t>
      </w:r>
      <w:r w:rsidR="00B11F75" w:rsidRPr="000B0221">
        <w:t>disabilit</w:t>
      </w:r>
      <w:r w:rsidR="00B11F75">
        <w:t>y</w:t>
      </w:r>
      <w:r w:rsidR="00943DEC" w:rsidRPr="000B0221">
        <w:t xml:space="preserve">, falls, fractures, poor quality of life, depression and </w:t>
      </w:r>
      <w:r w:rsidR="00B11F75">
        <w:t>hospitalization</w:t>
      </w:r>
      <w:r w:rsidR="00497414" w:rsidRPr="000B0221">
        <w:fldChar w:fldCharType="begin" w:fldLock="1"/>
      </w:r>
      <w:r w:rsidR="007E0300">
        <w:instrText>ADDIN CSL_CITATION { "citationItems" : [ { "id" : "ITEM-1", "itemData" : { "author" : [ { "dropping-particle" : "", "family" : "Beaudart", "given" : "C", "non-dropping-particle" : "", "parse-names" : false, "suffix" : "" }, { "dropping-particle" : "", "family" : "Rizzoli", "given" : "R", "non-dropping-particle" : "", "parse-names" : false, "suffix" : "" }, { "dropping-particle" : "", "family" : "Bruyere", "given" : "O", "non-dropping-particle" : "", "parse-names" : false, "suffix" : "" }, { "dropping-particle" : "", "family" : "Reginster", "given" : "J Y", "non-dropping-particle" : "", "parse-names" : false, "suffix" : "" }, { "dropping-particle" : "", "family" : "Biver", "given" : "E", "non-dropping-particle" : "", "parse-names" : false, "suffix" : "" } ], "container-title" : "Archives of Public Health", "id" : "ITEM-1", "issued" : { "date-parts" : [ [ "2014" ] ] }, "title" : "Sarcopenia: Burden and challenges for Public Health. 2014. Archives of Public Health. ", "type" : "article-journal", "volume" : "72:45" }, "uris" : [ "http://www.mendeley.com/documents/?uuid=421d55e3-5851-4e1b-af88-7f850f00c2b6" ] }, { "id" : "ITEM-2", "itemData" : { "PMID" : "23828275", "abstract" : "The reduced muscle mass and impaired muscle performance that define sarcopenia in older individuals are associated with increased risk of physical limitation and a variety of chronic diseases. They may also contribute to clinical frailty. A gradual erosion of quality of life (QoL) has been evidenced in these individuals, although much of this research has been done using generic QoL instruments, particularly the SF-36, which may not be ideal in older populations with significant comorbidities. This review and report of an expert meeting presents the current definitions of these geriatric syndromes (sarcopenia and frailty). It then briefly summarizes QoL concepts and specificities in older populations and examines the relevant domains of QoL and what is known concerning QoL decline with these conditions. It calls for a clearer definition of the construct of disability, argues that a disease-specific QoL instrument for sarcopenia/frailty would be an asset for future research, and discusses whether there are available and validated components that could be used to this end and whether the psychometric properties of these instruments are sufficiently tested. It calls also for an approach using utility weighting to provide some cost estimates and suggests that a time trade-off study could be appropriate.", "author" : [ { "dropping-particle" : "", "family" : "Rizzoli", "given" : "Ren\u00e9", "non-dropping-particle" : "", "parse-names" : false, "suffix" : "" }, { "dropping-particle" : "", "family" : "Reginster", "given" : "Jean Yves", "non-dropping-particle" : "", "parse-names" : false, "suffix" : "" }, { "dropping-particle" : "", "family" : "Arnal", "given" : "Jean Fran\u00e7ois", "non-dropping-particle" : "", "parse-names" : false, "suffix" : "" }, { "dropping-particle" : "", "family" : "Bautmans", "given" : "Ivan", "non-dropping-particle" : "", "parse-names" : false, "suffix" : "" }, { "dropping-particle" : "", "family" : "Beaudart", "given" : "Charlotte", "non-dropping-particle" : "", "parse-names" : false, "suffix" : "" }, { "dropping-particle" : "", "family" : "Bischoff-Ferrari", "given" : "Heike", "non-dropping-particle" : "", "parse-names" : false, "suffix" : "" }, { "dropping-particle" : "", "family" : "Biver", "given" : "Emmanuel", "non-dropping-particle" : "", "parse-names" : false, "suffix" : "" }, { "dropping-particle" : "", "family" : "Boonen", "given" : "Steven", "non-dropping-particle" : "", "parse-names" : false, "suffix" : "" }, { "dropping-particle" : "", "family" : "Brandi", "given" : "Maria Luisa", "non-dropping-particle" : "", "parse-names" : false, "suffix" : "" }, { "dropping-particle" : "", "family" : "Chines", "given" : "Arkadi", "non-dropping-particle" : "", "parse-names" : false, "suffix" : "" }, { "dropping-particle" : "", "family" : "Cooper", "given" : "Cyrus", "non-dropping-particle" : "", "parse-names" : false, "suffix" : "" }, { "dropping-particle" : "", "family" : "Epstein", "given" : "Sol", "non-dropping-particle" : "", "parse-names" : false, "suffix" : "" }, { "dropping-particle" : "", "family" : "Fielding", "given" : "Roger A.", "non-dropping-particle" : "", "parse-names" : false, "suffix" : "" }, { "dropping-particle" : "", "family" : "Goodpaster", "given" : "Bret", "non-dropping-particle" : "", "parse-names" : false, "suffix" : "" }, { "dropping-particle" : "", "family" : "Kanis", "given" : "John A.", "non-dropping-particle" : "", "parse-names" : false, "suffix" : "" }, { "dropping-particle" : "", "family" : "Kaufman", "given" : "Jean Marc", "non-dropping-particle" : "", "parse-names" : false, "suffix" : "" }, { "dropping-particle" : "", "family" : "Laslop", "given" : "Andrea", "non-dropping-particle" : "", "parse-names" : false, "suffix" : "" }, { "dropping-particle" : "", "family" : "Malafarina", "given" : "Vincenzo", "non-dropping-particle" : "", "parse-names" : false, "suffix" : "" }, { "dropping-particle" : "", "family" : "Ma\u00f1as", "given" : "Leocadio Rodriguez", "non-dropping-particle" : "", "parse-names" : false, "suffix" : "" }, { "dropping-particle" : "", "family" : "Mitlak", "given" : "Bruce H.", "non-dropping-particle" : "", "parse-names" : false, "suffix" : "" }, { "dropping-particle" : "", "family" : "Oreffo", "given" : "Richard O.", "non-dropping-particle" : "", "parse-names" : false, "suffix" : "" }, { "dropping-particle" : "", "family" : "Petermans", "given" : "Jean", "non-dropping-particle" : "", "parse-names" : false, "suffix" : "" }, { "dropping-particle" : "", "family" : "Reid", "given" : "Kieran", "non-dropping-particle" : "", "parse-names" : false, "suffix" : "" }, { "dropping-particle" : "", "family" : "Rolland", "given" : "Yves", "non-dropping-particle" : "", "parse-names" : false, "suffix" : "" }, { "dropping-particle" : "", "family" : "Sayer", "given" : "Avan Aihie", "non-dropping-particle" : "", "parse-names" : false, "suffix" : "" }, { "dropping-particle" : "", "family" : "Tsouderos", "given" : "Yannis", "non-dropping-particle" : "", "parse-names" : false, "suffix" : "" }, { "dropping-particle" : "", "family" : "Visser", "given" : "Marjolein", "non-dropping-particle" : "", "parse-names" : false, "suffix" : "" }, { "dropping-particle" : "", "family" : "Bruy\u00e8re", "given" : "Olivier", "non-dropping-particle" : "", "parse-names" : false, "suffix" : "" } ], "container-title" : "Calcified Tissue International", "id" : "ITEM-2", "issue" : "2", "issued" : { "date-parts" : [ [ "2013" ] ] }, "page" : "101-120", "title" : "Quality of life in sarcopenia and frailty", "type" : "article", "volume" : "93" }, "uris" : [ "http://www.mendeley.com/documents/?uuid=171138d9-b658-4976-b870-21de23242d8a" ] }, { "id" : "ITEM-3", "itemData" : { "DOI" : "10.1152/japplphysiol.00246.2003", "ISBN" : "8750-7587 (Print)\r0161-7567 (Linking)", "PMID" : "14555665", "abstract" : "Sarcopenia, the reduction of muscle mass and strength that occurs with aging, is widely considered one of the major causes of disability in older persons. Surprisingly, criteria that may help a clinician to identify persons with impaired muscle function are still lacking. Using data from a large representative sample of the general population, we examined how muscle function and calf muscle area change with aging and affect mobility in men and women free of neurological conditions. We tested several putative indicators of sarcopenia, including knee extension isometric torque, handgrip, lower extremity muscle power, and calf muscle area. For each indicator, sarcopenia was considered to be present when the measure was &gt;2 SDs below the mean. For all four measures, the prevalence of sarcopenia increased with age, both in men and women. The age-associated gradient in prevalence was maximum for muscle power and minimum for calf-muscle area. However, lower extremity muscle power was no better than knee-extension torque or handgrip in the early identification of poor mobility, defined either as walking speed &lt;0.8 m/s or inability to walk at least 1 km without difficulty and without developing symptoms. Optimal cutoff values that can be used in the clinical practice to identify older persons with poor mobility were developed. The findings of the study lay the basis for a cost-effective, clinical marker of sarcopenia based on a measure of isometric handgrip strength. Our findings should be verified in a longitudinal study.", "author" : [ { "dropping-particle" : "", "family" : "Lauretani", "given" : "F", "non-dropping-particle" : "", "parse-names" : false, "suffix" : "" }, { "dropping-particle" : "", "family" : "Russo", "given" : "C 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 "family" : "Iorio", "given" : "A", "non-dropping-particle" : "Di", "parse-names" : false, "suffix" : "" }, { "dropping-particle" : "", "family" : "Corsi", "given" : "A M", "non-dropping-particle" : "", "parse-names" : false, "suffix" : "" }, { "dropping-particle" : "", "family" : "Rantanen", "given" : "T", "non-dropping-particle" : "", "parse-names" : false, "suffix" : "" }, { "dropping-particle" : "", "family" : "Guralnik", "given" : "J M", "non-dropping-particle" : "", "parse-names" : false, "suffix" : "" }, { "dropping-particle" : "", "family" : "Ferrucci", "given" : "L", "non-dropping-particle" : "", "parse-names" : false, "suffix" : "" } ], "container-title" : "J Appl Physiol (1985)", "edition" : "2003/10/14", "id" : "ITEM-3", "issue" : "5", "issued" : { "date-parts" : [ [ "2003" ] ] }, "language" : "eng", "note" : "Lauretani, Fulvio\nRusso, Cosimo Roberto\nBandinelli, Stefania\nBartali, Benedetta\nCavazzini, Chiara\nDi Iorio, Angelo\nCorsi, Anna Maria\nRantanen, Taina\nGuralnik, Jack M\nFerrucci, Luigi\n263-MD-821336/MD/NIMHD NIH HHS/\n263-MD-9164-13/MD/NIMHD NIH HHS/\nBethesda, Md. : 1985\nJ Appl Physiol (1985). 2003 Nov;95(5):1851-60.", "page" : "1851-1860", "title" : "Age-associated changes in skeletal muscles and their effect on mobility: an operational diagnosis of sarcopenia", "type" : "article-journal", "volume" : "95" }, "uris" : [ "http://www.mendeley.com/documents/?uuid=1ce67969-f87f-418a-b53c-219275c53bc7" ] }, { "id" : "ITEM-4", "itemData" : { "DOI" : "10.1016/j.cger.2011.03.006", "ISBN" : "1879-8853 (Electronic)\r0749-0690 (Linking)", "PMID" : "21824554", "abstract" : "This article describes the relationship of sarcopenia and dynapenia with three important outcomes in aging research: functional status, falls, and mortality. The data from epidemiologic studies conducted in large samples of older men and women suggest that muscle functioning, as indicated by muscle strength or muscle power, has a strong impact on functional status, falls, and mortality. Furthermore, there is evidence that the relationship between poor muscle strength and these three different outcomes is not influenced by muscle size. For the prevention of functional decline, falls, and early mortality in older men and women a major focus on maintaining or increasing muscle strength instead of muscle size seems warranted.", "author" : [ { "dropping-particle" : "", "family" : "Visser", "given" : "M", "non-dropping-particle" : "", "parse-names" : false, "suffix" : "" }, { "dropping-particle" : "", "family" : "Schaap", "given" : "L A", "non-dropping-particle" : "", "parse-names" : false, "suffix" : "" } ], "container-title" : "Clin Geriatr Med", "edition" : "2011/08/10", "id" : "ITEM-4", "issue" : "3", "issued" : { "date-parts" : [ [ "2011" ] ] }, "language" : "eng", "note" : "Visser, Marjolein\nSchaap, Laura A\nClin Geriatr Med. 2011 Aug;27(3):387-99. doi: 10.1016/j.cger.2011.03.006. Epub 2011 May 14.", "page" : "387-399", "title" : "Consequences of sarcopenia", "type" : "article-journal", "volume" : "27" }, "uris" : [ "http://www.mendeley.com/documents/?uuid=6ece2c1a-6807-45fe-aece-d54891ea550c" ] }, { "id" : "ITEM-5", "itemData" : { "DOI" : "10.1007/s00198-009-1059-y", "ISBN" : "1433-2965 (Electronic)\r0937-941X (Linking)", "PMID" : "19779761", "abstract" : "The aging process is associated with loss of muscle mass and strength and decline in physical functioning. The term sarcopenia is primarily defined as low level of muscle mass resulting from age-related muscle loss, but its definition is often broadened to include the underlying cellular processes involved in skeletal muscle loss as well as their clinical manifestations. The underlying cellular changes involve weakening of factors promoting muscle anabolism and increased expression of inflammatory factors and other agents which contribute to skeletal muscle catabolism. At the cellular level, these molecular processes are manifested in a loss of muscle fiber cross-sectional area, loss of innervation, and adaptive changes in the proportions of slow and fast motor units in muscle tissue. Ultimately, these alterations translate to bulk changes in muscle mass, strength, and function which lead to reduced physical performance, disability, increased risk of fall-related injury, and, often, frailty. In this review, we summarize current understanding of the mechanisms underlying sarcopenia and age-related changes in muscle tissue morphology and function. We also discuss the resulting long-term outcomes in terms of loss of function, which causes increased risk of musculoskeletal injuries and other morbidities, leading to frailty and loss of independence.", "author" : [ { "dropping-particle" : "", "family" : "Lang", "given" : "T", "non-dropping-particle" : "", "parse-names" : false, "suffix" : "" }, { "dropping-particle" : "", "family" : "Streeper", "given" : "T", "non-dropping-particle" : "", "parse-names" : false, "suffix" : "" }, { "dropping-particle" : "", "family" : "Cawthon", "given" : "P", "non-dropping-particle" : "", "parse-names" : false, "suffix" : "" }, { "dropping-particle" : "", "family" : "Baldwin", "given" : "K", "non-dropping-particle" : "", "parse-names" : false, "suffix" : "" }, { "dropping-particle" : "", "family" : "Taaffe", "given" : "D R", "non-dropping-particle" : "", "parse-names" : false, "suffix" : "" }, { "dropping-particle" : "", "family" : "Harris", "given" : "T B", "non-dropping-particle" : "", "parse-names" : false, "suffix" : "" } ], "container-title" : "Osteoporos Int", "edition" : "2009/09/26", "id" : "ITEM-5", "issue" : "4", "issued" : { "date-parts" : [ [ "2010" ] ] }, "language" : "eng", "note" : "Lang, T\nStreeper, T\nCawthon, P\nBaldwin, K\nTaaffe, D R\nHarris, T B\nEngland\nOsteoporos Int. 2010 Apr;21(4):543-59. doi: 10.1007/s00198-009-1059-y. Epub 2009 Sep 25.", "page" : "543-559", "title" : "Sarcopenia: etiology, clinical consequences, intervention, and assessment", "type" : "article-journal", "volume" : "21" }, "uris" : [ "http://www.mendeley.com/documents/?uuid=07395118-277d-4b36-ab72-a2dd422885e4" ] }, { "id" : "ITEM-6", "itemData" : { "abstract" : "European Geriatric Medicine -  In Press.Proof corrected by the author  Available online since jeudi 4 f\u00e9vrier 2016", "author" : [ { "dropping-particle" : "", "family" : "Landi", "given" : "F", "non-dropping-particle" : "", "parse-names" : false, "suffix" : "" }, { "dropping-particle" : "", "family" : "Cherubini", "given" : "A", "non-dropping-particle" : "", "parse-names" : false, "suffix" : "" }, { "dropping-particle" : "", "family" : "Cesari", "given" : "M", "non-dropping-particle" : "", "parse-names" : false, "suffix" : "" }, { "dropping-particle" : "", "family" : "Calvani", "given" : "R", "non-dropping-particle" : "", "parse-names" : false, "suffix" : "" }, { "dropping-particle" : "", "family" : "Tosato", "given" : "M", "non-dropping-particle" : "", "parse-names" : false, "suffix" : "" }, { "dropping-particle" : "", "family" : "Sisto", "given" : "A", "non-dropping-particle" : "", "parse-names" : false, "suffix" : "" }, { "dropping-particle" : "", "family" : "Martone", "given" : "A M", "non-dropping-particle" : "", "parse-names" : false, "suffix" : "" }, { "dropping-particle" : "", "family" : "Bernabei", "given" : "R", "non-dropping-particle" : "", "parse-names" : false, "suffix" : "" }, { "dropping-particle" : "", "family" : "Marzetti", "given" : "E", "non-dropping-particle" : "", "parse-names" : false, "suffix" : "" } ], "id" : "ITEM-6", "issued" : { "date-parts" : [ [ "2016", "4", "2" ] ] }, "language" : "en", "publisher" : "Elsevier Masson", "title" : "Sarcopenia and frailty: From theoretical approach into clinical practice", "type" : "article" }, "uris" : [ "http://www.mendeley.com/documents/?uuid=1a711166-bdea-4d7e-b73f-78dc50886f6b" ] }, { "id" : "ITEM-7", "itemData" : { "DOI" : "10.1016/j.clnu.2012.02.007", "ISBN" : "1532-1983 (Electronic)\r0261-5614 (Linking)", "PMID" : "22414775", "abstract" : "BACKGROUND &amp; AIMS: Sarcopenia has been indicated as a reliable marker of frailty and poor prognosis among the oldest individuals. We evaluated the relationship between sarcopenia and 2-year risk of falls in a population of persons aged 80 years or older. METHODS: Data are from the baseline and follow-up evaluations of the Aging and Longevity Study in the Sirente Geographic Area (ilSIRENTE Study) (n=260). According to the European Working Group on Sarcopenia in Older People (EWGSOP), sarcopenia was diagnosed in presence of low muscle mass (mid-arm muscle circumference) plus either low muscle strength (hand grip) or low physical performance (4-m walking speed). The primary outcome measure was the incident falls during the follow-up period of 2 years. The relationship between sarcopenia and incident falls was estimated by deriving hazard ratios (HRs) from multiple logistic regression models considering the dependent variable of interest at least one fall during the follow-up period. RESULTS: Sixty-six participants (25.4%) were identified as affected by sarcopenia. Eighteen out of 66 (27.3%) participants with sarcopenia and 19 out of 194 (9.8%) without sarcopenia reported incident falls during the two-year follow-up of the study (p&lt;0.001). After adjusting for age, gender, cognitive impairment, ADL impairment, sensory impairments, BMI, depression, physical activity, cholesterol, stroke, diabetes, number of medications, and C-reactive protein, participants with sarcopenia had a higher risk of incident falls compared with non sarcopenic subjects (adjusted hazard ratio [HR], 3.23; 95% confidence interval [CI], 1.25-8.29). CONCLUSIONS: The present study suggests that sarcopenia - assessed using the EWGSOP algorithm - is highly prevalent among elderly persons without gender differences (25%). Sarcopenic participants were over three times more likely to fall during a follow-up period of 2 years relative to non sarcopenic individuals, regardless of age, gender and other confounding factors.", "author" : [ { "dropping-particle" : "", "family" : "Landi", "given" : "F", "non-dropping-particle" : "", "parse-names" : false, "suffix" : "" }, { "dropping-particle" : "", "family" : "Liperoti", "given" : "R", "non-dropping-particle" : "", "parse-names" : false, "suffix" : "" }, { "dropping-particle" : "", "family" : "Russo", "given" : "A", "non-dropping-particle" : "", "parse-names" : false, "suffix" : "" }, { "dropping-particle" : "", "family" : "Giovannini", "given" : "S", "non-dropping-particle" : "", "parse-names" : false, "suffix" : "" }, { "dropping-particle" : "", "family" : "Tosato", "given" : "M", "non-dropping-particle" : "", "parse-names" : false, "suffix" : "" }, { "dropping-particle" : "", "family" : "Capoluongo", "given" : "E", "non-dropping-particle" : "", "parse-names" : false, "suffix" : "" }, { "dropping-particle" : "", "family" : "Bernabei", "given" : "R", "non-dropping-particle" : "", "parse-names" : false, "suffix" : "" }, { "dropping-particle" : "", "family" : "Onder", "given" : "G", "non-dropping-particle" : "", "parse-names" : false, "suffix" : "" } ], "container-title" : "Clin Nutr", "edition" : "2012/03/15", "id" : "ITEM-7", "issue" : "5", "issued" : { "date-parts" : [ [ "2012" ] ] }, "language" : "eng", "note" : "Landi, Francesco\nLiperoti, Rosa\nRusso, Andrea\nGiovannini, Silvia\nTosato, Matteo\nCapoluongo, Ettore\nBernabei, Roberto\nOnder, Graziano\nEngland\nEdinburgh, Scotland\nClin Nutr. 2012 Oct;31(5):652-8. doi: 10.1016/j.clnu.2012.02.007. Epub 2012 Mar 11.", "page" : "652-658", "title" : "Sarcopenia as a risk factor for falls in elderly individuals: results from the ilSIRENTE study", "type" : "article-journal", "volume" : "31" }, "uris" : [ "http://www.mendeley.com/documents/?uuid=a373e59f-19fc-42ee-aa9d-c6f58cc76804" ] } ], "mendeley" : { "formattedCitation" : "&lt;sup&gt;13\u201319&lt;/sup&gt;", "plainTextFormattedCitation" : "13\u201319", "previouslyFormattedCitation" : "&lt;sup&gt;13\u201319&lt;/sup&gt;" }, "properties" : { "noteIndex" : 0 }, "schema" : "https://github.com/citation-style-language/schema/raw/master/csl-citation.json" }</w:instrText>
      </w:r>
      <w:r w:rsidR="00497414" w:rsidRPr="000B0221">
        <w:fldChar w:fldCharType="separate"/>
      </w:r>
      <w:r w:rsidR="008069A0" w:rsidRPr="008069A0">
        <w:rPr>
          <w:noProof/>
          <w:vertAlign w:val="superscript"/>
        </w:rPr>
        <w:t>13–19</w:t>
      </w:r>
      <w:r w:rsidR="00497414" w:rsidRPr="000B0221">
        <w:fldChar w:fldCharType="end"/>
      </w:r>
      <w:r w:rsidR="00943DEC" w:rsidRPr="000B0221">
        <w:t xml:space="preserve">. </w:t>
      </w:r>
    </w:p>
    <w:p w14:paraId="61276E43" w14:textId="362609BF" w:rsidR="002F4D82" w:rsidRPr="000B0221" w:rsidRDefault="00B11F75" w:rsidP="00A85BA3">
      <w:pPr>
        <w:spacing w:line="360" w:lineRule="auto"/>
        <w:jc w:val="both"/>
      </w:pPr>
      <w:r>
        <w:t>Current research is focusing on nutritional exercise/activity based and</w:t>
      </w:r>
      <w:r w:rsidR="00454CBA" w:rsidRPr="000B0221">
        <w:t xml:space="preserve"> other </w:t>
      </w:r>
      <w:r w:rsidR="0066471E" w:rsidRPr="000B0221">
        <w:t>novel interventions for improving the quality and quantity of skeletal muscle</w:t>
      </w:r>
      <w:r>
        <w:t xml:space="preserve"> in older people</w:t>
      </w:r>
      <w:r w:rsidR="00454CBA" w:rsidRPr="000B0221">
        <w:t xml:space="preserve">. </w:t>
      </w:r>
      <w:r w:rsidR="00D20B97" w:rsidRPr="000B0221">
        <w:t xml:space="preserve">Some studies </w:t>
      </w:r>
      <w:r w:rsidR="00CA4A11" w:rsidRPr="000B0221">
        <w:t>demonstrated</w:t>
      </w:r>
      <w:r w:rsidR="00D20B97" w:rsidRPr="000B0221">
        <w:t xml:space="preserve"> that resistance training combined with nutritional supplements </w:t>
      </w:r>
      <w:r w:rsidR="00CA4A11" w:rsidRPr="000B0221">
        <w:t xml:space="preserve">can </w:t>
      </w:r>
      <w:r w:rsidR="00D20B97" w:rsidRPr="000B0221">
        <w:t>improve muscle function</w:t>
      </w:r>
      <w:r w:rsidR="00D20B97" w:rsidRPr="000B0221">
        <w:fldChar w:fldCharType="begin" w:fldLock="1"/>
      </w:r>
      <w:r w:rsidR="007E0300">
        <w:instrText>ADDIN CSL_CITATION { "citationItems" : [ { "id" : "ITEM-1", "itemData" : { "DOI" : "10.1093/ageing/afu115", "ISBN" : "1468-2834 (Electronic)\r0002-0729 (Linking)", "PMID" : "25241753", "abstract" : "OBJECTIVE: to examine the clinical evidence reporting the prevalence of sarcopenia and the effect of nutrition and exercise interventions from studies using the consensus definition of sarcopenia proposed by the European Working Group on Sarcopenia in Older People (EWGSOP). METHODS: PubMed and Dialog databases were searched (January 2000-October 2013) using pre-defined search terms. Prevalence studies and intervention studies investigating muscle mass plus strength or function outcome measures using the EWGSOP definition of sarcopenia, in well-defined populations of adults aged &gt;/=50 years were selected. RESULTS: prevalence of sarcopenia was, with regional and age-related variations, 1-29% in community-dwelling populations, 14-33% in long-term care populations and 10% in the only acute hospital-care population examined. Moderate quality evidence suggests that exercise interventions improve muscle strength and physical performance. The results of nutrition interventions are equivocal due to the low number of studies and heterogeneous study design. Essential amino acid (EAA) supplements, including approximately 2.5 g of leucine, and beta-hydroxy beta-methylbutyric acid (HMB) supplements, show some effects in improving muscle mass and function parameters. Protein supplements have not shown consistent benefits on muscle mass and function. CONCLUSION: prevalence of sarcopenia is substantial in most geriatric settings. Well-designed, standardised studies evaluating exercise or nutrition interventions are needed before treatment guidelines can be developed. Physicians should screen for sarcopenia in both community and geriatric settings, with diagnosis based on muscle mass and function. Supervised resistance exercise is recommended for individuals with sarcopenia. EAA (with leucine) and HMB may improve muscle outcomes.", "author" : [ { "dropping-particle" : "", "family" : "Cruz-Jentoft", "given" : "A J", "non-dropping-particle" : "", "parse-names" : false, "suffix" : "" }, { "dropping-particle" : "", "family" : "Landi", "given" : "F", "non-dropping-particle" : "", "parse-names" : false, "suffix" : "" }, { "dropping-particle" : "", "family" : "Schneider", "given" : "S M", "non-dropping-particle" : "", "parse-names" : false, "suffix" : "" }, { "dropping-particle" : "", "family" : "Zuniga", "given" : "C", "non-dropping-particle" : "", "parse-names" : false, "suffix" : "" }, { "dropping-particle" : "", "family" : "Arai", "given" : "H", "non-dropping-particle" : "", "parse-names" : false, "suffix" : "" }, { "dropping-particle" : "", "family" : "Boirie", "given" : "Y", "non-dropping-particle" : "", "parse-names" : false, "suffix" : "" }, { "dropping-particle" : "", "family" : "Chen", "given" : "L K", "non-dropping-particle" : "", "parse-names" : false, "suffix" : "" }, { "dropping-particle" : "", "family" : "Fielding", "given" : "R A", "non-dropping-particle" : "", "parse-names" : false, "suffix" : "" }, { "dropping-particle" : "", "family" : "Martin", "given" : "F C", "non-dropping-particle" : "", "parse-names" : false, "suffix" : "" }, { "dropping-particle" : "", "family" : "Michel", "given" : "J P", "non-dropping-particle" : "", "parse-names" : false, "suffix" : "" }, { "dropping-particle" : "", "family" : "Sieber", "given" : "C", "non-dropping-particle" : "", "parse-names" : false, "suffix" : "" }, { "dropping-particle" : "", "family" : "Stout", "given" : "J R", "non-dropping-particle" : "", "parse-names" : false, "suffix" : "" }, { "dropping-particle" : "", "family" : "Studenski", "given" : "S A", "non-dropping-particle" : "", "parse-names" : false, "suffix" : "" }, { "dropping-particle" : "", "family" : "Vellas", "given" : "B", "non-dropping-particle" : "", "parse-names" : false, "suffix" : "" }, { "dropping-particle" : "", "family" : "Woo", "given" : "J", "non-dropping-particle" : "", "parse-names" : false, "suffix" : "" }, { "dropping-particle" : "", "family" : "Zamboni", "given" : "M", "non-dropping-particle" : "", "parse-names" : false, "suffix" : "" }, { "dropping-particle" : "", "family" : "Cederholm", "given" : "T", "non-dropping-particle" : "", "parse-names" : false, "suffix" : "" } ], "container-title" : "Age Ageing", "edition" : "2014/09/23", "id" : "ITEM-1", "issued" : { "date-parts" : [ [ "2014" ] ] }, "language" : "Eng", "note" : "Cruz-Jentoft, Alfonso J\nLandi, Francesco\nSchneider, Stephane M\nZuniga, Clemente\nArai, Hidenori\nBoirie, Yves\nChen, Liang-Kung\nFielding, Roger A\nMartin, Finbarr C\nMichel, Jean-Pierre\nSieber, Cornel\nStout, Jeffrey R\nStudenski, Stephanie A\nVellas, Bruno\nWoo, Jean\nZamboni, Mauro\nCederholm, Tommy\nAge Ageing. 2014 Sep 21. pii: afu115.", "title" : "Prevalence of and interventions for sarcopenia in ageing adults: a systematic review. Report of the International Sarcopenia Initiative (EWGSOP and IWGS)", "type" : "article-journal" }, "uris" : [ "http://www.mendeley.com/documents/?uuid=49a7d81c-efe3-4e43-b132-d9e18584453e" ] }, { "id" : "ITEM-2", "itemData" : { "DOI" : "10.2147/CIA.S55842",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"ITEM-2", "issued" : { "date-parts" : [ [ "2015", "1" ] ] }, "page" : "859-69", "title" : "Prevention and optimal management of sarcopenia: a review of combined exercise and nutrition interventions to improve muscle outcomes in older people.", "type" : "article-journal", "volume" : "10" }, "uris" : [ "http://www.mendeley.com/documents/?uuid=8347baa6-fb8f-48ab-afdf-fd2b68ac033e" ] }, { "id" : "ITEM-3", "itemData" : { "DOI" : "10.1007/s00726-013-1592-z", "ISSN" : "1438-2199", "PMID" : "24057808", "abstract" : "Beta-hydroxy-beta-methylbutyrate (HMB), a metabolite of the branched-chain amino acid leucine, is extensively used by athletes and bodybuilders in order to increase strength, muscle mass and exercise performance. We performed a systematic review of the clinical literature on the effectiveness of HMB supplementation in healthy and pathological conditions (i.e. training programs, aging, acute and chronic diseases, and after bariatric surgery). We reviewed all clinical trials indexed in Medline that tested HMB supplementation as well as all the experimental data regarding HMB intracellular mechanisms of action. Search terms included: randomized controlled trials, controlled clinical trials, single- and double-blind method, HMB, proteolytic pathways, muscle atrophy, cachexia, and training. We found out 13 studies testing HMB in healthy young trained subjects, 11 in healthy young untrained subjects, 9 in patients affected by chronic diseases (i.e. cancer, HIV, chronic obstructive pulmonary disease), and 6 in elderly subjects. The indexed studies support that HMB is effective in preventing exercise-related muscle damage in healthy trained and untrained individuals as well as muscle loss during chronic diseases. Most of the selected studies showed the effectiveness of HMB in preventing exercise-related muscle damage in healthy trained and untrained individuals as well as muscle loss during chronic diseases. The usual dose of 3\u00a0g/day may be routinely recommended to maintain or improve muscle mass and function in health and disease. The safety profile of HMB is unequivocal. Further, well-designed clinical studies are needed to confirm effectiveness and mode of action of HMB, particularly in pathological conditions.", "author" : [ { "dropping-particle" : "", "family" : "Molfino", "given" : "Alessio", "non-dropping-particle" : "", "parse-names" : false, "suffix" : "" }, { "dropping-particle" : "", "family" : "Gioia", "given" : "Gianfranco", "non-dropping-particle" : "", "parse-names" : false, "suffix" : "" }, { "dropping-particle" : "", "family" : "Rossi Fanelli", "given" : "Filippo", "non-dropping-particle" : "", "parse-names" : false, "suffix" : "" }, { "dropping-particle" : "", "family" : "Muscaritoli", "given" : "Maurizio", "non-dropping-particle" : "", "parse-names" : false, "suffix" : "" } ], "container-title" : "Amino acids", "id" : "ITEM-3", "issue" : "6", "issued" : { "date-parts" : [ [ "2013", "12" ] ] }, "page" : "1273-92", "title" : "Beta-hydroxy-beta-methylbutyrate supplementation in health and disease: a systematic review of randomized trials.", "type" : "article-journal", "volume" : "45" }, "uris" : [ "http://www.mendeley.com/documents/?uuid=66db7897-c142-45d8-a944-093a5fa0233b" ] }, { "id" : "ITEM-4", "itemData" : { "DOI" : "10.1249/MSS.0000000000000220", "ISSN" : "1530-0315", "PMID" : "24576864", "abstract" : "INTRODUCTION: Age-related sarcopenia and dynapenia have negative effects on strength and the ability to perform activities of daily living. Resistance training (RT) increases muscle mass and strength in older adults and is an established countermeasure for sarcopenia and dynapenia, and creatine may enhance this effect. We aimed to determine whether the addition of Cr to RT increased gains in muscle mass, strength, and function in older adults over RT alone by conducting a systematic review and meta-analysis.\n\nMETHODS: PubMed and Healthstar databases were searched. Randomized, placebo-controlled trials that involved older adults supplemented with Cr and included RT regimens (&gt;6 wk) were included. Data were analyzed using fixed or random (if data were heterogeneous) effects meta-analysis using RevMan 5.\n\nRESULTS: The meta-analysis comprised 357 older adults (average \u00b1 SD Cr: 63.6 \u00b1 5.9 yr, Pl: 64.2 \u00b1 5.4 yr) with 12.6 \u00b1 4.9 wk of RT. Cr + RT increased total body mass (P = 0.004) and fat-free mass (P &lt; 0.0001) with no effect on fat mass as compared with RT alone. Cr + RT increased chest press (P = 0.004) and leg press (P = 0.02) one-repetition maximum to a greater extent than RT alone, with no difference in the effect on knee extension or biceps curl one-repetition maximum, isokinetic or isometric knee extension peak torque. Cr + RT had a greater effect than RT alone on the 30-s chair stand test (P = 0.03).\n\nCONCLUSION: Retention of muscle mass and strength is integral to healthy aging. The results from this meta-analysis are encouraging in supporting a role for Cr supplementation during RT in healthful aging by enhancing muscle mass gain, strength, and functional performance over RT alone; however, the limited number of studies indicates further work is needed.", "author" : [ { "dropping-particle" : "", "family" : "Devries", "given" : "Michaela C", "non-dropping-particle" : "", "parse-names" : false, "suffix" : "" }, { "dropping-particle" : "", "family" : "Phillips", "given" : "Stuart M", "non-dropping-particle" : "", "parse-names" : false, "suffix" : "" } ], "container-title" : "Medicine and science in sports and exercise", "id" : "ITEM-4", "issue" : "6", "issued" : { "date-parts" : [ [ "2014", "6" ] ] }, "page" : "1194-203", "title" : "Creatine supplementation during resistance training in older adults-a meta-analysis.", "type" : "article-journal", "volume" : "46" }, "uris" : [ "http://www.mendeley.com/documents/?uuid=edae9dd5-4fc7-4b22-a05b-f663e93d326c" ] } ], "mendeley" : { "formattedCitation" : "&lt;sup&gt;11,20\u201322&lt;/sup&gt;", "plainTextFormattedCitation" : "11,20\u201322", "previouslyFormattedCitation" : "&lt;sup&gt;11,20\u201322&lt;/sup&gt;" }, "properties" : { "noteIndex" : 0 }, "schema" : "https://github.com/citation-style-language/schema/raw/master/csl-citation.json" }</w:instrText>
      </w:r>
      <w:r w:rsidR="00D20B97" w:rsidRPr="000B0221">
        <w:fldChar w:fldCharType="separate"/>
      </w:r>
      <w:r w:rsidR="008069A0" w:rsidRPr="008069A0">
        <w:rPr>
          <w:noProof/>
          <w:vertAlign w:val="superscript"/>
        </w:rPr>
        <w:t>11,20–22</w:t>
      </w:r>
      <w:r w:rsidR="00D20B97" w:rsidRPr="000B0221">
        <w:fldChar w:fldCharType="end"/>
      </w:r>
      <w:r w:rsidR="003C6C78">
        <w:t>.A</w:t>
      </w:r>
      <w:r w:rsidR="003C6C78" w:rsidRPr="000B0221">
        <w:t xml:space="preserve"> </w:t>
      </w:r>
      <w:r w:rsidR="00D20B97" w:rsidRPr="000B0221">
        <w:t xml:space="preserve">number of pharmacological interventions </w:t>
      </w:r>
      <w:r w:rsidR="00CA4A11" w:rsidRPr="000B0221">
        <w:t>are in development</w:t>
      </w:r>
      <w:r w:rsidR="003C6C78">
        <w:t xml:space="preserve"> but no single agent has been shown to be clinically effective, without unwanted effects, in maintaining or increasing skeletal muscle mass or function</w:t>
      </w:r>
      <w:r w:rsidR="00D20B97" w:rsidRPr="000B0221">
        <w:t xml:space="preserve">. </w:t>
      </w:r>
      <w:r w:rsidR="00CA4A11" w:rsidRPr="000B0221">
        <w:t>With the prospect of effective interventions,</w:t>
      </w:r>
      <w:r w:rsidR="00D20B97" w:rsidRPr="000B0221">
        <w:t xml:space="preserve"> the </w:t>
      </w:r>
      <w:r w:rsidR="003C6C78">
        <w:t xml:space="preserve">identification and </w:t>
      </w:r>
      <w:r w:rsidR="00D20B97" w:rsidRPr="000B0221">
        <w:t xml:space="preserve">assessment of sarcopenia </w:t>
      </w:r>
      <w:r w:rsidR="00CA4A11" w:rsidRPr="000B0221">
        <w:t>will</w:t>
      </w:r>
      <w:r w:rsidR="00D20B97" w:rsidRPr="000B0221">
        <w:t xml:space="preserve"> become particularly important </w:t>
      </w:r>
      <w:r w:rsidR="002F4D82" w:rsidRPr="000B0221">
        <w:t xml:space="preserve">to prevent disability and other negative health outcome </w:t>
      </w:r>
      <w:r w:rsidR="00D20B97" w:rsidRPr="000B0221">
        <w:t>in the ne</w:t>
      </w:r>
      <w:r w:rsidR="000D7927">
        <w:t>ar</w:t>
      </w:r>
      <w:r w:rsidR="00D20B97" w:rsidRPr="000B0221">
        <w:t xml:space="preserve"> future. </w:t>
      </w:r>
    </w:p>
    <w:p w14:paraId="31515F21" w14:textId="56B6CA21" w:rsidR="000E7F6E" w:rsidRPr="000B0221" w:rsidRDefault="00454CBA" w:rsidP="00A85BA3">
      <w:pPr>
        <w:spacing w:line="360" w:lineRule="auto"/>
        <w:jc w:val="both"/>
      </w:pPr>
      <w:r w:rsidRPr="000B0221">
        <w:t xml:space="preserve">The </w:t>
      </w:r>
      <w:r w:rsidR="00605B0E">
        <w:t>challenge</w:t>
      </w:r>
      <w:r w:rsidR="00605B0E" w:rsidRPr="000B0221">
        <w:t xml:space="preserve"> </w:t>
      </w:r>
      <w:r w:rsidRPr="000B0221">
        <w:t xml:space="preserve">in clinical practice will be in the assessment of sarcopenia to identify those who might benefit most from </w:t>
      </w:r>
      <w:r w:rsidR="00D20B97" w:rsidRPr="000B0221">
        <w:t xml:space="preserve">these </w:t>
      </w:r>
      <w:r w:rsidRPr="000B0221">
        <w:t>intervention</w:t>
      </w:r>
      <w:r w:rsidR="00D20B97" w:rsidRPr="000B0221">
        <w:t>s</w:t>
      </w:r>
      <w:r w:rsidRPr="000B0221">
        <w:t xml:space="preserve">.  </w:t>
      </w:r>
      <w:r w:rsidR="00605B0E">
        <w:t>Among</w:t>
      </w:r>
      <w:r w:rsidR="00605B0E" w:rsidRPr="000B0221">
        <w:t xml:space="preserve"> </w:t>
      </w:r>
      <w:r w:rsidR="00A85BA3" w:rsidRPr="000B0221">
        <w:t>the l current definitions of sarcopenia</w:t>
      </w:r>
      <w:r w:rsidR="00A85BA3" w:rsidRPr="000B0221">
        <w:fldChar w:fldCharType="begin" w:fldLock="1"/>
      </w:r>
      <w:r w:rsidR="007E0300">
        <w:instrText>ADDIN CSL_CITATION { "citationItems" : [ { "id" : "ITEM-1", "itemData" : { "ISBN" : "0002-9262 (Print)\r0002-9262 (Linking)", "PMID" : "9554417", "abstract" : "Muscle mass decreases with age, leading to \"sarcopenia,\" or low relative muscle mass, in elderly people. Sarcopenia is believed to be associated with metabolic, physiologic, and functional impairments and disability. Methods of estimating the prevalence of sarcopenia and its associated risks in elderly populations are lacking. Data from a population-based survey of 883 elderly Hispanic and non-Hispanic white men and women living in New Mexico (the New Mexico Elder Health Survey, 1993-1995) were analyzed to develop a method for estimating the prevalence of sarcopenia. An anthropometric equation for predicting appendicular skeletal muscle mass was developed from a random subsample (n = 199) of participants and was extended to the total sample. Sarcopenia was defined as appendicular skeletal muscle mass (kg)/height2 (m2) being less than two standard deviations below the mean of a young reference group. Prevalences increased from 13-24% in persons under 70 years of age to &gt;50% in persons over 80 years of age, and were slightly greater in Hispanics than in non-Hispanic whites. Sarcopenia was significantly associated with self-reported physical disability in both men and women, independent of ethnicity, age, morbidity, obesity, income, and health behaviors. This study provides some of the first estimates of the extent of the public health problem posed by sarcopenia.", "author" : [ { "dropping-particle" : "", "family" : "Baumgartner", "given" : "R N", "non-dropping-particle" : "", "parse-names" : false, "suffix" : "" }, { "dropping-particle" : "", "family" : "Koehler", "given" : "K M", "non-dropping-particle" : "", "parse-names" : false, "suffix" : "" }, { "dropping-particle" : "", "family" : "Gallagher", "given" : "D", "non-dropping-particle" : "", "parse-names" : false, "suffix" : "" }, { "dropping-particle" : "", "family" : "Romero", "given" : "L", "non-dropping-particle" : "", "parse-names" : false, "suffix" : "" }, { "dropping-particle" : "", "family" : "Heymsfield", "given" : "S B", "non-dropping-particle" : "", "parse-names" : false, "suffix" : "" }, { "dropping-particle" : "", "family" : "Ross", "given" : "R R", "non-dropping-particle" : "", "parse-names" : false, "suffix" : "" }, { "dropping-particle" : "", "family" : "Garry", "given" : "P J", "non-dropping-particle" : "", "parse-names" : false, "suffix" : "" }, { "dropping-particle" : "", "family" : "Lindeman", "given" : "R D", "non-dropping-particle" : "", "parse-names" : false, "suffix" : "" } ], "container-title" : "Am J Epidemiol", "edition" : "1998/04/29", "id" : "ITEM-1", "issue" : "8", "issued" : { "date-parts" : [ [ "1998" ] ] }, "language" : "eng", "note" : "Baumgartner, R N\nKoehler, K M\nGallagher, D\nRomero, L\nHeymsfield, S B\nRoss, R R\nGarry, P J\nLindeman, R D\nAG02049/AG/NIA NIH HHS/\nAG10149/AG/NIA NIH HHS/\nAG10941/AG/NIA NIH HHS/\netc.\nAm J Epidemiol. 1998 Apr 15;147(8):755-63.", "page" : "755-763", "title" : "Epidemiology of sarcopenia among the elderly in New Mexico", "type" : "article-journal", "volume" : "147" }, "uris" : [ "http://www.mendeley.com/documents/?uuid=65d750ea-4bf3-4844-93dd-edad8060df2e" ] }, { "id" : "ITEM-2",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"id" : "ITEM-2",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"http://www.mendeley.com/documents/?uuid=3d1f265c-6af0-49a0-b05a-8d359df2f375" ] }, { "id" : "ITEM-3",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manuscripts.\n\nMETHODS: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groups.\n\nRESULTS: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women.\n\nCONCLUSIONS: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Biological sciences and medical sciences", "id" : "ITEM-3", "issue" : "5", "issued" : { "date-parts" : [ [ "2014", "5" ] ] }, "page" : "547-58", "title" : "The FNIH sarcopenia project: rationale, study description, conference recommendations, and final estimates.", "type" : "article-journal", "volume" : "69" }, "uris" : [ "http://www.mendeley.com/documents/?uuid=6e4e94fb-1e9f-491f-87b7-c5d621323b4b" ] } ], "mendeley" : { "formattedCitation" : "&lt;sup&gt;3,7,8&lt;/sup&gt;", "plainTextFormattedCitation" : "3,7,8", "previouslyFormattedCitation" : "&lt;sup&gt;3,7,8&lt;/sup&gt;" }, "properties" : { "noteIndex" : 0 }, "schema" : "https://github.com/citation-style-language/schema/raw/master/csl-citation.json" }</w:instrText>
      </w:r>
      <w:r w:rsidR="00A85BA3" w:rsidRPr="000B0221">
        <w:fldChar w:fldCharType="separate"/>
      </w:r>
      <w:r w:rsidR="00D705F0" w:rsidRPr="000B0221">
        <w:rPr>
          <w:noProof/>
          <w:vertAlign w:val="superscript"/>
        </w:rPr>
        <w:t>3,7,8</w:t>
      </w:r>
      <w:r w:rsidR="00A85BA3" w:rsidRPr="000B0221">
        <w:fldChar w:fldCharType="end"/>
      </w:r>
      <w:r w:rsidR="00A85BA3" w:rsidRPr="000B0221">
        <w:t xml:space="preserve">, there is </w:t>
      </w:r>
      <w:r w:rsidR="00605B0E">
        <w:t xml:space="preserve">a </w:t>
      </w:r>
      <w:r w:rsidR="00A85BA3" w:rsidRPr="000B0221">
        <w:t xml:space="preserve">general agreement on the need for muscle mass </w:t>
      </w:r>
      <w:r w:rsidR="00605B0E">
        <w:t xml:space="preserve">measurement </w:t>
      </w:r>
      <w:r w:rsidR="00A85BA3" w:rsidRPr="000B0221">
        <w:t xml:space="preserve">with varying recommendations </w:t>
      </w:r>
      <w:r w:rsidR="00605B0E">
        <w:t>on</w:t>
      </w:r>
      <w:r w:rsidR="00605B0E" w:rsidRPr="000B0221">
        <w:t xml:space="preserve"> </w:t>
      </w:r>
      <w:r w:rsidR="00A85BA3" w:rsidRPr="000B0221">
        <w:t>the role</w:t>
      </w:r>
      <w:r w:rsidR="00605B0E">
        <w:t>s</w:t>
      </w:r>
      <w:r w:rsidR="00A85BA3" w:rsidRPr="000B0221">
        <w:t xml:space="preserve"> of muscle strength </w:t>
      </w:r>
      <w:r w:rsidR="00605B0E">
        <w:t xml:space="preserve">assessment </w:t>
      </w:r>
      <w:r w:rsidR="00A85BA3" w:rsidRPr="000B0221">
        <w:t xml:space="preserve">and/or physical performance. </w:t>
      </w:r>
      <w:r w:rsidR="00605B0E">
        <w:t>Currently, s</w:t>
      </w:r>
      <w:r w:rsidR="00A85BA3" w:rsidRPr="000B0221">
        <w:t xml:space="preserve">everal well validated tools exist to measure these parameters, </w:t>
      </w:r>
      <w:r w:rsidR="00CA4A11" w:rsidRPr="000B0221">
        <w:t xml:space="preserve">which </w:t>
      </w:r>
      <w:r w:rsidR="00A85BA3" w:rsidRPr="000B0221">
        <w:t>have been reviewed recently</w:t>
      </w:r>
      <w:r w:rsidR="00A85BA3" w:rsidRPr="000B0221">
        <w:rPr>
          <w:vertAlign w:val="superscript"/>
        </w:rPr>
        <w:t>18,</w:t>
      </w:r>
      <w:r w:rsidR="00A85BA3" w:rsidRPr="000B0221">
        <w:fldChar w:fldCharType="begin" w:fldLock="1"/>
      </w:r>
      <w:r w:rsidR="007E0300">
        <w:instrText>ADDIN CSL_CITATION { "citationItems" : [ { "id" : "ITEM-1", "itemData" : { "DOI" : "10.1007/s00223-013-9757-z", "ISBN" : "1432-0827 (Electronic)\r0171-967X (Linking)",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"edition" : "2013/07/12", "id" : "ITEM-1", "issue" : "3", "issued" : { "date-parts" : [ [ "2013" ] ] }, "language" : "eng", "note" : "Cooper, C\nFielding, R\nVisser, M\nvan Loon, L J\nRolland, Y\nOrwoll, E\nReid, K\nBoonen, S\nDere, W\nEpstein, S\nMitlak, B\nTsouderos, Y\nSayer, A A\nRizzoli, R\nReginster, J Y\nKanis, J A\nMC_U147585819/Medical Research Council/United Kingdom\nMC_UP_A620_1014/Medical Research Council/United Kingdom\nMC_UP_A620_1015/Medical Research Council/United Kingdom\nMC_UU_12011/1/Medical Research Council/United Kingdom\nCalcif Tissue Int. 2013 Sep;93(3):201-10. doi: 10.1007/s00223-013-9757-z. Epub 2013 Jul 11.", "page" : "201-210", "title" : "Tools in the assessment of sarcopenia", "type" : "article-journal", "volume" : "93" }, "uris" : [ "http://www.mendeley.com/documents/?uuid=4737d2f7-e983-40c8-8a47-1b49ff61897b" ] }, { "id" : "ITEM-2", "itemData" : { "DOI" : "10.1016/j.jamda.2012.10.009", "ISBN" : "1538-9375 (Electronic)\r1525-8610 (Linking)", "PMID" : "23276432", "abstract" : "BACKGROUND: This study critically appraises the measurement properties of tools to measure muscle mass, strength, and physical performance in community-dwelling older people. This can support the selection of a valid and reliable set of tools that is feasible for future screening and identification of sarcopenia. METHODS: The databases PubMed, Cumulative Index to Nursing and Allied Health Literature (CINAHL), and Cochrane were systematically searched (January 11, 2012). Studies were included if they investigated the measurement properties or feasibility, or both, of tools to measure muscle mass, strength, and physical performance in community-dwelling older people aged &gt;/=60 years. The consensus-based standards for the selection of health status measurement instruments (COSMIN) checklist was used for quality appraisal of the studies. RESULTS: Sixty-two publications were deemed eligible, including tools for muscle mass (n = 16), muscle strength (n = 15), and physical performance (n = 31). Magnetic resonance imaging, computed tomography, and a 4-compartment model were used as gold standards for muscle mass assessment. Other frequently used measures of muscle mass are dual-energy x-ray and the bioelectrical impedance (BIA); however, reliability data of the BIA are lacking. Handheld dynamometry and gait speed or a short physical performance battery provide a valid and reliable measurement of muscle strength and physical performance, respectively. CONCLUSIONS: It can be concluded that several tools are available for valid and reliable measurements of muscle mass, strength, and performance in clinical settings. For a home-setting BIA, handheld dynamometry and gait speed or a short physical performance battery are the most valid, reliable, and feasible. The combination of selected instruments and its use for the screening and identification of sarcopenia in community-dwelling older people need further evaluation.", "author" : [ { "dropping-particle" : "", "family" : "Mijnarends", "given" : "D M", "non-dropping-particle" : "", "parse-names" : false, "suffix" : "" }, { "dropping-particle" : "", "family" : "Meijers", "given" : "J M", "non-dropping-particle" : "", "parse-names" : false, "suffix" : "" }, { "dropping-particle" : "", "family" : "Halfens", "given" : "R J", "non-dropping-particle" : "", "parse-names" : false, "suffix" : "" }, { "dropping-particle" : "", "family" : "Borg", "given" : "S", "non-dropping-particle" : "ter", "parse-names" : false, "suffix" : "" }, { "dropping-particle" : "", "family" : "Luiking", "given" : "Y C", "non-dropping-particle" : "", "parse-names" : false, "suffix" : "" }, { "dropping-particle" : "", "family" : "Verlaan", "given" : "S", "non-dropping-particle" : "", "parse-names" : false, "suffix" : "" }, { "dropping-particle" : "", "family" : "Schoberer", "given" : "D", "non-dropping-particle" : "", "parse-names" : false, "suffix" : "" }, { "dropping-particle" : "", "family" : "Cruz Jentoft", "given" : "A J", "non-dropping-particle" : "", "parse-names" : false, "suffix" : "" }, { "dropping-particle" : "", "family" : "Loon", "given" : "L J", "non-dropping-particle" : "van", "parse-names" : false, "suffix" : "" }, { "dropping-particle" : "", "family" : "Schols", "given" : "J M", "non-dropping-particle" : "", "parse-names" : false, "suffix" : "" } ], "container-title" : "J Am Med Dir Assoc", "edition" : "2013/01/02", "id" : "ITEM-2", "issue" : "3", "issued" : { "date-parts" : [ [ "2013" ] ] }, "language" : "eng", "note" : "Mijnarends, Donja M\nMeijers, Judith M M\nHalfens, Ruud J G\nter Borg, Sovianne\nLuiking, Yvette C\nVerlaan, Sjors\nSchoberer, Daniela\nCruz Jentoft, Alfonso J\nvan Loon, Luc J C\nSchols, Jos M G A\nJ Am Med Dir Assoc. 2013 Mar;14(3):170-8. doi: 10.1016/j.jamda.2012.10.009. Epub 2012 Dec 29.", "page" : "170-178", "title" : "Validity and reliability of tools to measure muscle mass, strength, and physical performance in community-dwelling older people: a systematic review", "type" : "article-journal", "volume" : "14" }, "uris" : [ "http://www.mendeley.com/documents/?uuid=05db0d8e-ae39-4ecb-9947-4fbd68f1ae8d" ] } ], "mendeley" : { "formattedCitation" : "&lt;sup&gt;23,24&lt;/sup&gt;", "plainTextFormattedCitation" : "23,24", "previouslyFormattedCitation" : "&lt;sup&gt;23,24&lt;/sup&gt;" }, "properties" : { "noteIndex" : 0 }, "schema" : "https://github.com/citation-style-language/schema/raw/master/csl-citation.json" }</w:instrText>
      </w:r>
      <w:r w:rsidR="00A85BA3" w:rsidRPr="000B0221">
        <w:fldChar w:fldCharType="separate"/>
      </w:r>
      <w:r w:rsidR="008069A0" w:rsidRPr="008069A0">
        <w:rPr>
          <w:noProof/>
          <w:vertAlign w:val="superscript"/>
        </w:rPr>
        <w:t>23,24</w:t>
      </w:r>
      <w:r w:rsidR="00A85BA3" w:rsidRPr="000B0221">
        <w:fldChar w:fldCharType="end"/>
      </w:r>
      <w:r w:rsidR="00EC26D8" w:rsidRPr="000B0221">
        <w:t xml:space="preserve">. </w:t>
      </w:r>
      <w:r w:rsidR="003C6C78">
        <w:t>Whereas they have been used for sarcopenia case finding in the research setting,</w:t>
      </w:r>
      <w:r w:rsidR="00A85BA3" w:rsidRPr="000B0221">
        <w:t xml:space="preserve"> t</w:t>
      </w:r>
      <w:r w:rsidR="002175AD" w:rsidRPr="000B0221">
        <w:t xml:space="preserve">heir use is not always </w:t>
      </w:r>
      <w:r w:rsidR="00FF6972" w:rsidRPr="000B0221">
        <w:t>feasible</w:t>
      </w:r>
      <w:r w:rsidR="002175AD" w:rsidRPr="000B0221">
        <w:t xml:space="preserve"> in daily </w:t>
      </w:r>
      <w:r w:rsidR="00A85BA3" w:rsidRPr="000B0221">
        <w:t xml:space="preserve">clinical </w:t>
      </w:r>
      <w:r w:rsidR="002175AD" w:rsidRPr="000B0221">
        <w:t xml:space="preserve">practice. </w:t>
      </w:r>
      <w:r w:rsidR="00EB1D73" w:rsidRPr="000B0221">
        <w:t xml:space="preserve">The purpose of this paper is to </w:t>
      </w:r>
      <w:r w:rsidR="0011741B" w:rsidRPr="000B0221">
        <w:t xml:space="preserve">discuss different approaches </w:t>
      </w:r>
      <w:r w:rsidR="00232F2D">
        <w:t>in</w:t>
      </w:r>
      <w:r w:rsidR="00232F2D" w:rsidRPr="000B0221">
        <w:t xml:space="preserve"> </w:t>
      </w:r>
      <w:r w:rsidR="0011741B" w:rsidRPr="000B0221">
        <w:t xml:space="preserve">the </w:t>
      </w:r>
      <w:r w:rsidRPr="000B0221">
        <w:t xml:space="preserve">assessment </w:t>
      </w:r>
      <w:r w:rsidR="0011741B" w:rsidRPr="000B0221">
        <w:t xml:space="preserve">of </w:t>
      </w:r>
      <w:r w:rsidR="00BE14AB" w:rsidRPr="000B0221">
        <w:t xml:space="preserve">sarcopenia and </w:t>
      </w:r>
      <w:r w:rsidRPr="000B0221">
        <w:t xml:space="preserve">potential management strategies </w:t>
      </w:r>
      <w:r w:rsidR="00D86C21" w:rsidRPr="000B0221">
        <w:t>in clinical practice</w:t>
      </w:r>
      <w:r w:rsidR="00DA72D7" w:rsidRPr="000B0221">
        <w:t xml:space="preserve">. </w:t>
      </w:r>
    </w:p>
    <w:p w14:paraId="51B8678B" w14:textId="77777777" w:rsidR="0096729D" w:rsidRPr="000B0221" w:rsidRDefault="0096729D" w:rsidP="008C5588">
      <w:pPr>
        <w:spacing w:line="360" w:lineRule="auto"/>
        <w:jc w:val="both"/>
      </w:pPr>
    </w:p>
    <w:p w14:paraId="1AFB92EE" w14:textId="03AEFF0B" w:rsidR="00ED69D0" w:rsidRPr="004B0C0A" w:rsidRDefault="00ED69D0" w:rsidP="008C5588">
      <w:pPr>
        <w:spacing w:line="360" w:lineRule="auto"/>
        <w:jc w:val="both"/>
        <w:rPr>
          <w:b/>
          <w:color w:val="000000" w:themeColor="text1"/>
        </w:rPr>
      </w:pPr>
      <w:r w:rsidRPr="004B0C0A">
        <w:rPr>
          <w:b/>
          <w:color w:val="000000" w:themeColor="text1"/>
        </w:rPr>
        <w:t>Methods</w:t>
      </w:r>
    </w:p>
    <w:p w14:paraId="667133EE" w14:textId="66CDB541" w:rsidR="00ED69D0" w:rsidRPr="000B0221" w:rsidRDefault="00315EF9" w:rsidP="008C5588">
      <w:pPr>
        <w:spacing w:line="360" w:lineRule="auto"/>
        <w:jc w:val="both"/>
        <w:rPr>
          <w:color w:val="000000" w:themeColor="text1"/>
          <w:u w:val="single"/>
        </w:rPr>
      </w:pPr>
      <w:r w:rsidRPr="000B0221">
        <w:rPr>
          <w:color w:val="000000" w:themeColor="text1"/>
        </w:rPr>
        <w:t>As in previous initiatives and publications</w:t>
      </w:r>
      <w:r w:rsidR="00FA4F23" w:rsidRPr="000B0221">
        <w:rPr>
          <w:color w:val="000000" w:themeColor="text1"/>
          <w:vertAlign w:val="superscript"/>
        </w:rPr>
        <w:fldChar w:fldCharType="begin" w:fldLock="1"/>
      </w:r>
      <w:r w:rsidR="000D0863">
        <w:rPr>
          <w:color w:val="000000" w:themeColor="text1"/>
          <w:vertAlign w:val="superscript"/>
        </w:rPr>
        <w:instrText>ADDIN CSL_CITATION { "citationItems" : [ { "id" : "ITEM-1", "itemData" : { "DOI" : "10.1016/j.semarthrit.2014.06.005", "ISSN" : "00490172", "PMID" : "25086470", "abstract" : "BACKGROUND: General recommendations for a reference case for economic studies in rheumatic diseases were published in 2002 in an initiative to improve the comparability of cost-effectiveness studies in the field. Since then, economic evaluations in osteoarthritis (OA) continue to show considerable heterogeneity in methodological approach.\n\nOBJECTIVES: To develop a reference case specific for economic studies in OA, including the standard optimal care, with which to judge new pharmacologic and non-pharmacologic interventions.\n\nMETHODS: Four subgroups of an ESCEO expert working group on economic assessments (13 experts representing diverse aspects of clinical research and/or economic evaluations) were charged with producing lists of recommendations that would potentially improve the comparability of economic analyses in OA: outcome measures, comparators, costs and methodology. These proposals were discussed and refined during a face-to-face meeting in 2013. They are presented here in the format of the recommendations of the recently published Consolidated Health Economic Evaluation Reporting Standards (CHEERS) statement, so that an initiative on economic analysis methodology might be consolidated with an initiative on reporting standards.\n\nRESULTS: Overall, three distinct reference cases are proposed, one for each hand, knee and hip OA; with diagnostic variations in the first two, giving rise to different treatment options: interphalangeal or thumb-based disease for hand OA and the presence or absence of joint malalignment for knee OA. A set of management strategies is proposed, which should be further evaluated to help establish a consensus on the \"standard optimal care\" in each proposed reference case. The recommendations on outcome measures, cost itemisation and methodological approaches are also provided.\n\nCONCLUSIONS: The ESCEO group proposes a set of disease-specific recommendations on the conduct and reporting of economic evaluations in OA that could help the standardisation and comparability of studies that evaluate therapeutic strategies of OA in terms of costs and effectiveness.", "author" : [ { "dropping-particle" : "", "family" : "Hiligsmann", "given" : "Micka\u00ebl", "non-dropping-particle" : "", "parse-names" : false, "suffix" : "" }, { "dropping-particle" : "", "family" : "Cooper", "given" : "Cyrus", "non-dropping-particle" : "", "parse-names" : false, "suffix" : "" }, { "dropping-particle" : "", "family" : "Guillemin", "given" : "Francis", "non-dropping-particle" : "", "parse-names" : false, "suffix" : "" }, { "dropping-particle" : "", "family" : "Hochberg", "given" : "Marc C.", "non-dropping-particle" : "", "parse-names" : false, "suffix" : "" }, { "dropping-particle" : "", "family" : "Tugwell", "given" : "Peter", "non-dropping-particle" : "", "parse-names" : false, "suffix" : "" }, { "dropping-particle" : "", "family" : "Arden", "given" : "Nigel", "non-dropping-particle" : "", "parse-names" : false, "suffix" : "" }, { "dropping-particle" : "", "family" : "Berenbaum", "given" : "Francis", "non-dropping-particle" : "", "parse-names" : false, "suffix" : "" }, { "dropping-particle" : "", "family" : "Boers", "given" : "Maarten", "non-dropping-particle" : "", "parse-names" : false, "suffix" : "" }, { "dropping-particle" : "", "family" : "Boonen", "given" : "Annelies", "non-dropping-particle" : "", "parse-names" : false, "suffix" : "" }, { "dropping-particle" : "", "family" : "Branco", "given" : "Jaime C.", "non-dropping-particle" : "", "parse-names" : false, "suffix" : "" }, { "dropping-particle" : "", "family" : "Maria-Luisa", "given" : "Brandi", "non-dropping-particle" : "", "parse-names" : false, "suffix" : "" }, { "dropping-particle" : "", "family" : "Bruy\u00e8re", "given" : "Olivier", "non-dropping-particle" : "", "parse-names" : false, "suffix" : "" }, { "dropping-particle" : "", "family" : "Gasparik", "given" : "Andrea", "non-dropping-particle" : "", "parse-names" : false, "suffix" : "" }, { "dropping-particle" : "", "family" : "Kanis", "given" : "John A.", "non-dropping-particle" : "", "parse-names" : false, "suffix" : "" }, { "dropping-particle" : "", "family" : "Kvien", "given" : "Tore K.", "non-dropping-particle" : "", "parse-names" : false, "suffix" : "" }, { "dropping-particle" : "", "family" : "Martel-Pelletier", "given" : "Johanne", "non-dropping-particle" : "", "parse-names" : false, "suffix" : "" }, { "dropping-particle" : "", "family" : "Pelletier", "given" : "Jean-Pierre", "non-dropping-particle" : "", "parse-names" : false, "suffix" : "" }, { "dropping-particle" : "", "family" : "Pinedo-Villanueva", "given" : "Rafael", "non-dropping-particle" : "", "parse-names" : false, "suffix" : "" }, { "dropping-particle" : "", "family" : "Pinto", "given" : "Daniel", "non-dropping-particle" : "", "parse-names" : false, "suffix" : "" }, { "dropping-particle" : "", "family" : "Reiter-Niesert", "given" : "Susanne", "non-dropping-particle" : "", "parse-names" : false, "suffix" : "" }, { "dropping-particle" : "", "family" : "Rizzoli", "given" : "Ren\u00e9", "non-dropping-particle" : "", "parse-names" : false, "suffix" : "" }, { "dropping-particle" : "", "family" : "Rovati", "given" : "Lucio C.", "non-dropping-particle" : "", "parse-names" : false, "suffix" : "" }, { "dropping-particle" : "", "family" : "Severens", "given" : "Johan L.", "non-dropping-particle" : "", "parse-names" : false, "suffix" : "" }, { "dropping-particle" : "", "family" : "Silverman", "given" : "Stuart", "non-dropping-particle" : "", "parse-names" : false, "suffix" : "" }, { "dropping-particle" : "", "family" : "Reginster", "given" : "Jean-Yves", "non-dropping-particle" : "", "parse-names" : false, "suffix" : "" } ], "container-title" : "Seminars in Arthritis and Rheumatism", "id" : "ITEM-1", "issue" : "3", "issued" : { "date-parts" : [ [ "2014", "12" ] ] }, "page" : "271-282", "title" : "A reference case for economic evaluations in osteoarthritis: An expert consensus article from the European Society for Clinical and Economic Aspects of Osteoporosis and Osteoarthritis (ESCEO)", "type" : "article-journal", "volume" : "44" }, "uris" : [ "http://www.mendeley.com/documents/?uuid=7583ea0c-2070-4e27-8c86-7aa08d531bbd" ] }, { "id" : "ITEM-2", "itemData" : { "DOI" : "10.1016/j.maturitas.2014.07.005", "ISSN" : "1873-4111", "PMID" : "25082206", "abstract" : "From 50 years of age, postmenopausal women are at an increased risk of developing sarcopenia and osteoporosis as a result of deterioration of musculoskeletal health. Both disorders increase the risk of falls and fractures. The risk of developing sarcopenia and osteoporosis may be attenuated through healthy lifestyle changes, which include adequate dietary protein, calcium and vitamin D intakes, and regular physical activity/exercise, besides hormone replacement therapy when appropriate. Protein intake and physical activity are the main anabolic stimuli for muscle protein synthesis. Exercise training leads to increased muscle mass and strength, and the combination of optimal protein intake and exercise produces a greater degree of muscle protein accretion than either intervention alone. Similarly, adequate dietary protein intake and resistance exercise are important contributors to the maintenance of bone strength. Vitamin D helps to maintain muscle mass and strength as well as bone health. These findings suggest that healthy lifestyle measures in women aged &gt;50 years are essential to allow healthy ageing. The European Society for Clinical and Economic Aspects of Osteoporosis and Osteoarthritis (ESCEO) recommends optimal dietary protein intake of 1.0-1.2g/kgbodyweight/d with at least 20-25g of high-quality protein at each main meal, with adequate vitamin D intake at 800IU/d to maintain serum 25-hydroxyvitamin D levels &gt;50nmol/L as well as calcium intake of 1000mg/d, alongside regular physical activity/exercise 3-5 times/week combined with protein intake in close proximity to exercise, in postmenopausal women for prevention of age-related deterioration of musculoskeletal health.", "author" : [ { "dropping-particle" : "", "family" : "Rizzoli", "given" : "Ren\u00e9", "non-dropping-particle" : "", "parse-names" : false, "suffix" : "" }, { "dropping-particle" : "", "family" : "Stevenson", "given" : "John C", "non-dropping-particle" : "", "parse-names" : false, "suffix" : "" }, { "dropping-particle" : "", "family" : "Bauer", "given" : "J\u00fcrgen M", "non-dropping-particle" : "", "parse-names" : false, "suffix" : "" }, { "dropping-particle" : "", "family" : "Loon", "given" : "Luc J C", "non-dropping-particle" : "van", "parse-names" : false, "suffix" : "" }, { "dropping-particle" : "", "family" : "Walrand", "given" : "St\u00e9phane", "non-dropping-particle" : "", "parse-names" : false, "suffix" : "" }, { "dropping-particle" : "", "family" : "Kanis", "given" : "John A", "non-dropping-particle" : "", "parse-names" : false, "suffix" : "" }, { "dropping-particle" : "", "family" : "Cooper", "given" : "Cyrus", "non-dropping-particle" : "", "parse-names" : false, "suffix" : "" }, { "dropping-particle" : "", "family" : "Brandi", "given" : "Maria-Luisa", "non-dropping-particle" : "", "parse-names" : false, "suffix" : "" }, { "dropping-particle" : "", "family" : "Diez-Perez", "given" : "Adolfo", "non-dropping-particle" : "", "parse-names" : false, "suffix" : "" }, { "dropping-particle" : "", "family" : "Reginster", "given" : "Jean-Yves", "non-dropping-particle" : "", "parse-names" : false, "suffix" : "" } ], "container-title" : "Maturitas", "id" : "ITEM-2", "issue" : "1", "issued" : { "date-parts" : [ [ "2014", "9" ] ] }, "page" : "122-32", "title" : "The role of dietary protein and vitamin D in maintaining musculoskeletal health in postmenopausal women: a consensus statement from the European Society for Clinical and Economic Aspects of Osteoporosis and Osteoarthritis (ESCEO).", "type" : "article-journal", "volume" : "79" }, "uris" : [ "http://www.mendeley.com/documents/?uuid=1e51d8aa-fca5-4bb1-96f6-6ac386a3d45e" ] }, { "id" : "ITEM-3", "itemData" : { "DOI" : "10.1016/j.semarthrit.2014.05.014", "ISSN" : "1532-866X", "PMID" : "24953861", "abstract" : "OBJECTIVES: Existing practice guidelines for osteoarthritis (OA) analyze the evidence behind each proposed treatment but do not prioritize the interventions in a given sequence. The objective was to develop a treatment algorithm recommendation that is easier to interpret for the prescribing physician based on the available evidence and that is applicable in Europe and internationally. The knee was used as the model OA joint.\n\nMETHODS: ESCEO assembled a task force of 13 international experts (rheumatologists, clinical epidemiologists, and clinical scientists). Existing guidelines were reviewed; all interventions listed and recent evidence were retrieved using established databases. A first schematic flow chart with treatment prioritization was discussed in a 1-day meeting and shaped to the treatment algorithm. Fine-tuning occurred by electronic communication and three consultation rounds until consensus.\n\nRESULTS: Basic principles consist of the need for a combined pharmacological and non-pharmacological treatment with a core set of initial measures, including information access/education, weight loss if overweight, and an appropriate exercise program. Four multimodal steps are then established. Step 1 consists of background therapy, either non-pharmacological (referral to a physical therapist for re-alignment treatment if needed and sequential introduction of further physical interventions initially and at any time thereafter) or pharmacological. The latter consists of chronic Symptomatic Slow-Acting Drugs for OA (e.g., prescription glucosamine sulfate and/or chondroitin sulfate) with paracetamol at-need; topical NSAIDs are added in the still symptomatic patient. Step 2 consists of the advanced pharmacological management in the persistent symptomatic patient and is centered on the use of oral COX-2 selective or non-selective NSAIDs, chosen based on concomitant risk factors, with intra-articular corticosteroids or hyaluronate for further symptom relief if insufficient. In Step 3, the last pharmacological attempts before surgery are represented by weak opioids and other central analgesics. Finally, Step 4 consists of end-stage disease management and surgery, with classical opioids as a difficult-to-manage alternative when surgery is contraindicated.\n\nCONCLUSIONS: The proposed treatment algorithm may represent a new framework for the development of future guidelines for the management of OA, more easily accessible to physicians.", "author" : [ { "dropping-particle" : "", "family" : "Bruy\u00e8re", "given" : "Olivier", "non-dropping-particle" : "", "parse-names" : false, "suffix" : "" }, { "dropping-particle" : "", "family" : "Cooper", "given" : "Cyrus", "non-dropping-particle" : "", "parse-names" : false, "suffix" : "" }, { "dropping-particle" : "", "family" : "Pelletier", "given" : "Jean-Pierre", "non-dropping-particle" : "", "parse-names" : false, "suffix" : "" }, { "dropping-particle" : "", "family" : "Branco", "given" : "Jaime", "non-dropping-particle" : "", "parse-names" : false, "suffix" : "" }, { "dropping-particle" : "", "family" : "Luisa Brandi", "given" : "Maria", "non-dropping-particle" : "", "parse-names" : false, "suffix" : "" }, { "dropping-particle" : "", "family" : "Guillemin", "given" : "Francis", "non-dropping-particle" : "", "parse-names" : false, "suffix" : "" }, { "dropping-particle" : "", "family" : "Hochberg", "given" : "Marc C", "non-dropping-particle" : "", "parse-names" : false, "suffix" : "" }, { "dropping-particle" : "", "family" : "Kanis", "given" : "John A", "non-dropping-particle" : "", "parse-names" : false, "suffix" : "" }, { "dropping-particle" : "", "family" : "Kvien", "given" : "Tore K", "non-dropping-particle" : "", "parse-names" : false, "suffix" : "" }, { "dropping-particle" : "", "family" : "Martel-Pelletier", "given" : "Johanne", "non-dropping-particle" : "", "parse-names" : false, "suffix" : "" }, { "dropping-particle" : "", "family" : "Rizzoli", "given" : "Ren\u00e9", "non-dropping-particle" : "", "parse-names" : false, "suffix" : "" }, { "dropping-particle" : "", "family" : "Silverman", "given" : "Stuart", "non-dropping-particle" : "", "parse-names" : false, "suffix" : "" }, { "dropping-particle" : "", "family" : "Reginster", "given" : "Jean-Yves", "non-dropping-particle" : "", "parse-names" : false, "suffix" : "" } ], "container-title" : "Seminars in arthritis and rheumatism", "id" : "ITEM-3", "issue" : "3", "issued" : { "date-parts" : [ [ "2014", "12" ] ] }, "page" : "253-63", "title" : "An algorithm recommendation for the management of knee osteoarthritis in Europe and internationally: a report from a task force of the European Society for Clinical and Economic Aspects of Osteoporosis and Osteoarthritis (ESCEO).", "type" : "article-journal", "volume" : "44" }, "uris" : [ "http://www.mendeley.com/documents/?uuid=21b7118f-6d8b-4cef-9bcb-9b11e919b16c" ] }, { "id" : "ITEM-4", "itemData" : { "DOI" : "10.1007/s00198-014-2755-9", "ISSN" : "1433-2965", "PMID" : "25023900", "abstract" : "UNLABELLED: This consensus article reviews the diagnosis and treatment of osteoporosis in geriatric populations. Specifically, it reviews the risk assessment and intervention thresholds, the impact of nutritional deficiencies, fall prevention strategies, pharmacological treatments and their safety considerations, the risks of sub-optimal treatment adherence and strategies for its improvement.\n\nINTRODUCTION: This consensus article reviews the therapeutic strategies and management options for the treatment of osteoporosis of the oldest old. This vulnerable segment (persons over 80 years of age) stands to gain substantially from effective anti-osteoporosis treatment, but the under-prescription of these treatments is frequent.\n\nMETHODS: This report is the result of an ESCEO (European Society for Clinical and Economic Aspects of Osteoporosis and Osteoarthritis) expert working group, which explores some of the reasons for this and presents the arguments to counter these beliefs. The risk assessment of older individuals is briefly reviewed along with the differences between some intervention guidelines. The current evidence on the impact of nutritional deficiencies (i.e. calcium, protein and vitamin D) is presented, as are strategies to prevent falls. One possible reason for the under-prescription of pharmacological treatments for osteoporosis in the oldest old is the perception that anti-fracture efficacy requires long-term treatment. However, a review of the data shows convincing anti-fracture efficacy already by 12 months.\n\nRESULTS: The safety profiles of these pharmacological agents are generally satisfactory in this patient segment provided a few precautions are followed.\n\nCONCLUSION: These patients should be considered for particular consultation/follow-up procedures in the effort to convince on the benefits of treatment and to allay fears of adverse drug reactions, since poor adherence is a major problem for the success of a strategy for osteoporosis and limits cost-effectiveness.", "author" : [ { "dropping-particle" : "", "family" : "Rizzoli", "given" : "R", "non-dropping-particle" : "", "parse-names" : false, "suffix" : "" }, { "dropping-particle" : "", "family" : "Branco", "given" : "J", "non-dropping-particle" : "", "parse-names" : false, "suffix" : "" }, { "dropping-particle" : "", "family" : "Brandi", "given" : "M-L", "non-dropping-particle" : "", "parse-names" : false, "suffix" : "" }, { "dropping-particle" : "", "family" : "Boonen", "given" : "S", "non-dropping-particle" : "", "parse-names" : false, "suffix" : "" }, { "dropping-particle" : "", "family" : "Bruy\u00e8re", "given" : "O", "non-dropping-particle" : "", "parse-names" : false, "suffix" : "" }, { "dropping-particle" : "", "family" : "Cacoub", "given" : "P", "non-dropping-particle" : "", "parse-names" : false, "suffix" : "" }, { "dropping-particle" : "", "family" : "Cooper", "given" : "C", "non-dropping-particle" : "", "parse-names" : false, "suffix" : "" }, { "dropping-particle" : "", "family" : "Diez-Perez", "given" : "A", "non-dropping-particle" : "", "parse-names" : false, "suffix" : "" }, { "dropping-particle" : "", "family" : "Duder", "given" : "J", "non-dropping-particle" : "", "parse-names" : false, "suffix" : "" }, { "dropping-particle" : "", "family" : "Fielding", "given" : "R A", "non-dropping-particle" : "", "parse-names" : false, "suffix" : "" }, { "dropping-particle" : "", "family" : "Harvey", "given" : "N C", "non-dropping-particle" : "", "parse-names" : false, "suffix" : "" }, { "dropping-particle" : "", "family" : "Hiligsmann", "given" : "M", "non-dropping-particle" : "", "parse-names" : false, "suffix" : "" }, { "dropping-particle" : "", "family" : "Kanis", "given" : "J A", "non-dropping-particle" : "", "parse-names" : false, "suffix" : "" }, { "dropping-particle" : "", "family" : "Petermans", "given" : "J", "non-dropping-particle" : "", "parse-names" : false, "suffix" : "" }, { "dropping-particle" : "", "family" : "Ringe", "given" : "J D", "non-dropping-particle" : "", "parse-names" : false, "suffix" : "" }, { "dropping-particle" : "", "family" : "Tsouderos", "given" : "Y", "non-dropping-particle" : "", "parse-names" : false, "suffix" : "" }, { "dropping-particle" : "", "family" : "Weinman", "given" : "J", "non-dropping-particle" : "", "parse-names" : false, "suffix" : "" }, { "dropping-particle" : "", "family" : "Reginster", "given" : "J-Y", "non-dropping-particle" : "", "parse-names" : false, "suffix" : "" } ], "container-title" : "Osteoporosis international : a journal established as result of cooperation between the European Foundation for Osteoporosis and the National Osteoporosis Foundation of the USA", "id" : "ITEM-4", "issue" : "11", "issued" : { "date-parts" : [ [ "2014", "11" ] ] }, "page" : "2507-29", "title" : "Management of osteoporosis of the oldest old.", "type" : "article-journal", "volume" : "25" }, "uris" : [ "http://www.mendeley.com/documents/?uuid=9fb8b2ba-a803-4163-91f5-61461f4af97b" ] }, { "id" : "ITEM-5", "itemData" : { "DOI" : "10.1007/s40266-015-0276-7", "ISSN" : "1179-1969", "PMID" : "26085027", "abstract" : "Osteoarthritis (OA), a disease affecting different patient phenotypes, appears as an optimal candidate for personalized healthcare. The aim of the discussions of the European Society for Clinical and Economic Aspects of Osteoporosis and Osteoarthritis (ESCEO) working group was to explore the value of markers of different sources in defining different phenotypes of patients with OA. The ESCEO organized a series of meetings to explore the possibility of identifying patients who would most benefit from treatment for OA, on the basis of recent data and expert opinion. In the first meeting, patient phenotypes were identified according to the number of affected joints, biomechanical factors, and the presence of lesions in the subchondral bone. In the second meeting, summarized in the present article, the working group explored other markers involved in OA. Profiles of patients may be defined according to their level of pain, functional limitation, and presence of coexistent chronic conditions including frailty status. A considerable amount of data suggests that magnetic resonance imaging may also assist in delineating different phenotypes of patients with OA. Among multiple biochemical biomarkers identified, none is sufficiently validated and recognized to identify patients who should be treated. Considerable efforts are also being made to identify genetic and epigenetic factors involved in OA, but results are still limited. The many potential biomarkers that could be used as potential stratifiers are promising, but more research is needed to characterize and qualify the existing biomarkers and to identify new candidates.", "author" : [ { "dropping-particle" : "", "family" : "Arden", "given" : "Nigel", "non-dropping-particle" : "", "parse-names" : false, "suffix" : "" }, { "dropping-particle" : "", "family" : "Richette", "given" : "Pascal", "non-dropping-particle" : "", "parse-names" : false, "suffix" : "" }, { "dropping-particle" : "", "family" : "Cooper", "given" : "Cyrus", "non-dropping-particle" : "", "parse-names" : false, "suffix" : "" }, { "dropping-particle" : "", "family" : "Bruy\u00e8re", "given" : "Olivier", "non-dropping-particle" : "", "parse-names" : false, "suffix" : "" }, { "dropping-particle" : "", "family" : "Abadie", "given" : "Eric", "non-dropping-particle" : "", "parse-names" : false, "suffix" : "" }, { "dropping-particle" : "", "family" : "Branco", "given" : "Jaime", "non-dropping-particle" : "", "parse-names" : false, "suffix" : "" }, { "dropping-particle" : "", "family" : "Brandi", "given" : "Maria Luisa", "non-dropping-particle" : "", "parse-names" : false, "suffix" : "" }, { "dropping-particle" : "", "family" : "Berenbaum", "given" : "Francis", "non-dropping-particle" : "", "parse-names" : false, "suffix" : "" }, { "dropping-particle" : "", "family" : "Clerc", "given" : "C\u00e9cile", "non-dropping-particle" : "", "parse-names" : false, "suffix" : "" }, { "dropping-particle" : "", "family" : "Dennison", "given" : "Elaine", "non-dropping-particle" : "", "parse-names" : false, "suffix" : "" }, { "dropping-particle" : "", "family" : "Devogelaer", "given" : "Jean-Pierre", "non-dropping-particle" : "", "parse-names" : false, "suffix" : "" }, { "dropping-particle" : "", "family" : "Hochberg", "given" : "Marc", "non-dropping-particle" : "", "parse-names" : false, "suffix" : "" }, { "dropping-particle" : "", "family" : "D'Hooghe", "given" : "Pieter", "non-dropping-particle" : "", "parse-names" : false, "suffix" : "" }, { "dropping-particle" : "", "family" : "Herrero-Beaumont", "given" : "Gabriel", "non-dropping-particle" : "", "parse-names" : false, "suffix" : "" }, { "dropping-particle" : "", "family" : "Kanis", "given" : "John A", "non-dropping-particle" : "", "parse-names" : false, "suffix" : "" }, { "dropping-particle" : "", "family" : "Laslop", "given" : "Andrea", "non-dropping-particle" : "", "parse-names" : false, "suffix" : "" }, { "dropping-particle" : "", "family" : "Leblanc", "given" : "V\u00e9ronique", "non-dropping-particle" : "", "parse-names" : false, "suffix" : "" }, { "dropping-particle" : "", "family" : "Maggi", "given" : "Stefania", "non-dropping-particle" : "", "parse-names" : false, "suffix" : "" }, { "dropping-particle" : "", "family" : "Mautone", "given" : "Giuseppe", "non-dropping-particle" : "", "parse-names" : false, "suffix" : "" }, { "dropping-particle" : "", "family" : "Pelletier", "given" : "Jean-Pierre", "non-dropping-particle" : "", "parse-names" : false, "suffix" : "" }, { "dropping-particle" : "", "family" : "Petit-Dop", "given" : "Florence", "non-dropping-particle" : "", "parse-names" : false, "suffix" : "" }, { "dropping-particle" : "", "family" : "Reiter-Niesert", "given" : "Susanne", "non-dropping-particle" : "", "parse-names" : false, "suffix" : "" }, { "dropping-particle" : "", "family" : "Rizzoli", "given" : "Ren\u00e9", "non-dropping-particle" : "", "parse-names" : false, "suffix" : "" }, { "dropping-particle" : "", "family" : "Rovati", "given" : "Lucio", "non-dropping-particle" : "", "parse-names" : false, "suffix" : "" }, { "dropping-particle" : "", "family" : "Tajana Messi", "given" : "Eleonora", "non-dropping-particle" : "", "parse-names" : false, "suffix" : "" }, { "dropping-particle" : "", "family" : "Tsouderos", "given" : "Yannis", "non-dropping-particle" : "", "parse-names" : false, "suffix" : "" }, { "dropping-particle" : "", "family" : "Martel-Pelletier", "given" : "Johanne", "non-dropping-particle" : "", "parse-names" : false, "suffix" : "" }, { "dropping-particle" : "", "family" : "Reginster", "given" : "Jean-Yves", "non-dropping-particle" : "", "parse-names" : false, "suffix" : "" } ], "container-title" : "Drugs &amp; aging", "id" : "ITEM-5", "issue" : "7", "issued" : { "date-parts" : [ [ "2015", "7" ] ] }, "page" : "525-35", "title" : "Can We Identify Patients with High Risk of Osteoarthritis Progression Who Will Respond to Treatment? A Focus on Biomarkers and Frailty.", "type" : "article-journal", "volume" : "32" }, "uris" : [ "http://www.mendeley.com/documents/?uuid=303422fb-f934-4b2c-a485-09e547976b92" ] }, { "id" : "ITEM-6", "itemData" : { "DOI" : "10.1185/03007995.2013.792793", "ISSN" : "1473-4877", "PMID" : "23557069", "abstract" : "BACKGROUND: Osteoarthritis is a clinical syndrome of failure of the joint accompanied by varying degrees of joint pain, functional limitation, and reduced quality of life due to deterioration of articular cartilage and involvement of other joint structures.\n\nSCOPE: Regulatory agencies require relevant clinical benefit on symptoms and structure modification for registration of a new therapy as a disease-modifying osteoarthritis drug (DMOAD). An international Working Group of the European Society on Clinical and Economic Aspects of Osteoporosis and Osteoarthritis (ESCEO) and International Osteoporosis Foundation was convened to explore the current burden of osteoarthritis, review current regulatory guidelines for the conduct of clinical trials, and examine the concept of responder analyses for improving drug evaluation in osteoarthritis.\n\nFINDINGS: The ESCEO considers that the major challenges in DMOAD development are the absence of a precise definition of the disease, particularly in the early stages, and the lack of consensus on how to detect structural changes and link them to clinically meaningful endpoints. Responder criteria should help identify progression of disease and be clinically meaningful. The ideal criterion should be sensitive to change over time and should predict disease progression and outcomes such as joint replacement.\n\nCONCLUSION: The ESCEO considers that, for knee osteoarthritis, clinical trial data indicate that radiographic joint space narrowing &gt;0.5 mm over 2 or 3 years might be a reliable surrogate measure for total joint replacement. On-going research using techniques such as magnetic resonance imaging and biochemical markers may allow the identification of these patients earlier in the disease process.", "author" : [ { "dropping-particle" : "", "family" : "Cooper", "given" : "Cyrus", "non-dropping-particle" : "", "parse-names" : false, "suffix" : "" }, { "dropping-particle" : "", "family" : "Adachi", "given" : "Jonathan D", "non-dropping-particle" : "", "parse-names" : false, "suffix" : "" }, { "dropping-particle" : "", "family" : "Bardin", "given" : "Thomas", "non-dropping-particle" : "", "parse-names" : false, "suffix" : "" }, { "dropping-particle" : "", "family" : "Berenbaum", "given" : "Francis", "non-dropping-particle" : "", "parse-names" : false, "suffix" : "" }, { "dropping-particle" : "", "family" : "Flamion", "given" : "Bruno", "non-dropping-particle" : "", "parse-names" : false, "suffix" : "" }, { "dropping-particle" : "", "family" : "Jonsson", "given" : "Helgi", "non-dropping-particle" : "", "parse-names" : false, "suffix" : "" }, { "dropping-particle" : "", "family" : "Kanis", "given" : "John A", "non-dropping-particle" : "", "parse-names" : false, "suffix" : "" }, { "dropping-particle" : "", "family" : "Pelousse", "given" : "Franz", "non-dropping-particle" : "", "parse-names" : false, "suffix" : "" }, { "dropping-particle" : "", "family" : "Lems", "given" : "Willem F", "non-dropping-particle" : "", "parse-names" : false, "suffix" : "" }, { "dropping-particle" : "", "family" : "Pelletier", "given" : "Jean-Pierre", "non-dropping-particle" : "", "parse-names" : false, "suffix" : "" }, { "dropping-particle" : "", "family" : "Martel-Pelletier", "given" : "Johanne", "non-dropping-particle" : "", "parse-names" : false, "suffix" : "" }, { "dropping-particle" : "", "family" : "Reiter", "given" : "Susanne", "non-dropping-particle" : "", "parse-names" : false, "suffix" : "" }, { "dropping-particle" : "", "family" : "Reginster", "given" : "Jean-Yves", "non-dropping-particle" : "", "parse-names" : false, "suffix" : "" }, { "dropping-particle" : "", "family" : "Rizzoli", "given" : "Ren\u00e9", "non-dropping-particle" : "", "parse-names" : false, "suffix" : "" }, { "dropping-particle" : "", "family" : "Bruy\u00e8re", "given" : "Olivier", "non-dropping-particle" : "", "parse-names" : false, "suffix" : "" } ], "container-title" : "Current medical research and opinion", "id" : "ITEM-6", "issue" : "6", "issued" : { "date-parts" : [ [ "2013", "6" ] ] }, "page" : "719-29", "title" : "How to define responders in osteoarthritis.", "type" : "article-journal", "volume" : "29" }, "uris" : [ "http://www.mendeley.com/documents/?uuid=40b21d10-88ce-40dc-8476-66a92194402d" ] }, { "id" : "ITEM-7", "itemData" : { "DOI" : "10.1185/03007995.2013.766162", "ISSN" : "1473-4877", "PMID" : "23320612", "abstract" : "BACKGROUND: Vitamin D insufficiency has deleterious consequences on health outcomes. In elderly or postmenopausal women, it may exacerbate osteoporosis.\n\nSCOPE: There is currently no clear consensus on definitions of vitamin D insufficiency or minimal targets for vitamin D concentrations and proposed targets vary with the population. In view of the potential confusion for practitioners on when to treat and what to achieve, the European Society for Clinical and Economic Aspects of Osteoporosis and Osteoarthritis (ESCEO) convened a meeting to provide recommendations for clinical practice, to ensure the optimal management of elderly and postmenopausal women with regard to vitamin D supplementation.\n\nFINDINGS: Vitamin D has both skeletal and extra-skeletal benefits. Patients with serum 25-hydroxyvitamin D (25-(OH)D) levels &lt;50 nmol/L have increased bone turnover, bone loss, and possibly mineralization defects compared with patients with levels &gt;50 nmol/L. Similar relationships have been reported for frailty, nonvertebral and hip fracture, and all-cause mortality, with poorer outcomes at &lt;50 nmol/L.\n\nCONCLUSION: The ESCEO recommends that 50 nmol/L (i.e. 20 ng/mL) should be the minimal serum 25-(OH)D concentration at the population level and in patients with osteoporosis to ensure optimal bone health. Below this threshold, supplementation is recommended at 800 to 1000 IU/day. Vitamin D supplementation is safe up to 10,000 IU/day (upper limit of safety) resulting in an upper limit of adequacy of 125 nmol/L 25-(OH)D. Daily consumption of calcium- and vitamin-D-fortified food products (e.g. yoghurt or milk) can help improve vitamin D intake. Above the threshold of 50 nmol/L, there is no clear evidence for additional benefits of supplementation. On the other hand, in fragile elderly subjects who are at elevated risk for falls and fracture, the ESCEO recommends a minimal serum 25-(OH)D level of 75 nmol/L (i.e. 30 ng/mL), for the greatest impact on fracture.", "author" : [ { "dropping-particle" : "", "family" : "Rizzoli", "given" : "R", "non-dropping-particle" : "", "parse-names" : false, "suffix" : "" }, { "dropping-particle" : "", "family" : "Boonen", "given" : "S", "non-dropping-particle" : "", "parse-names" : false, "suffix" : "" }, { "dropping-particle" : "", "family" : "Brandi", "given" : "M-L", "non-dropping-particle" : "", "parse-names" : false, "suffix" : "" }, { "dropping-particle" : "", "family" : "Bruy\u00e8re", "given" : "O", "non-dropping-particle" : "", "parse-names" : false, "suffix" : "" }, { "dropping-particle" : "", "family" : "Cooper", "given" : "C", "non-dropping-particle" : "", "parse-names" : false, "suffix" : "" }, { "dropping-particle" : "", "family" : "Kanis", "given" : "J A", "non-dropping-particle" : "", "parse-names" : false, "suffix" : "" }, { "dropping-particle" : "", "family" : "Kaufman", "given" : "J-M", "non-dropping-particle" : "", "parse-names" : false, "suffix" : "" }, { "dropping-particle" : "", "family" : "Ringe", "given" : "J D", "non-dropping-particle" : "", "parse-names" : false, "suffix" : "" }, { "dropping-particle" : "", "family" : "Weryha", "given" : "G", "non-dropping-particle" : "", "parse-names" : false, "suffix" : "" }, { "dropping-particle" : "", "family" : "Reginster", "given" : "J-Y", "non-dropping-particle" : "", "parse-names" : false, "suffix" : "" } ], "container-title" : "Current medical research and opinion", "id" : "ITEM-7", "issue" : "4", "issued" : { "date-parts" : [ [ "2013", "4" ] ] }, "page" : "305-13", "title" : "Vitamin D supplementation in elderly or postmenopausal women: a 2013 update of the 2008 recommendations from the European Society for Clinical and Economic Aspects of Osteoporosis and Osteoarthritis (ESCEO).", "type" : "article-journal", "volume" : "29" }, "uris" : [ "http://www.mendeley.com/documents/?uuid=cad63ce5-6d57-49ba-8dc2-4003cc8bf275" ] }, { "id" : "ITEM-8", "itemData" : { "DOI" : "10.1016/j.bone.2012.11.018", "ISSN" : "1873-2763", "PMID" : "23201268", "abstract" : "SUMMARY: Aspects of osteoporosis in men, such as screening and identification strategies, definitions of diagnosis and intervention thresholds, and treatment options (both approved and in the pipeline) are discussed.\n\nINTRODUCTION: Awareness of osteoporosis in men is improving, although it remains under-diagnosed and under-treated. A European Society for Clinical and Economic Aspects of Osteoporosis and Osteoarthritis (ESCEO) workshop was convened to discuss osteoporosis in men and to provide a report by a panel of experts (the authors).\n\nMETHODS: A debate with an expert panel on preselected topics was conducted.\n\nRESULTS AND CONCLUSIONS: Although additional fracture data are needed to endorse the clinical care of osteoporosis in men, consensus views were reached on diagnostic criteria and intervention thresholds. Empirical data in men display similarities with data acquired in women, despite pathophysiological differences, which may not be clinically relevant. Men should receive treatment at a similar 10-year fracture probability as in women. The design of mixed studies may reduce the lag between comparable treatments for osteoporosis in women becoming available in men.", "author" : [ { "dropping-particle" : "", "family" : "Kaufman", "given" : "J-M", "non-dropping-particle" : "", "parse-names" : false, "suffix" : "" }, { "dropping-particle" : "", "family" : "Reginster", "given" : "J-Y", "non-dropping-particle" : "", "parse-names" : false, "suffix" : "" }, { "dropping-particle" : "", "family" : "Boonen", "given" : "S", "non-dropping-particle" : "", "parse-names" : false, "suffix" : "" }, { "dropping-particle" : "", "family" : "Brandi", "given" : "M L", "non-dropping-particle" : "", "parse-names" : false, "suffix" : "" }, { "dropping-particle" : "", "family" : "Cooper", "given" : "C", "non-dropping-particle" : "", "parse-names" : false, "suffix" : "" }, { "dropping-particle" : "", "family" : "Dere", "given" : "W", "non-dropping-particle" : "", "parse-names" : false, "suffix" : "" }, { "dropping-particle" : "", "family" : "Devogelaer", "given" : "J-P", "non-dropping-particle" : "", "parse-names" : false, "suffix" : "" }, { "dropping-particle" : "", "family" : "Diez-Perez", "given" : "A", "non-dropping-particle" : "", "parse-names" : false, "suffix" : "" }, { "dropping-particle" : "", "family" : "Kanis", "given" : "J A", "non-dropping-particle" : "", "parse-names" : false, "suffix" : "" }, { "dropping-particle" : "", "family" : "McCloskey", "given" : "E", "non-dropping-particle" : "", "parse-names" : false, "suffix" : "" }, { "dropping-particle" : "", "family" : "Mitlak", "given" : "B", "non-dropping-particle" : "", "parse-names" : false, "suffix" : "" }, { "dropping-particle" : "", "family" : "Orwoll", "given" : "E", "non-dropping-particle" : "", "parse-names" : false, "suffix" : "" }, { "dropping-particle" : "", "family" : "Ringe", "given" : "J D", "non-dropping-particle" : "", "parse-names" : false, "suffix" : "" }, { "dropping-particle" : "", "family" : "Weryha", "given" : "G", "non-dropping-particle" : "", "parse-names" : false, "suffix" : "" }, { "dropping-particle" : "", "family" : "Rizzoli", "given" : "R", "non-dropping-particle" : "", "parse-names" : false, "suffix" : "" } ], "container-title" : "Bone", "id" : "ITEM-8", "issue" : "1", "issued" : { "date-parts" : [ [ "2013", "3" ] ] }, "page" : "134-44", "title" : "Treatment of osteoporosis in men.", "type" : "article-journal", "volume" : "53" }, "uris" : [ "http://www.mendeley.com/documents/?uuid=28d3b47d-3de8-48a8-b0d6-fbe658fee3af" ] }, { "id" : "ITEM-9", "itemData" : { "DOI" : "10.1007/s00198-011-1870-0", "ISSN" : "1433-2965", "PMID" : "22270857", "abstract" : "UNLABELLED: Aromatase inhibitors (AIs) are widely used in women with breast cancer, but they are known to increase bone loss and risk of fractures. Based on available evidence and recommendations, an ESCEO working group proposes specific guidance for the prevention of AIs-induced bone loss and fragility fractures.\n\nINTRODUCTION: Aromatase inhibitors (AIs) are now the standard treatment for hormone receptor-positive breast cancer. However, deleterious effects of AIs on bone health have been reported. An ESCEO working group proposes guidance for the prevention of bone loss and fragility fractures in post-menopausal women with breast cancer receiving AIs.\n\nMETHODS: A panel of experts addressed the issue of skeletal effects of AIs and effectiveness of antifracture therapies for the prevention of AI-induced bone loss and fractures. Recommendations by national and international organizations, and experts' opinions on this topic were evaluated.\n\nRESULTS: All aromatase inhibitors are associated with negative effects on the skeleton, resulting in bone loss and increased risk of fragility fractures. Current guidelines suggest approaches that differ both in terms of drugs proposed for fracture prevention and duration of treatment.\n\nCONCLUSION: The ESCEO working group recommends that all AI-treated women should be evaluated for fracture risk. Besides general recommendations, zoledronic acid 4 mg i.v. every 6 months, denosumab s.c., or possibly oral bisphosphonates should be administered for the entire period of AI treatment to all osteoporotic women (T-score hip/spine &lt;-2.5 or \u2265 1 prevalent fragility fracture), to women aged \u2265 75 irrespective of BMD, and to patients with T-score &lt;-1.5 + \u2265 1 clinical risk factor or T-score &lt;-1.0 + \u2265 2 clinical risk factors. Alternatively, therapy could be considered in patients with a FRAX-determined 10-year hip fracture probability \u2265 3%.", "author" : [ { "dropping-particle" : "", "family" : "Rizzoli", "given" : "R", "non-dropping-particle" : "", "parse-names" : false, "suffix" : "" }, { "dropping-particle" : "", "family" : "Body", "given" : "J J", "non-dropping-particle" : "", "parse-names" : false, "suffix" : "" }, { "dropping-particle" : "", "family" : "DeCensi", "given" : "A", "non-dropping-particle" : "", "parse-names" : false, "suffix" : "" }, { "dropping-particle" : "", "family" : "Censi", "given" : "A", "non-dropping-particle" : "De", "parse-names" : false, "suffix" : "" }, { "dropping-particle" : "", "family" : "Reginster", "given" : "J Y", "non-dropping-particle" : "", "parse-names" : false, "suffix" : "" }, { "dropping-particle" : "", "family" : "Piscitelli", "given" : "P", "non-dropping-particle" : "", "parse-names" : false, "suffix" : "" }, { "dropping-particle" : "", "family" : "Brandi", "given" : "M L", "non-dropping-particle" : "", "parse-names" : false, "suffix" : "" } ], "container-title" : "Osteoporosis international : a journal established as result of cooperation between the European Foundation for Osteoporosis and the National Osteoporosis Foundation of the USA", "id" : "ITEM-9", "issue" : "11", "issued" : { "date-parts" : [ [ "2012", "11" ] ] }, "page" : "2567-76", "title" : "Guidance for the prevention of bone loss and fractures in postmenopausal women treated with aromatase inhibitors for breast cancer: an ESCEO position paper.", "type" : "article-journal", "volume" : "23" }, "uris" : [ "http://www.mendeley.com/documents/?uuid=0f03eed0-59a5-42ef-a07f-669a21b0ba14" ] }, { "id" : "ITEM-10", "itemData" : { "DOI" : "10.1016/j.joca.2015.07.001", "ISSN" : "1522-9653", "PMID" : "26187570", "abstract" : "OBJECTIVE: The European Society on Clinical and Economic aspects of Osteoporosis and Osteoarthritis (ESCEO) organised a working group to evaluate the need for updating the current European guideline on clinical investigation of drugs used in the treatment of osteoarthritis (OA).\n\nDESIGN: Areas of potential attention were identified and the need for modifications, update or clarification was examined. Proposals were then developed based on literature reviews and through a consensus process.\n\nRESULTS: It was agreed that the current guideline overall still reflects the current knowledge in OA, although two possible modifications were identified. The first relates to the number and timing of measurements required as primary endpoints during clinical trials of symptom-relieving drugs, either drugs with rapid onset of action or slow acting drugs. The suggested modifications are intended to take into consideration the time related clinical need and expected time response to these drugs - i.e., a more early effect for the first category in addition to the maintenance of effect, a more continuous benefit over the long-term for the latter - in the timing of assessments. Secondly, values above which a benefit over placebo should be considered clinically relevant were considered. Based on literature reviews, the most consensual values were determined for primary endpoints of both symptom-relieving drugs (i.e., pain intensity on a visual analogue scale (VAS)) and disease-modifying drugs (i.e., radiographic joint-space narrowing).\n\nCONCLUSIONS: This working document might be considered by the European regulatory authorities in a future update of the guideline for the registration of drugs in OA.", "author" : [ { "dropping-particle" : "", "family" : "Reginster", "given" : "J-Y", "non-dropping-particle" : "", "parse-names" : false, "suffix" : "" }, { "dropping-particle" : "", "family" : "Reiter-Niesert", "given" : "S", "non-dropping-particle" : "", "parse-names" : false, "suffix" : "" }, { "dropping-particle" : "", "family" : "Bruy\u00e8re", "given" : "O", "non-dropping-particle" : "", "parse-names" : false, "suffix" : "" }, { "dropping-particle" : "", "family" : "Berenbaum", "given" : "F", "non-dropping-particle" : "", "parse-names" : false, "suffix" : "" }, { "dropping-particle" : "", "family" : "Brandi", "given" : "M-L", "non-dropping-particle" : "", "parse-names" : false, "suffix" : "" }, { "dropping-particle" : "", "family" : "Branco", "given" : "J", "non-dropping-particle" : "", "parse-names" : false, "suffix" : "" }, { "dropping-particle" : "", "family" : "Devogelaer", "given" : "J-P", "non-dropping-particle" : "", "parse-names" : false, "suffix" : "" }, { "dropping-particle" : "", "family" : "Herrero-Beaumont", "given" : "G", "non-dropping-particle" : "", "parse-names" : false, "suffix" : "" }, { "dropping-particle" : "", "family" : "Kanis", "given" : "J", "non-dropping-particle" : "", "parse-names" : false, "suffix" : "" }, { "dropping-particle" : "", "family" : "Maggi", "given" : "S", "non-dropping-particle" : "", "parse-names" : false, "suffix" : "" }, { "dropping-particle" : "", "family" : "Maheu", "given" : "E", "non-dropping-particle" : "", "parse-names" : false, "suffix" : "" }, { "dropping-particle" : "", "family" : "Richette", "given" : "P", "non-dropping-particle" : "", "parse-names" : false, "suffix" : "" }, { "dropping-particle" : "", "family" : "Rizzoli", "given" : "R", "non-dropping-particle" : "", "parse-names" : false, "suffix" : "" }, { "dropping-particle" : "", "family" : "Cooper", "given" : "C", "non-dropping-particle" : "", "parse-names" : false, "suffix" : "" } ], "container-title" : "Osteoarthritis and cartilage / OARS, Osteoarthritis Research Society", "id" : "ITEM-10", "issued" : { "date-parts" : [ [ "2015", "7", "14" ] ] }, "title" : "Recommendations for an update of the 2010 European regulatory guideline on clinical investigation of medicinal products used in the treatment of osteoarthritis and reflections about related clinically relevant outcomes: expert consensus statement.", "type" : "article-journal" }, "uris" : [ "http://www.mendeley.com/documents/?uuid=9324cd60-3fa8-4ecb-8085-811a4331612c" ] }, { "id" : "ITEM-11", "itemData" : { "DOI" : "10.1007/s40520-015-0517-y", "ISSN" : "1720-8319", "PMID" : "26717937", "abstract" : "PURPOSE: Sarcopenia is an age-related muscle condition which is frequently a precursor of frailty, mobility disability and premature death. It has a high prevalence in older populations and presents a considerable social and economic burden. Potential treatments are under development but, as yet, no guidelines support regulatory studies for new drugs to manage sarcopenia. The objective of this position paper is therefore to suggest a set of potential endpoints and target population definitions to stimulate debate and progress within the medico-scientific and regulatory communities.\n\nMETHODS: A multidisciplinary expert working group was hosted by the European Society for Clinical and Economic Aspects of Osteoporosis and Osteoarthritis, which reviewed and discussed the recent literature from a perspective of clinical experience and guideline development. Relevant parallels were drawn from the development of definition of osteoporosis as a disease and clinical assessment of pharmaceutical treatments for that indication.\n\nRESULTS: A case-finding decision tree is briefly reviewed with a discussion of recent prevalence estimations of different relevant threshold values. The selection criteria for patients in regulatory studies are discussed according to the aims of the investigation (sarcopenia prevention or treatment) and the stage of project development. The possible endpoints of such studies are reviewed and a plea is made for the establishment of a core outcome set to be used in all clinical trials of sarcopenia.\n\nCONCLUSIONS: The current lack of guidelines for the assessment of new therapeutic treatments for sarcopenia could potentially hinder the delivery of effective medicines to patients at risk.", "author" : [ { "dropping-particle" : "", "family" : "Reginster", "given" : "Jean-Yves", "non-dropping-particle" : "", "parse-names" : false, "suffix" : "" }, { "dropping-particle" : "", "family" : "Cooper", "given" : "Cyrus", "non-dropping-particle" : "", "parse-names" : false, "suffix" : "" }, { "dropping-particle" : "", "family" : "Rizzoli", "given" : "Ren\u00e9", "non-dropping-particle" : "", "parse-names" : false, "suffix" : "" }, { "dropping-particle" : "", "family" : "Kanis", "given" : "John A", "non-dropping-particle" : "", "parse-names" : false, "suffix" : "" }, { "dropping-particle" : "", "family" : "Appelboom", "given" : "Geoff", "non-dropping-particle" : "", "parse-names" : false, "suffix" : "" }, { "dropping-particle" : "", "family" : "Bautmans", "given" : "Ivan", "non-dropping-particle" : "", "parse-names" : false, "suffix" : "" }, { "dropping-particle" : "", "family" : "Bischoff-Ferrari", "given" : "Heike A", "non-dropping-particle" : "", "parse-names" : false, "suffix" : "" }, { "dropping-particle" : "", "family" : "Boers", "given" : "Maarten", "non-dropping-particle" : "", "parse-names" : false, "suffix" : "" }, { "dropping-particle" : "", "family" : "Brandi", "given" : "Maria Luisa", "non-dropping-particle" : "", "parse-names" : false, "suffix" : "" }, { "dropping-particle" : "", "family" : "Bruy\u00e8re", "given" : "Olivier", "non-dropping-particle" : "", "parse-names" : false, "suffix" : "" }, { "dropping-particle" : "", "family" : "Cherubini", "given" : "Antonio", "non-dropping-particle" : "", "parse-names" : false, "suffix" : "" }, { "dropping-particle" : "", "family" : "Flamion", "given" : "Bruno", "non-dropping-particle" : "", "parse-names" : false, "suffix" : "" }, { "dropping-particle" : "", "family" : "Fielding", "given" : "Roger A", "non-dropping-particle" : "", "parse-names" : false, "suffix" : "" }, { "dropping-particle" : "", "family" : "Gasparik", "given" : "Andrea Ildiko", "non-dropping-particle" : "", "parse-names" : false, "suffix" : "" }, { "dropping-particle" : "", "family" : "Loon", "given" : "Luc", "non-dropping-particle" : "Van", "parse-names" : false, "suffix" : "" }, { "dropping-particle" : "", "family" : "McCloskey", "given" : "Eugene", "non-dropping-particle" : "", "parse-names" : false, "suffix" : "" }, { "dropping-particle" : "", "family" : "Mitlak", "given" : "Bruce H", "non-dropping-particle" : "", "parse-names" : false, "suffix" : "" }, { "dropping-particle" : "", "family" : "Pilotto", "given" : "Alberto", "non-dropping-particle" : "", "parse-names" : false, "suffix" : "" }, { "dropping-particle" : "", "family" : "Reiter-Niesert", "given" : "Suzanne", "non-dropping-particle" : "", "parse-names" : false, "suffix" : "" }, { "dropping-particle" : "", "family" : "Rolland", "given" : "Yves", "non-dropping-particle" : "", "parse-names" : false, "suffix" : "" }, { "dropping-particle" : "", "family" : "Tsouderos", "given" : "Yannis", "non-dropping-particle" : "", "parse-names" : false, "suffix" : "" }, { "dropping-particle" : "", "family" : "Visser", "given" : "Marjolein", "non-dropping-particle" : "", "parse-names" : false, "suffix" : "" }, { "dropping-particle" : "", "family" : "Cruz-Jentoft", "given" : "Alfonso J", "non-dropping-particle" : "", "parse-names" : false, "suffix" : "" } ], "container-title" : "Aging clinical and experimental research", "id" : "ITEM-11", "issue" : "1", "issued" : { "date-parts" : [ [ "2015", "12", "30" ] ] }, "page" : "47-58", "title" : "Recommendations for the conduct of clinical trials for drugs to treat or prevent sarcopenia.", "type" : "article-journal", "volume" : "28" }, "uris" : [ "http://www.mendeley.com/documents/?uuid=5d1df861-8a0a-4fb7-a65a-fe3c4c10473f" ] } ], "mendeley" : { "formattedCitation" : "&lt;sup&gt;25\u201335&lt;/sup&gt;", "plainTextFormattedCitation" : "25\u201335", "previouslyFormattedCitation" : "&lt;sup&gt;25\u201335&lt;/sup&gt;" }, "properties" : { "noteIndex" : 0 }, "schema" : "https://github.com/citation-style-language/schema/raw/master/csl-citation.json" }</w:instrText>
      </w:r>
      <w:r w:rsidR="00FA4F23" w:rsidRPr="000B0221">
        <w:rPr>
          <w:color w:val="000000" w:themeColor="text1"/>
          <w:vertAlign w:val="superscript"/>
        </w:rPr>
        <w:fldChar w:fldCharType="separate"/>
      </w:r>
      <w:r w:rsidR="008069A0" w:rsidRPr="008069A0">
        <w:rPr>
          <w:noProof/>
          <w:color w:val="000000" w:themeColor="text1"/>
          <w:vertAlign w:val="superscript"/>
        </w:rPr>
        <w:t>25–35</w:t>
      </w:r>
      <w:r w:rsidR="00FA4F23" w:rsidRPr="000B0221">
        <w:rPr>
          <w:color w:val="000000" w:themeColor="text1"/>
          <w:vertAlign w:val="superscript"/>
        </w:rPr>
        <w:fldChar w:fldCharType="end"/>
      </w:r>
      <w:r w:rsidRPr="000B0221">
        <w:rPr>
          <w:color w:val="000000" w:themeColor="text1"/>
        </w:rPr>
        <w:t xml:space="preserve">, the </w:t>
      </w:r>
      <w:r w:rsidR="00891EA4" w:rsidRPr="000B0221">
        <w:rPr>
          <w:color w:val="000000" w:themeColor="text1"/>
        </w:rPr>
        <w:t>European Society for Clinical and Economic Aspects of Osteoporosis</w:t>
      </w:r>
      <w:r w:rsidR="00841703" w:rsidRPr="000B0221">
        <w:rPr>
          <w:color w:val="000000" w:themeColor="text1"/>
        </w:rPr>
        <w:t xml:space="preserve"> and </w:t>
      </w:r>
      <w:r w:rsidR="00891EA4" w:rsidRPr="000B0221">
        <w:rPr>
          <w:color w:val="000000" w:themeColor="text1"/>
        </w:rPr>
        <w:t>Osteoarthritis</w:t>
      </w:r>
      <w:r w:rsidR="00841703" w:rsidRPr="000B0221">
        <w:rPr>
          <w:color w:val="000000" w:themeColor="text1"/>
        </w:rPr>
        <w:t xml:space="preserve"> (ESCEO) working group on </w:t>
      </w:r>
      <w:r w:rsidR="00891EA4" w:rsidRPr="000B0221">
        <w:rPr>
          <w:color w:val="000000" w:themeColor="text1"/>
        </w:rPr>
        <w:t xml:space="preserve">frailty and sarcopenia </w:t>
      </w:r>
      <w:r w:rsidR="00EC26D8" w:rsidRPr="000B0221">
        <w:rPr>
          <w:color w:val="000000" w:themeColor="text1"/>
        </w:rPr>
        <w:t xml:space="preserve">consists </w:t>
      </w:r>
      <w:r w:rsidRPr="000B0221">
        <w:rPr>
          <w:color w:val="000000" w:themeColor="text1"/>
        </w:rPr>
        <w:t xml:space="preserve">of clinical scientists and experts in the field of </w:t>
      </w:r>
      <w:r w:rsidR="00926B36" w:rsidRPr="000B0221">
        <w:rPr>
          <w:color w:val="000000" w:themeColor="text1"/>
        </w:rPr>
        <w:t>musculoskeletal disease</w:t>
      </w:r>
      <w:r w:rsidR="00841703" w:rsidRPr="000B0221">
        <w:rPr>
          <w:color w:val="000000" w:themeColor="text1"/>
        </w:rPr>
        <w:t>s</w:t>
      </w:r>
      <w:r w:rsidR="00926B36" w:rsidRPr="000B0221">
        <w:rPr>
          <w:color w:val="000000" w:themeColor="text1"/>
        </w:rPr>
        <w:t xml:space="preserve">. </w:t>
      </w:r>
      <w:r w:rsidRPr="000B0221">
        <w:rPr>
          <w:color w:val="000000" w:themeColor="text1"/>
        </w:rPr>
        <w:t>Different members</w:t>
      </w:r>
      <w:r w:rsidR="001A1E92" w:rsidRPr="000B0221">
        <w:rPr>
          <w:color w:val="000000" w:themeColor="text1"/>
        </w:rPr>
        <w:t xml:space="preserve"> of the ESCEO working group </w:t>
      </w:r>
      <w:r w:rsidRPr="000B0221">
        <w:rPr>
          <w:color w:val="000000" w:themeColor="text1"/>
        </w:rPr>
        <w:t>were asked to prepare a review of the literature on 1</w:t>
      </w:r>
      <w:r w:rsidR="00841703" w:rsidRPr="000B0221">
        <w:rPr>
          <w:color w:val="000000" w:themeColor="text1"/>
        </w:rPr>
        <w:t>)</w:t>
      </w:r>
      <w:r w:rsidRPr="000B0221">
        <w:rPr>
          <w:color w:val="000000" w:themeColor="text1"/>
        </w:rPr>
        <w:t xml:space="preserve"> </w:t>
      </w:r>
      <w:r w:rsidR="00841703" w:rsidRPr="000B0221">
        <w:rPr>
          <w:color w:val="000000" w:themeColor="text1"/>
        </w:rPr>
        <w:t>t</w:t>
      </w:r>
      <w:r w:rsidRPr="000B0221">
        <w:rPr>
          <w:color w:val="000000" w:themeColor="text1"/>
        </w:rPr>
        <w:t xml:space="preserve">he general tools for the assessment of sarcopenia, both in research and in clinic </w:t>
      </w:r>
      <w:r w:rsidR="00926B36" w:rsidRPr="000B0221">
        <w:rPr>
          <w:color w:val="000000" w:themeColor="text1"/>
        </w:rPr>
        <w:t xml:space="preserve">(CC) </w:t>
      </w:r>
      <w:r w:rsidRPr="000B0221">
        <w:rPr>
          <w:color w:val="000000" w:themeColor="text1"/>
        </w:rPr>
        <w:t>; 2</w:t>
      </w:r>
      <w:r w:rsidR="00841703" w:rsidRPr="000B0221">
        <w:rPr>
          <w:color w:val="000000" w:themeColor="text1"/>
        </w:rPr>
        <w:t>)</w:t>
      </w:r>
      <w:r w:rsidRPr="000B0221">
        <w:rPr>
          <w:color w:val="000000" w:themeColor="text1"/>
        </w:rPr>
        <w:t xml:space="preserve"> </w:t>
      </w:r>
      <w:r w:rsidR="00841703" w:rsidRPr="000B0221">
        <w:rPr>
          <w:color w:val="000000" w:themeColor="text1"/>
        </w:rPr>
        <w:t>t</w:t>
      </w:r>
      <w:r w:rsidRPr="000B0221">
        <w:rPr>
          <w:color w:val="000000" w:themeColor="text1"/>
        </w:rPr>
        <w:t xml:space="preserve">he assessment of physical </w:t>
      </w:r>
      <w:r w:rsidRPr="000B0221">
        <w:rPr>
          <w:color w:val="000000" w:themeColor="text1"/>
        </w:rPr>
        <w:lastRenderedPageBreak/>
        <w:t>performance in daily practice</w:t>
      </w:r>
      <w:r w:rsidR="00926B36" w:rsidRPr="000B0221">
        <w:rPr>
          <w:color w:val="000000" w:themeColor="text1"/>
        </w:rPr>
        <w:t xml:space="preserve"> (MC)</w:t>
      </w:r>
      <w:r w:rsidRPr="000B0221">
        <w:rPr>
          <w:color w:val="000000" w:themeColor="text1"/>
        </w:rPr>
        <w:t xml:space="preserve"> ; 3</w:t>
      </w:r>
      <w:r w:rsidR="00841703" w:rsidRPr="000B0221">
        <w:rPr>
          <w:color w:val="000000" w:themeColor="text1"/>
        </w:rPr>
        <w:t>)</w:t>
      </w:r>
      <w:r w:rsidRPr="000B0221">
        <w:rPr>
          <w:color w:val="000000" w:themeColor="text1"/>
        </w:rPr>
        <w:t xml:space="preserve"> </w:t>
      </w:r>
      <w:r w:rsidR="00841703" w:rsidRPr="000B0221">
        <w:rPr>
          <w:color w:val="000000" w:themeColor="text1"/>
        </w:rPr>
        <w:t>t</w:t>
      </w:r>
      <w:r w:rsidRPr="000B0221">
        <w:rPr>
          <w:color w:val="000000" w:themeColor="text1"/>
        </w:rPr>
        <w:t xml:space="preserve">he role of imaging in the diagnosis of sarcopenia in daily practice </w:t>
      </w:r>
      <w:r w:rsidR="00926B36" w:rsidRPr="000B0221">
        <w:rPr>
          <w:color w:val="000000" w:themeColor="text1"/>
        </w:rPr>
        <w:t>(M</w:t>
      </w:r>
      <w:r w:rsidR="002F4D82" w:rsidRPr="000B0221">
        <w:rPr>
          <w:color w:val="000000" w:themeColor="text1"/>
        </w:rPr>
        <w:t>V</w:t>
      </w:r>
      <w:r w:rsidR="00926B36" w:rsidRPr="000B0221">
        <w:rPr>
          <w:color w:val="000000" w:themeColor="text1"/>
        </w:rPr>
        <w:t xml:space="preserve">) </w:t>
      </w:r>
      <w:r w:rsidRPr="000B0221">
        <w:rPr>
          <w:color w:val="000000" w:themeColor="text1"/>
        </w:rPr>
        <w:t>; 4</w:t>
      </w:r>
      <w:r w:rsidR="00841703" w:rsidRPr="000B0221">
        <w:rPr>
          <w:color w:val="000000" w:themeColor="text1"/>
        </w:rPr>
        <w:t>)</w:t>
      </w:r>
      <w:r w:rsidRPr="000B0221">
        <w:rPr>
          <w:color w:val="000000" w:themeColor="text1"/>
        </w:rPr>
        <w:t xml:space="preserve"> </w:t>
      </w:r>
      <w:r w:rsidR="00841703" w:rsidRPr="000B0221">
        <w:rPr>
          <w:color w:val="000000" w:themeColor="text1"/>
        </w:rPr>
        <w:t>t</w:t>
      </w:r>
      <w:r w:rsidRPr="000B0221">
        <w:rPr>
          <w:color w:val="000000" w:themeColor="text1"/>
        </w:rPr>
        <w:t>he role of biochemical markers in the diagnosis of sarcopenia in daily practice</w:t>
      </w:r>
      <w:r w:rsidR="00926B36" w:rsidRPr="000B0221">
        <w:rPr>
          <w:color w:val="000000" w:themeColor="text1"/>
        </w:rPr>
        <w:t xml:space="preserve"> (EC)</w:t>
      </w:r>
      <w:r w:rsidR="00454CBA" w:rsidRPr="000B0221">
        <w:rPr>
          <w:color w:val="000000" w:themeColor="text1"/>
        </w:rPr>
        <w:t xml:space="preserve"> and </w:t>
      </w:r>
      <w:r w:rsidR="00400880" w:rsidRPr="000B0221">
        <w:rPr>
          <w:color w:val="000000" w:themeColor="text1"/>
        </w:rPr>
        <w:t>5</w:t>
      </w:r>
      <w:r w:rsidR="00841703" w:rsidRPr="000B0221">
        <w:rPr>
          <w:color w:val="000000" w:themeColor="text1"/>
        </w:rPr>
        <w:t>)</w:t>
      </w:r>
      <w:r w:rsidRPr="000B0221">
        <w:rPr>
          <w:color w:val="000000" w:themeColor="text1"/>
        </w:rPr>
        <w:t xml:space="preserve"> </w:t>
      </w:r>
      <w:r w:rsidR="00841703" w:rsidRPr="000B0221">
        <w:rPr>
          <w:color w:val="000000" w:themeColor="text1"/>
        </w:rPr>
        <w:t>t</w:t>
      </w:r>
      <w:r w:rsidRPr="000B0221">
        <w:rPr>
          <w:color w:val="000000" w:themeColor="text1"/>
        </w:rPr>
        <w:t>he role of primary versus secondary care physicians in the evaluation of sarcopenia</w:t>
      </w:r>
      <w:r w:rsidR="00926B36" w:rsidRPr="000B0221">
        <w:rPr>
          <w:color w:val="000000" w:themeColor="text1"/>
        </w:rPr>
        <w:t xml:space="preserve"> (AC)</w:t>
      </w:r>
      <w:r w:rsidR="008C5172" w:rsidRPr="000B0221">
        <w:rPr>
          <w:color w:val="000000" w:themeColor="text1"/>
        </w:rPr>
        <w:t xml:space="preserve">. </w:t>
      </w:r>
      <w:r w:rsidR="00454CBA" w:rsidRPr="000B0221">
        <w:rPr>
          <w:color w:val="000000" w:themeColor="text1"/>
        </w:rPr>
        <w:t xml:space="preserve">A brief summary of </w:t>
      </w:r>
      <w:r w:rsidR="00C254F9" w:rsidRPr="000B0221">
        <w:rPr>
          <w:color w:val="000000" w:themeColor="text1"/>
        </w:rPr>
        <w:t xml:space="preserve">the </w:t>
      </w:r>
      <w:r w:rsidR="00D243E1" w:rsidRPr="000B0221">
        <w:rPr>
          <w:color w:val="000000" w:themeColor="text1"/>
        </w:rPr>
        <w:t>m</w:t>
      </w:r>
      <w:r w:rsidR="0083783F" w:rsidRPr="000B0221">
        <w:rPr>
          <w:color w:val="000000" w:themeColor="text1"/>
        </w:rPr>
        <w:t>anagement of sarcopenia</w:t>
      </w:r>
      <w:r w:rsidR="00D243E1" w:rsidRPr="000B0221">
        <w:rPr>
          <w:color w:val="000000" w:themeColor="text1"/>
        </w:rPr>
        <w:t xml:space="preserve"> in daily practice</w:t>
      </w:r>
      <w:r w:rsidR="00454CBA" w:rsidRPr="000B0221">
        <w:rPr>
          <w:color w:val="000000" w:themeColor="text1"/>
        </w:rPr>
        <w:t xml:space="preserve"> was also proposed and discussed</w:t>
      </w:r>
      <w:r w:rsidR="0083783F" w:rsidRPr="000B0221">
        <w:rPr>
          <w:color w:val="000000" w:themeColor="text1"/>
        </w:rPr>
        <w:t xml:space="preserve">. </w:t>
      </w:r>
      <w:r w:rsidR="00523066" w:rsidRPr="000B0221">
        <w:rPr>
          <w:color w:val="000000" w:themeColor="text1"/>
        </w:rPr>
        <w:t xml:space="preserve">Randomized controlled studies, prospective studies, systematic reviews and meta-analyses published </w:t>
      </w:r>
      <w:r w:rsidR="00567D5D" w:rsidRPr="000B0221">
        <w:rPr>
          <w:color w:val="000000" w:themeColor="text1"/>
        </w:rPr>
        <w:t xml:space="preserve">before </w:t>
      </w:r>
      <w:r w:rsidR="00523066" w:rsidRPr="000B0221">
        <w:rPr>
          <w:color w:val="000000" w:themeColor="text1"/>
        </w:rPr>
        <w:t>September 2015 were searched on</w:t>
      </w:r>
      <w:r w:rsidR="003A2C7B" w:rsidRPr="000B0221">
        <w:rPr>
          <w:color w:val="000000" w:themeColor="text1"/>
        </w:rPr>
        <w:t xml:space="preserve"> </w:t>
      </w:r>
      <w:r w:rsidR="00523066" w:rsidRPr="000B0221">
        <w:rPr>
          <w:color w:val="000000" w:themeColor="text1"/>
        </w:rPr>
        <w:t xml:space="preserve">PubMed and Embase using the following search terms : 1) </w:t>
      </w:r>
      <w:r w:rsidR="00CE4A82" w:rsidRPr="000B0221">
        <w:rPr>
          <w:color w:val="000000" w:themeColor="text1"/>
        </w:rPr>
        <w:t>Sarcopenia, Clinical, Evaluation, Assessment, Management</w:t>
      </w:r>
      <w:r w:rsidR="00523066" w:rsidRPr="000B0221">
        <w:rPr>
          <w:color w:val="000000" w:themeColor="text1"/>
        </w:rPr>
        <w:t xml:space="preserve">; 2) </w:t>
      </w:r>
      <w:r w:rsidR="00CE4A82" w:rsidRPr="000B0221">
        <w:rPr>
          <w:color w:val="000000" w:themeColor="text1"/>
        </w:rPr>
        <w:t>Physical function, Physical performance, Gait, Walk, Walking, Strength</w:t>
      </w:r>
      <w:r w:rsidR="00523066" w:rsidRPr="000B0221">
        <w:rPr>
          <w:color w:val="000000" w:themeColor="text1"/>
        </w:rPr>
        <w:t xml:space="preserve">; 3) </w:t>
      </w:r>
      <w:r w:rsidR="00CE4A82" w:rsidRPr="000B0221">
        <w:rPr>
          <w:color w:val="000000" w:themeColor="text1"/>
        </w:rPr>
        <w:t>Elderly, Muscle mass, Sarcopenia, Dual x-ray absorptiometry / DXA / DEXA, Computer tomography / CT, Magnetic resonance imaging / MRI, Bioelectrical impedance / BIA</w:t>
      </w:r>
      <w:r w:rsidR="00523066" w:rsidRPr="000B0221">
        <w:rPr>
          <w:color w:val="000000" w:themeColor="text1"/>
        </w:rPr>
        <w:t xml:space="preserve">; 4) </w:t>
      </w:r>
      <w:r w:rsidR="00CE4A82" w:rsidRPr="000B0221">
        <w:rPr>
          <w:color w:val="000000" w:themeColor="text1"/>
        </w:rPr>
        <w:t xml:space="preserve">Frailty, Sarcopenia, Biomarker, Biochemical marker, </w:t>
      </w:r>
      <w:r w:rsidR="00523066" w:rsidRPr="000B0221">
        <w:rPr>
          <w:color w:val="000000" w:themeColor="text1"/>
        </w:rPr>
        <w:t xml:space="preserve">and 5) </w:t>
      </w:r>
      <w:r w:rsidR="00CE4A82" w:rsidRPr="000B0221">
        <w:rPr>
          <w:color w:val="000000" w:themeColor="text1"/>
        </w:rPr>
        <w:t>Primary care, Specialist care, Secondary care, Sarcopenia, Management, Screening, Questionnaire</w:t>
      </w:r>
      <w:r w:rsidR="00523066" w:rsidRPr="000B0221">
        <w:rPr>
          <w:color w:val="000000" w:themeColor="text1"/>
        </w:rPr>
        <w:t xml:space="preserve">. Additional studies were identified by a manual search of bibliographic references of relevant articles and existing reviews. </w:t>
      </w:r>
      <w:r w:rsidRPr="000B0221">
        <w:rPr>
          <w:color w:val="000000" w:themeColor="text1"/>
        </w:rPr>
        <w:t xml:space="preserve">Each member prepared a list of the most important </w:t>
      </w:r>
      <w:r w:rsidR="00E6615D" w:rsidRPr="000B0221">
        <w:rPr>
          <w:color w:val="000000" w:themeColor="text1"/>
        </w:rPr>
        <w:t xml:space="preserve">papers </w:t>
      </w:r>
      <w:r w:rsidRPr="000B0221">
        <w:rPr>
          <w:color w:val="000000" w:themeColor="text1"/>
        </w:rPr>
        <w:t>based on their review of the literature and then made a set of preliminary recommendations. The subsequent step was a face-to-face meeting for the whole group to make amendments and discuss further recommendations.</w:t>
      </w:r>
      <w:r w:rsidR="00926B36" w:rsidRPr="000B0221">
        <w:rPr>
          <w:color w:val="000000" w:themeColor="text1"/>
        </w:rPr>
        <w:t xml:space="preserve"> The plan of the manuscript was also discussed and shared conclusions were reached. </w:t>
      </w:r>
      <w:r w:rsidR="002D4147" w:rsidRPr="002D4147">
        <w:rPr>
          <w:color w:val="000000" w:themeColor="text1"/>
        </w:rPr>
        <w:t>The views expressed in this article are the personal views of the authors and may not be understood or quoted as being made on behalf of or reflecting the position of the EMA or one of its committees or working parties.</w:t>
      </w:r>
    </w:p>
    <w:p w14:paraId="1FE22C1F" w14:textId="42C36200" w:rsidR="00ED69D0" w:rsidRPr="004B0C0A" w:rsidRDefault="00ED69D0" w:rsidP="008C5588">
      <w:pPr>
        <w:spacing w:line="360" w:lineRule="auto"/>
        <w:jc w:val="both"/>
        <w:rPr>
          <w:b/>
        </w:rPr>
      </w:pPr>
      <w:r w:rsidRPr="004B0C0A">
        <w:rPr>
          <w:b/>
        </w:rPr>
        <w:t>Results</w:t>
      </w:r>
    </w:p>
    <w:p w14:paraId="570E0EEF" w14:textId="3D754AD3" w:rsidR="00A03F03" w:rsidRPr="000B0221" w:rsidRDefault="00A03F03" w:rsidP="00377240">
      <w:pPr>
        <w:pStyle w:val="ListParagraph"/>
        <w:numPr>
          <w:ilvl w:val="0"/>
          <w:numId w:val="26"/>
        </w:numPr>
        <w:spacing w:line="360" w:lineRule="auto"/>
      </w:pPr>
      <w:r w:rsidRPr="000B0221">
        <w:t xml:space="preserve">How to assess sarcopenia in </w:t>
      </w:r>
      <w:r w:rsidR="007845BD">
        <w:t>clinical</w:t>
      </w:r>
      <w:r w:rsidR="007845BD" w:rsidRPr="000B0221">
        <w:t xml:space="preserve"> </w:t>
      </w:r>
      <w:r w:rsidRPr="000B0221">
        <w:t>practice?</w:t>
      </w:r>
    </w:p>
    <w:p w14:paraId="30BBD61C" w14:textId="475DFF36" w:rsidR="001E1296" w:rsidRPr="000B0221" w:rsidRDefault="008029F7" w:rsidP="008029F7">
      <w:pPr>
        <w:spacing w:line="360" w:lineRule="auto"/>
        <w:jc w:val="both"/>
      </w:pPr>
      <w:r w:rsidRPr="000B0221">
        <w:t>Despite a relatively large number of tools being available to measure muscle mass, muscle strength and physical performance</w:t>
      </w:r>
      <w:r w:rsidRPr="000B0221">
        <w:fldChar w:fldCharType="begin" w:fldLock="1"/>
      </w:r>
      <w:r w:rsidR="007E0300">
        <w:instrText>ADDIN CSL_CITATION { "citationItems" : [ { "id" : "ITEM-1", "itemData" : { "DOI" : "10.1007/s00223-013-9757-z", "ISBN" : "1432-0827 (Electronic)\r0171-967X (Linking)",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"edition" : "2013/07/12", "id" : "ITEM-1", "issue" : "3", "issued" : { "date-parts" : [ [ "2013" ] ] }, "language" : "eng", "note" : "Cooper, C\nFielding, R\nVisser, M\nvan Loon, L J\nRolland, Y\nOrwoll, E\nReid, K\nBoonen, S\nDere, W\nEpstein, S\nMitlak, B\nTsouderos, Y\nSayer, A A\nRizzoli, R\nReginster, J Y\nKanis, J A\nMC_U147585819/Medical Research Council/United Kingdom\nMC_UP_A620_1014/Medical Research Council/United Kingdom\nMC_UP_A620_1015/Medical Research Council/United Kingdom\nMC_UU_12011/1/Medical Research Council/United Kingdom\nMC_UU_12011/2/Medical Research Council/United Kingdom\nU1475000002/Medical Research Council/United Kingdom\nCalcif Tissue Int. 2013 Sep;93(3):201-10. doi: 10.1007/s00223-013-9757-z. Epub 2013 Jul 11.", "page" : "201-210", "title" : "Tools in the assessment of sarcopenia", "type" : "article-journal", "volume" : "93" }, "uris" : [ "http://www.mendeley.com/documents/?uuid=7b8f4547-b285-4c8a-a7d4-bac6f64de5d0" ] }, { "id" : "ITEM-2", "itemData" : { "DOI" : "10.1016/j.exger.2014.11.014", "ISBN" : "1873-6815 (Electronic)\r0531-5565 (Linking)", "PMID" : "25449859", "abstract" : "BACKGROUND: Sarcopenia is defined as a progressive and generalized loss of muscle mass with either a loss of muscle strength or a loss of physical performance but there is no recommendation regarding the diagnostic tools that have to be used. In this study, we compared the prevalence of sarcopenia assessed using different diagnostic tools. METHODS: To measure muscle mass, muscle strength and physical performance, we used for each outcome two different diagnostic tools. For muscle mass, we used Dual Energy X-Ray Absorptiometry (DXA) and bio-electrical impedance analysis (BIA); for muscle strength, we used a hydraulic dynamometer and a pneumatic dynamometer; for physical performance we used the Short Physical Performance Battery test (SPPB test) and the walk speed. Eight diagnostic groups were hereby established. RESULTS: A total of 250 consecutive subjects were recruited in an outpatient clinic in Liege, Belgium. Estimated prevalence of sarcopenia varied from 8.4% to 27.6% depending on the method of diagnosis used. Regarding muscle mass, BIA systematically overestimated muscle mass compared to DXA (mean estimated prevalence with BIA=12.8%; mean prevalence with DXA=21%). For muscle strength, the pneumatic dynamometer diagnosed twice more sarcopenic subjects than the hydraulic dynamometer (mean estimated prevalence with PD=22.4%; mean estimated prevalence with HD=11.4%). Finally, no difference in prevalence was observed when the walking speed or the SPPB test was used. A weak overall kappa coefficient was observed (0.53), suggesting that the 8 methods of diagnosis are moderately concordant. CONCLUSION: Within the same definition of sarcopenia, prevalence of sarcopenia is highly dependent on the diagnostic tools used.", "author" : [ { "dropping-particle" : "", "family" : "Beaudart", "given" : "C", "non-dropping-particle" : "", "parse-names" : false, "suffix" : "" }, { "dropping-particle" : "", "family" : "Reginster", "given" : "J Y", "non-dropping-particle" : "", "parse-names" : false, "suffix" : "" }, { "dropping-particle" : "", "family" : "Slomian", "given" : "J", "non-dropping-particle" : "", "parse-names" : false, "suffix" : "" }, { "dropping-particle" : "", "family" : "Buckinx", "given" : "F", "non-dropping-particle" : "", "parse-names" : false, "suffix" : "" }, { "dropping-particle" : "", "family" : "Dardenne", "given" : "N", "non-dropping-particle" : "", "parse-names" : false, "suffix" : "" }, { "dropping-particle" : "", "family" : "Quabron", "given" : "A", "non-dropping-particle" : "", "parse-names" : false, "suffix" : "" }, { "dropping-particle" : "", "family" : "Slangen", "given" : "C", "non-dropping-particle" : "", "parse-names" : false, "suffix" : "" }, { "dropping-particle" : "", "family" : "Gillain", "given" : "S", "non-dropping-particle" : "", "parse-names" : false, "suffix" : "" }, { "dropping-particle" : "", "family" : "Petermans", "given" : "J", "non-dropping-particle" : "", "parse-names" : false, "suffix" : "" }, { "dropping-particle" : "", "family" : "Bruyere", "given" : "O", "non-dropping-particle" : "", "parse-names" : false, "suffix" : "" } ], "container-title" : "Exp Gerontol", "edition" : "2014/12/03", "id" : "ITEM-2", "issued" : { "date-parts" : [ [ "2014" ] ] }, "language" : "Eng", "note" : "Beaudart, C\nReginster, J Y\nSlomian, J\nBuckinx, F\nDardenne, N\nQuabron, A\nSlangen, C\nGillain, S\nPetermans, J\nBruyere, O\nExp Gerontol. 2014 Nov 20;61C:31-37. doi: 10.1016/j.exger.2014.11.014.", "page" : "31-37", "title" : "Estimation of sarcopenia prevalence using various assessment tools", "type" : "article-journal", "volume" : "61C" }, "uris" : [ "http://www.mendeley.com/documents/?uuid=4fb14da8-fd11-4f80-96fb-d07d6cdec750" ] } ], "mendeley" : { "formattedCitation" : "&lt;sup&gt;36,37&lt;/sup&gt;", "plainTextFormattedCitation" : "36,37", "previouslyFormattedCitation" : "&lt;sup&gt;36,37&lt;/sup&gt;" }, "properties" : { "noteIndex" : 0 }, "schema" : "https://github.com/citation-style-language/schema/raw/master/csl-citation.json" }</w:instrText>
      </w:r>
      <w:r w:rsidRPr="000B0221">
        <w:fldChar w:fldCharType="separate"/>
      </w:r>
      <w:r w:rsidR="007E0300" w:rsidRPr="007E0300">
        <w:rPr>
          <w:noProof/>
          <w:vertAlign w:val="superscript"/>
        </w:rPr>
        <w:t>36,37</w:t>
      </w:r>
      <w:r w:rsidRPr="000B0221">
        <w:fldChar w:fldCharType="end"/>
      </w:r>
      <w:r w:rsidRPr="000B0221">
        <w:t xml:space="preserve">, some of them are likely to be of </w:t>
      </w:r>
      <w:r w:rsidR="002F4D82" w:rsidRPr="000B0221">
        <w:t>greater validity and</w:t>
      </w:r>
      <w:r w:rsidRPr="000B0221">
        <w:t xml:space="preserve"> utility for the assessment of sarcopenia in clinical practice</w:t>
      </w:r>
      <w:r w:rsidR="000D7927">
        <w:t xml:space="preserve"> than in clinical research</w:t>
      </w:r>
      <w:r w:rsidRPr="000B0221">
        <w:t xml:space="preserve"> </w:t>
      </w:r>
      <w:r w:rsidR="0020588F" w:rsidRPr="000B0221">
        <w:t xml:space="preserve">and are summarised </w:t>
      </w:r>
      <w:r w:rsidR="007845BD">
        <w:t>in t</w:t>
      </w:r>
      <w:r w:rsidRPr="000B0221">
        <w:t xml:space="preserve">able 1. </w:t>
      </w:r>
      <w:r w:rsidR="0020588F" w:rsidRPr="000B0221">
        <w:rPr>
          <w:color w:val="000000"/>
          <w:shd w:val="clear" w:color="auto" w:fill="FDFDFD"/>
        </w:rPr>
        <w:t>Whereas some biochemical mark</w:t>
      </w:r>
      <w:r w:rsidR="00F224DA" w:rsidRPr="000B0221">
        <w:rPr>
          <w:color w:val="000000"/>
          <w:shd w:val="clear" w:color="auto" w:fill="FDFDFD"/>
        </w:rPr>
        <w:t xml:space="preserve">ers of muscle metabolism (e.g. activin, </w:t>
      </w:r>
      <w:r w:rsidR="00DB591F" w:rsidRPr="000B0221">
        <w:rPr>
          <w:color w:val="000000"/>
          <w:shd w:val="clear" w:color="auto" w:fill="FDFDFD"/>
        </w:rPr>
        <w:t xml:space="preserve">n-terminal propeptide of procollagen III and </w:t>
      </w:r>
      <w:r w:rsidR="00F224DA" w:rsidRPr="000B0221">
        <w:rPr>
          <w:color w:val="000000"/>
          <w:shd w:val="clear" w:color="auto" w:fill="FDFDFD"/>
        </w:rPr>
        <w:t>m</w:t>
      </w:r>
      <w:r w:rsidR="0020588F" w:rsidRPr="000B0221">
        <w:rPr>
          <w:color w:val="000000"/>
          <w:shd w:val="clear" w:color="auto" w:fill="FDFDFD"/>
        </w:rPr>
        <w:t xml:space="preserve">yostatin) are being investigated for their ability to </w:t>
      </w:r>
      <w:r w:rsidR="002F4D82" w:rsidRPr="000B0221">
        <w:rPr>
          <w:color w:val="000000"/>
          <w:shd w:val="clear" w:color="auto" w:fill="FDFDFD"/>
        </w:rPr>
        <w:t xml:space="preserve">indicate </w:t>
      </w:r>
      <w:r w:rsidR="00DB5B0E" w:rsidRPr="000B0221">
        <w:rPr>
          <w:color w:val="000000"/>
          <w:shd w:val="clear" w:color="auto" w:fill="FDFDFD"/>
        </w:rPr>
        <w:t>muscle mass or strength</w:t>
      </w:r>
      <w:r w:rsidR="0020588F" w:rsidRPr="000B0221">
        <w:rPr>
          <w:color w:val="000000"/>
          <w:shd w:val="clear" w:color="auto" w:fill="FDFDFD"/>
        </w:rPr>
        <w:t xml:space="preserve">, current data suggest that it is premature to recommend their use in </w:t>
      </w:r>
      <w:r w:rsidR="00DB5B0E" w:rsidRPr="000B0221">
        <w:rPr>
          <w:color w:val="000000"/>
          <w:shd w:val="clear" w:color="auto" w:fill="FDFDFD"/>
        </w:rPr>
        <w:t>daily practice</w:t>
      </w:r>
      <w:r w:rsidR="00DB5B0E" w:rsidRPr="000B0221">
        <w:rPr>
          <w:color w:val="000000"/>
          <w:shd w:val="clear" w:color="auto" w:fill="FDFDFD"/>
        </w:rPr>
        <w:fldChar w:fldCharType="begin" w:fldLock="1"/>
      </w:r>
      <w:r w:rsidR="007E0300">
        <w:rPr>
          <w:color w:val="000000"/>
          <w:shd w:val="clear" w:color="auto" w:fill="FDFDFD"/>
        </w:rPr>
        <w:instrText>ADDIN CSL_CITATION { "citationItems" : [ { "id" : "ITEM-1", "itemData" : { "abstract" : "European Geriatric Medicine -  In Press.Proof corrected by the author  Available online since mercredi 9 d\u00e9cembre 2015", "author" : [ { "dropping-particle" : "", "family" : "Cavalier", "given" : "E", "non-dropping-particle" : "", "parse-names" : false, "suffix" : "" }, { "dropping-particle" : "", "family" : "Beaudart", "given" : "C", "non-dropping-particle" : "", "parse-names" : false, "suffix" : "" }, { "dropping-particle" : "", "family" : "Buckinx", "given" : "F", "non-dropping-particle" : "", "parse-names" : false, "suffix" : "" }, { "dropping-particle" : "", "family" : "Bruy\u00e8re", "given" : "O", "non-dropping-particle" : "", "parse-names" : false, "suffix" : "" }, { "dropping-particle" : "", "family" : "Reginster", "given" : "J -Y", "non-dropping-particle" : "", "parse-names" : false, "suffix" : "" } ], "id" : "ITEM-1", "issued" : { "date-parts" : [ [ "2015", "9", "12" ] ] }, "language" : "en", "publisher" : "Elsevier Masson", "title" : "Critical analytical evaluation of promising markers for sarcopenia", "type" : "article" }, "uris" : [ "http://www.mendeley.com/documents/?uuid=0f4e22e4-a972-471f-9569-bee27102e87c" ] } ], "mendeley" : { "formattedCitation" : "&lt;sup&gt;38&lt;/sup&gt;", "plainTextFormattedCitation" : "38", "previouslyFormattedCitation" : "&lt;sup&gt;38&lt;/sup&gt;" }, "properties" : { "noteIndex" : 0 }, "schema" : "https://github.com/citation-style-language/schema/raw/master/csl-citation.json" }</w:instrText>
      </w:r>
      <w:r w:rsidR="00DB5B0E" w:rsidRPr="000B0221">
        <w:rPr>
          <w:color w:val="000000"/>
          <w:shd w:val="clear" w:color="auto" w:fill="FDFDFD"/>
        </w:rPr>
        <w:fldChar w:fldCharType="separate"/>
      </w:r>
      <w:r w:rsidR="007E0300" w:rsidRPr="007E0300">
        <w:rPr>
          <w:noProof/>
          <w:color w:val="000000"/>
          <w:shd w:val="clear" w:color="auto" w:fill="FDFDFD"/>
          <w:vertAlign w:val="superscript"/>
        </w:rPr>
        <w:t>38</w:t>
      </w:r>
      <w:r w:rsidR="00DB5B0E" w:rsidRPr="000B0221">
        <w:rPr>
          <w:color w:val="000000"/>
          <w:shd w:val="clear" w:color="auto" w:fill="FDFDFD"/>
        </w:rPr>
        <w:fldChar w:fldCharType="end"/>
      </w:r>
      <w:r w:rsidR="0020588F" w:rsidRPr="000B0221">
        <w:rPr>
          <w:color w:val="000000"/>
          <w:shd w:val="clear" w:color="auto" w:fill="FDFDFD"/>
        </w:rPr>
        <w:t xml:space="preserve">. </w:t>
      </w:r>
    </w:p>
    <w:p w14:paraId="7C8213E2" w14:textId="7C149893" w:rsidR="008029F7" w:rsidRDefault="00963970" w:rsidP="008208BA">
      <w:pPr>
        <w:spacing w:line="360" w:lineRule="auto"/>
        <w:jc w:val="both"/>
      </w:pPr>
      <w:r w:rsidRPr="000B0221">
        <w:t xml:space="preserve">There are currently a number of approaches to the definition of sarcopenia in clinical practice </w:t>
      </w:r>
      <w:r w:rsidR="006F1803" w:rsidRPr="000B0221">
        <w:fldChar w:fldCharType="begin" w:fldLock="1"/>
      </w:r>
      <w:r w:rsidR="007E0300">
        <w:instrText>ADDIN CSL_CITATION { "citationItems" : [ { "id" : "ITEM-1", "itemData" : { "DOI" : "10.1007/s00223-013-9757-z", "ISBN" : "1432-0827 (Electronic)\r0171-967X (Linking)", "PMID" : "23842964", "abstract" : "This review provides a framework for the development of an operational definition of sarcopenia and of the potential end points that might be adopted in clinical trials among older adults. While the clinical relevance of sarcopenia is widely recognized, there is currently no universally accepted definition of the disorder. The development of interventions to alter the natural history of sarcopenia also requires consensus on the most appropriate end points for determining outcomes of clinical importance which might be utilized in intervention studies. We review current approaches to the definition of sarcopenia and the methods used for the assessment of various aspects of physical function in older people. The potential end points of muscle mass, muscle strength, muscle power, and muscle fatigue, as well as the relationships between them, are explored with reference to the availability and practicality of the available methods for measuring these end points in clinical trials. Based on current evidence, none of the four potential outcomes in question is sufficiently comprehensive to recommend as a uniform single outcome in randomized clinical trials. We propose that sarcopenia may be optimally defined (for the purposes of clinical trial inclusion criteria as well as epidemiological studies) using a combination of measures of muscle mass and physical performance. The choice of outcome measures for clinical trials in sarcopenia is more difficult; co-primary outcomes, tailored to the specific intervention in question, may be the best way forward in this difficult but clinically important area.", "author" : [ { "dropping-particle" : "", "family" : "Cooper", "given" : "C", "non-dropping-particle" : "", "parse-names" : false, "suffix" : "" }, { "dropping-particle" : "", "family" : "Fielding", "given" : "R", "non-dropping-particle" : "", "parse-names" : false, "suffix" : "" }, { "dropping-particle" : "", "family" : "Visser", "given" : "M", "non-dropping-particle" : "", "parse-names" : false, "suffix" : "" }, { "dropping-particle" : "", "family" : "Loon", "given" : "L J", "non-dropping-particle" : "van", "parse-names" : false, "suffix" : "" }, { "dropping-particle" : "", "family" : "Rolland", "given" : "Y", "non-dropping-particle" : "", "parse-names" : false, "suffix" : "" }, { "dropping-particle" : "", "family" : "Orwoll", "given" : "E", "non-dropping-particle" : "", "parse-names" : false, "suffix" : "" }, { "dropping-particle" : "", "family" : "Reid", "given" : "K", "non-dropping-particle" : "", "parse-names" : false, "suffix" : "" }, { "dropping-particle" : "", "family" : "Boonen", "given" : "S", "non-dropping-particle" : "", "parse-names" : false, "suffix" : "" }, { "dropping-particle" : "", "family" : "Dere", "given" : "W", "non-dropping-particle" : "", "parse-names" : false, "suffix" : "" }, { "dropping-particle" : "", "family" : "Epstein", "given" : "S", "non-dropping-particle" : "", "parse-names" : false, "suffix" : "" }, { "dropping-particle" : "", "family" : "Mitlak", "given" : "B", "non-dropping-particle" : "", "parse-names" : false, "suffix" : "" }, { "dropping-particle" : "", "family" : "Tsouderos", "given" : "Y", "non-dropping-particle" : "", "parse-names" : false, "suffix" : "" }, { "dropping-particle" : "", "family" : "Sayer", "given" : "A A", "non-dropping-particle" : "", "parse-names" : false, "suffix" : "" }, { "dropping-particle" : "", "family" : "Rizzoli", "given" : "R", "non-dropping-particle" : "", "parse-names" : false, "suffix" : "" }, { "dropping-particle" : "", "family" : "Reginster", "given" : "J Y", "non-dropping-particle" : "", "parse-names" : false, "suffix" : "" }, { "dropping-particle" : "", "family" : "Kanis", "given" : "J A", "non-dropping-particle" : "", "parse-names" : false, "suffix" : "" } ], "container-title" : "Calcif Tissue Int", "edition" : "2013/07/12", "id" : "ITEM-1", "issue" : "3", "issued" : { "date-parts" : [ [ "2013" ] ] }, "language" : "eng", "note" : "Cooper, C\nFielding, R\nVisser, M\nvan Loon, L J\nRolland, Y\nOrwoll, E\nReid, K\nBoonen, S\nDere, W\nEpstein, S\nMitlak, B\nTsouderos, Y\nSayer, A A\nRizzoli, R\nReginster, J Y\nKanis, J A\nMC_U147585819/Medical Research Council/United Kingdom\nMC_UP_A620_1014/Medical Research Council/United Kingdom\nMC_UP_A620_1015/Medical Research Council/United Kingdom\nMC_UU_12011/1/Medical Research Council/United Kingdom\nMC_UU_12011/2/Medical Research Council/United Kingdom\nU1475000002/Medical Research Council/United Kingdom\nCalcif Tissue Int. 2013 Sep;93(3):201-10. doi: 10.1007/s00223-013-9757-z. Epub 2013 Jul 11.", "page" : "201-210", "title" : "Tools in the assessment of sarcopenia", "type" : "article-journal", "volume" : "93" }, "uris" : [ "http://www.mendeley.com/documents/?uuid=7b8f4547-b285-4c8a-a7d4-bac6f64de5d0" ] }, { "id" : "ITEM-2",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"id" : "ITEM-2",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"http://www.mendeley.com/documents/?uuid=3d1f265c-6af0-49a0-b05a-8d359df2f375" ] }, { "id" : "ITEM-3",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manuscripts.\n\nMETHODS: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groups.\n\nRESULTS: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women.\n\nCONCLUSIONS: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Biological sciences and medical sciences", "id" : "ITEM-3", "issue" : "5", "issued" : { "date-parts" : [ [ "2014", "5" ] ] }, "page" : "547-58", "title" : "The FNIH sarcopenia project: rationale, study description, conference recommendations, and final estimates.", "type" : "article-journal", "volume" : "69" }, "uris" : [ "http://www.mendeley.com/documents/?uuid=6e4e94fb-1e9f-491f-87b7-c5d621323b4b" ] } ], "mendeley" : { "formattedCitation" : "&lt;sup&gt;3,7,36&lt;/sup&gt;", "plainTextFormattedCitation" : "3,7,36", "previouslyFormattedCitation" : "&lt;sup&gt;3,7,36&lt;/sup&gt;" }, "properties" : { "noteIndex" : 0 }, "schema" : "https://github.com/citation-style-language/schema/raw/master/csl-citation.json" }</w:instrText>
      </w:r>
      <w:r w:rsidR="006F1803" w:rsidRPr="000B0221">
        <w:fldChar w:fldCharType="separate"/>
      </w:r>
      <w:r w:rsidR="007E0300" w:rsidRPr="007E0300">
        <w:rPr>
          <w:noProof/>
          <w:vertAlign w:val="superscript"/>
        </w:rPr>
        <w:t>3,7,36</w:t>
      </w:r>
      <w:r w:rsidR="006F1803" w:rsidRPr="000B0221">
        <w:fldChar w:fldCharType="end"/>
      </w:r>
      <w:r w:rsidRPr="000B0221">
        <w:t xml:space="preserve">. However, these are usually more suited to research studies </w:t>
      </w:r>
      <w:r w:rsidR="004946C8" w:rsidRPr="000B0221">
        <w:t xml:space="preserve">than </w:t>
      </w:r>
      <w:r w:rsidRPr="000B0221">
        <w:t xml:space="preserve">wider clinical practice. Additionally, some of the available methodologies for </w:t>
      </w:r>
      <w:r w:rsidR="004946C8" w:rsidRPr="000B0221">
        <w:t xml:space="preserve">the </w:t>
      </w:r>
      <w:r w:rsidRPr="000B0221">
        <w:t>assessment of sarcopenia utilise methods for measuring muscle mass, strength and physical function that are more suited to secondary care, than primary care settings. We therefore tabulated our preferences according to feasibility, complexity</w:t>
      </w:r>
      <w:r w:rsidR="00753175">
        <w:t xml:space="preserve">, required </w:t>
      </w:r>
      <w:r w:rsidR="00753175">
        <w:lastRenderedPageBreak/>
        <w:t>time for the examination, availability of robust cut-off points</w:t>
      </w:r>
      <w:r w:rsidRPr="000B0221">
        <w:t xml:space="preserve"> and cost, in each of these three contexts: research, specialist settings and primary care (Table 1). </w:t>
      </w:r>
    </w:p>
    <w:p w14:paraId="0BA038DE" w14:textId="074B0740" w:rsidR="000C043A" w:rsidRPr="000B0221" w:rsidRDefault="000C043A" w:rsidP="00377240">
      <w:pPr>
        <w:pStyle w:val="ListParagraph"/>
        <w:numPr>
          <w:ilvl w:val="0"/>
          <w:numId w:val="27"/>
        </w:numPr>
        <w:spacing w:line="360" w:lineRule="auto"/>
        <w:jc w:val="both"/>
        <w:rPr>
          <w:i/>
        </w:rPr>
      </w:pPr>
      <w:r w:rsidRPr="000B0221">
        <w:rPr>
          <w:i/>
        </w:rPr>
        <w:t>A</w:t>
      </w:r>
      <w:r w:rsidR="00C46900" w:rsidRPr="000B0221">
        <w:rPr>
          <w:i/>
        </w:rPr>
        <w:t>ssessment of muscle mass</w:t>
      </w:r>
    </w:p>
    <w:p w14:paraId="58E37BDC" w14:textId="38BC281C" w:rsidR="00137C99" w:rsidRPr="000B0221" w:rsidRDefault="001602EF" w:rsidP="0048043C">
      <w:pPr>
        <w:tabs>
          <w:tab w:val="left" w:pos="426"/>
        </w:tabs>
        <w:spacing w:line="360" w:lineRule="auto"/>
        <w:jc w:val="both"/>
      </w:pPr>
      <w:r w:rsidRPr="000B0221">
        <w:t>The widespread use of m</w:t>
      </w:r>
      <w:r w:rsidR="00891EA4" w:rsidRPr="000B0221">
        <w:t>agnetic resonance imaging (MRI)</w:t>
      </w:r>
      <w:r w:rsidR="002B376C" w:rsidRPr="000B0221">
        <w:t xml:space="preserve"> and </w:t>
      </w:r>
      <w:r w:rsidR="00891EA4" w:rsidRPr="000B0221">
        <w:t>computed tomography (CT) scan</w:t>
      </w:r>
      <w:r w:rsidR="002B376C" w:rsidRPr="000B0221">
        <w:t xml:space="preserve"> for the </w:t>
      </w:r>
      <w:r w:rsidR="00137C99" w:rsidRPr="000B0221">
        <w:t xml:space="preserve">non-invasive </w:t>
      </w:r>
      <w:r w:rsidR="002B376C" w:rsidRPr="000B0221">
        <w:t>assessment of muscle mass</w:t>
      </w:r>
      <w:r w:rsidR="002B376C" w:rsidRPr="000B0221">
        <w:fldChar w:fldCharType="begin" w:fldLock="1"/>
      </w:r>
      <w:r w:rsidR="007E0300">
        <w:instrText>ADDIN CSL_CITATION { "citationItems" : [ { "id" : "ITEM-1", "itemData" : { "ISSN" : "8750-7587", "PMID" : "9655763", "abstract" : "Magnetic resonance imaging (MRI) and computerized tomography (CT) are promising reference methods for quantifying whole body and regional skeletal muscle mass. Earlier MRI and CT validation studies used data-acquisition techniques and data-analysis procedures now outdated, evaluated anatomic rather than adipose tissue-free skeletal muscle (ATFSM), studied only the relatively large thigh, or found unduly large estimation errors. The aim of the present study was to compare arm and leg ATFSM cross-sectional area estimates (cm2) by using standard MRI and CT acquisition and image-analysis methods with corresponding cadaver estimates. A second objective was to validate MRI and CT measurements of adipose tissue embedded within muscle (interstitial adipose tissue) and surrounding muscle (subcutaneous adipose tissue). ATFSM area (n = 119) by MRI [38.9 +/- 22.3 (SD) cm2], CT (39.7 +/- 22.8 cm2), and cadaver (39.5 +/- 23.0 cm2) were not different (P &gt; 0.001), and both MRI and CT estimates of ATFSM were highly correlated with corresponding cadaver values [MRI: r = 0.99, SE of estimate (SEE) 3.9 cm2, P &lt; 0.001; and CT: r = 0.99, SEE = 3.8 cm2, P &lt; 0.001]. Similarly good results were observed between MRI- and CT-measured vs. cadaver-measured interstitial and subcutaneous adipose tissue. For MRI-ATFSM the intraobserver correlation for duplicate measurements in vivo was 0. 99 [SEE = 8.7 cm2 (2.9%), P &lt; 0.001]. These findings strongly support the use of MRI and CT as reference methods for appendicular skeletal muscle, interstitial and subcutaneous adipose tissue measurement in vivo.", "author" : [ { "dropping-particle" : "", "family" : "Mitsiopoulos", "given" : "N", "non-dropping-particle" : "", "parse-names" : false, "suffix" : "" }, { "dropping-particle" : "", "family" : "Baumgartner", "given" : "R N", "non-dropping-particle" : "", "parse-names" : false, "suffix" : "" }, { "dropping-particle" : "", "family" : "Heymsfield", "given" : "S B", "non-dropping-particle" : "", "parse-names" : false, "suffix" : "" }, { "dropping-particle" : "", "family" : "Lyons", "given" : "W", "non-dropping-particle" : "", "parse-names" : false, "suffix" : "" }, { "dropping-particle" : "", "family" : "Gallagher", "given" : "D", "non-dropping-particle" : "", "parse-names" : false, "suffix" : "" }, { "dropping-particle" : "", "family" : "Ross", "given" : "R", "non-dropping-particle" : "", "parse-names" : false, "suffix" : "" } ], "container-title" : "Journal of applied physiology (Bethesda, Md. : 1985)", "id" : "ITEM-1", "issue" : "1", "issued" : { "date-parts" : [ [ "1998", "7" ] ] }, "page" : "115-22", "title" : "Cadaver validation of skeletal muscle measurement by magnetic resonance imaging and computerized tomography.", "type" : "article-journal", "volume" : "85" }, "uris" : [ "http://www.mendeley.com/documents/?uuid=91d57cad-599d-4492-a785-82cef5aef1a4" ] } ], "mendeley" : { "formattedCitation" : "&lt;sup&gt;39&lt;/sup&gt;", "plainTextFormattedCitation" : "39", "previouslyFormattedCitation" : "&lt;sup&gt;39&lt;/sup&gt;" }, "properties" : { "noteIndex" : 0 }, "schema" : "https://github.com/citation-style-language/schema/raw/master/csl-citation.json" }</w:instrText>
      </w:r>
      <w:r w:rsidR="002B376C" w:rsidRPr="000B0221">
        <w:fldChar w:fldCharType="separate"/>
      </w:r>
      <w:r w:rsidR="007E0300" w:rsidRPr="007E0300">
        <w:rPr>
          <w:noProof/>
          <w:vertAlign w:val="superscript"/>
        </w:rPr>
        <w:t>39</w:t>
      </w:r>
      <w:r w:rsidR="002B376C" w:rsidRPr="000B0221">
        <w:fldChar w:fldCharType="end"/>
      </w:r>
      <w:r w:rsidRPr="000B0221">
        <w:t xml:space="preserve"> </w:t>
      </w:r>
      <w:r w:rsidR="00DB642A" w:rsidRPr="000B0221">
        <w:t>is limited</w:t>
      </w:r>
      <w:r w:rsidR="00D86C21" w:rsidRPr="000B0221">
        <w:t xml:space="preserve"> </w:t>
      </w:r>
      <w:r w:rsidR="007A00DF" w:rsidRPr="000B0221">
        <w:t xml:space="preserve">in primary care settings </w:t>
      </w:r>
      <w:r w:rsidR="00D86C21" w:rsidRPr="000B0221">
        <w:t xml:space="preserve">by </w:t>
      </w:r>
      <w:r w:rsidR="00137C99" w:rsidRPr="000B0221">
        <w:t xml:space="preserve">difficulties in access, </w:t>
      </w:r>
      <w:r w:rsidR="002B376C" w:rsidRPr="000B0221">
        <w:t>cost</w:t>
      </w:r>
      <w:r w:rsidR="00D86C21" w:rsidRPr="000B0221">
        <w:t xml:space="preserve">s, the lack of </w:t>
      </w:r>
      <w:r w:rsidR="00137C99" w:rsidRPr="000B0221">
        <w:t xml:space="preserve">portable </w:t>
      </w:r>
      <w:r w:rsidR="00D86C21" w:rsidRPr="000B0221">
        <w:t>equipment</w:t>
      </w:r>
      <w:r w:rsidR="002B376C" w:rsidRPr="000B0221">
        <w:t xml:space="preserve"> and the requirement of </w:t>
      </w:r>
      <w:r w:rsidR="00D86C21" w:rsidRPr="000B0221">
        <w:t xml:space="preserve">highly specialized </w:t>
      </w:r>
      <w:r w:rsidR="00137C99" w:rsidRPr="000B0221">
        <w:t>personnel</w:t>
      </w:r>
      <w:r w:rsidR="002B376C" w:rsidRPr="000B0221">
        <w:t xml:space="preserve">. </w:t>
      </w:r>
    </w:p>
    <w:p w14:paraId="265445F9" w14:textId="50D14467" w:rsidR="00480F8A" w:rsidRPr="000B0221" w:rsidRDefault="00EE54F6" w:rsidP="00C73AF7">
      <w:pPr>
        <w:tabs>
          <w:tab w:val="left" w:pos="426"/>
        </w:tabs>
        <w:spacing w:line="360" w:lineRule="auto"/>
        <w:jc w:val="both"/>
      </w:pPr>
      <w:r w:rsidRPr="000B0221">
        <w:t>Dual-energy x-ray absorptiometry (DXA) is a well-</w:t>
      </w:r>
      <w:r w:rsidR="00137C99" w:rsidRPr="000B0221">
        <w:t>established</w:t>
      </w:r>
      <w:r w:rsidR="00480F8A" w:rsidRPr="000B0221">
        <w:t>, low-radiation</w:t>
      </w:r>
      <w:r w:rsidR="00137C99" w:rsidRPr="000B0221">
        <w:t xml:space="preserve"> </w:t>
      </w:r>
      <w:r w:rsidRPr="000B0221">
        <w:t>technique used to assess body composition</w:t>
      </w:r>
      <w:r w:rsidR="00480F8A" w:rsidRPr="000B0221">
        <w:t xml:space="preserve"> and </w:t>
      </w:r>
      <w:r w:rsidR="000D5029" w:rsidRPr="000B0221">
        <w:t xml:space="preserve">provides </w:t>
      </w:r>
      <w:r w:rsidR="000226C3" w:rsidRPr="000B0221">
        <w:t xml:space="preserve">reproducible </w:t>
      </w:r>
      <w:r w:rsidR="000D5029" w:rsidRPr="000B0221">
        <w:t xml:space="preserve">estimates of appendicular skeletal </w:t>
      </w:r>
      <w:r w:rsidR="00483E3E" w:rsidRPr="000B0221">
        <w:t>lean</w:t>
      </w:r>
      <w:r w:rsidR="000D5029" w:rsidRPr="000B0221">
        <w:t xml:space="preserve"> mass</w:t>
      </w:r>
      <w:r w:rsidR="00870E13" w:rsidRPr="000B0221">
        <w:rPr>
          <w:vertAlign w:val="superscript"/>
        </w:rPr>
        <w:fldChar w:fldCharType="begin" w:fldLock="1"/>
      </w:r>
      <w:r w:rsidR="007E0300">
        <w:rPr>
          <w:vertAlign w:val="superscript"/>
        </w:rPr>
        <w:instrText>ADDIN CSL_CITATION { "citationItems" : [ { "id" : "ITEM-1", "itemData" : { "ISSN" : "8750-7587", "PMID" : "10658010", "abstract" : "Dual-energy X-ray absorptiometry (DEXA) is reported to be inferior to computed tomography (CT) to measure changes in appendicular soft tissue composition. We compared CT- and DEXA-measured thigh muscle and fat mass to evaluate the random and systematic discrepancies between these two methods. Thigh skeletal muscle area (single-slice CT) was suboptimally (r(2) = 0.74, P &lt; 0.0001) related to DEXA-measured thigh fat-free mass (FFM). In contrast, thigh muscle and adipose tissue volumes (multislice CT) were highly related to DEXA-measured thigh FFM and fat (both r(2) = 0.96, P &lt; 0.0001). DEXA-measured leg fat was significantly less than multislice-CT-measured leg adipose tissue volume, whereas multislice-CT-measured leg muscle mass was less (P &lt; 0.0001) than DEXA-measured leg FFM. The systematic discrepancies between the two approaches were consistent with the 10-15% nonfat components of adipose tissue. In conclusion, CT and DEXA measures of appendicular soft tissue are highly related. Systematic differences between DEXA and CT likely relate to the underlying principles of the techniques.", "author" : [ { "dropping-particle" : "", "family" : "Levine", "given" : "J A", "non-dropping-particle" : "", "parse-names" : false, "suffix" : "" }, { "dropping-particle" : "", "family" : "Abboud", "given" : "L", "non-dropping-particle" : "", "parse-names" : false, "suffix" : "" }, { "dropping-particle" : "", "family" : "Barry", "given" : "M", "non-dropping-particle" : "", "parse-names" : false, "suffix" : "" }, { "dropping-particle" : "", "family" : "Reed", "given" : "J E", "non-dropping-particle" : "", "parse-names" : false, "suffix" : "" }, { "dropping-particle" : "", "family" : "Sheedy", "given" : "P F", "non-dropping-particle" : "", "parse-names" : false, "suffix" : "" }, { "dropping-particle" : "", "family" : "Jensen", "given" : "M D", "non-dropping-particle" : "", "parse-names" : false, "suffix" : "" } ], "container-title" : "Journal of applied physiology (Bethesda, Md. : 1985)", "id" : "ITEM-1", "issue" : "2", "issued" : { "date-parts" : [ [ "2000", "2" ] ] }, "page" : "452-6", "title" : "Measuring leg muscle and fat mass in humans: comparison of CT and dual-energy X-ray absorptiometry.", "type" : "article-journal", "volume" : "88" }, "uris" : [ "http://www.mendeley.com/documents/?uuid=7f38f579-bdd7-4a69-b37a-95ba73c48160" ] }, { "id" : "ITEM-2", "itemData" : { "ISSN" : "8750-7587", "PMID" : "10517786", "abstract" : "The aim of the study was to examine the accuracy of fan-beam dual-energy X-ray absorptiometry (DEXA) for measuring total body fat-free mass (FFM) and leg muscle mass (MM) in elderly persons. Participants were 60 men and women aged 70-79 yr and with a body mass index of 17.5-39.8 kg/m(2). FFM and MM at four leg regions were measured by using DEXA (Hologic 4500A, v8.21). A four-compartment body composition model (4C) and multislice computed tomography (CT) of the legs were used as the criterion methods for FFM and MM, respectively. FFM by DEXA was positively associated with FFM by 4C (R(2) = 0.98, SE of estimate = 1.6 kg). FFM by DEXA was higher [53.5 +/- 12.0 (SD) kg] than FFM by 4C (51.6 +/- 11.9 kg; P &lt; 0.001). No association was observed between the difference and the mean of the two methods. MM by DEXA was positively associated with CT at all four leg regions (R(2) = 0.86-0.96). MM by DEXA was higher than by CT in three regions. The results of this study suggest that fan-beam DEXA offers considerable promise for the measurement of total body FFM and leg MM in elderly persons.", "author" : [ { "dropping-particle" : "", "family" : "Visser", "given" : "M", "non-dropping-particle" : "", "parse-names" : false, "suffix" : "" }, { "dropping-particle" : "", "family" : "Fuerst", "given" : "T", "non-dropping-particle" : "", "parse-names" : false, "suffix" : "" }, { "dropping-particle" : "", "family" : "Lang", "given" : "T", "non-dropping-particle" : "", "parse-names" : false, "suffix" : "" }, { "dropping-particle" : "", "family" : "Salamone", "given" : "L", "non-dropping-particle" : "", "parse-names" : false, "suffix" : "" }, { "dropping-particle" : "", "family" : "Harris", "given" : "T B", "non-dropping-particle" : "", "parse-names" : false, "suffix" : "" } ], "container-title" : "Journal of applied physiology (Bethesda, Md. : 1985)", "id" : "ITEM-2", "issue" : "4", "issued" : { "date-parts" : [ [ "1999", "10" ] ] }, "page" : "1513-20", "title" : "Validity of fan-beam dual-energy X-ray absorptiometry for measuring fat-free mass and leg muscle mass. Health, Aging, and Body Composition Study--Dual-Energy X-ray Absorptiometry and Body Composition Working Group.", "type" : "article-journal", "volume" : "87" }, "uris" : [ "http://www.mendeley.com/documents/?uuid=ebc12128-87ea-4747-9f7a-95e28a64c0c3" ] } ], "mendeley" : { "formattedCitation" : "&lt;sup&gt;40,41&lt;/sup&gt;", "plainTextFormattedCitation" : "40,41", "previouslyFormattedCitation" : "&lt;sup&gt;40,41&lt;/sup&gt;" }, "properties" : { "noteIndex" : 0 }, "schema" : "https://github.com/citation-style-language/schema/raw/master/csl-citation.json" }</w:instrText>
      </w:r>
      <w:r w:rsidR="00870E13" w:rsidRPr="000B0221">
        <w:rPr>
          <w:vertAlign w:val="superscript"/>
        </w:rPr>
        <w:fldChar w:fldCharType="separate"/>
      </w:r>
      <w:r w:rsidR="007E0300" w:rsidRPr="007E0300">
        <w:rPr>
          <w:noProof/>
          <w:vertAlign w:val="superscript"/>
        </w:rPr>
        <w:t>40,41</w:t>
      </w:r>
      <w:r w:rsidR="00870E13" w:rsidRPr="000B0221">
        <w:rPr>
          <w:vertAlign w:val="superscript"/>
        </w:rPr>
        <w:fldChar w:fldCharType="end"/>
      </w:r>
      <w:r w:rsidR="000D5029" w:rsidRPr="000B0221">
        <w:t xml:space="preserve">. </w:t>
      </w:r>
      <w:r w:rsidR="00480F8A" w:rsidRPr="000B0221">
        <w:t>It is acknowledged that</w:t>
      </w:r>
      <w:r w:rsidR="000D5029" w:rsidRPr="000B0221">
        <w:t xml:space="preserve"> the accuracy </w:t>
      </w:r>
      <w:r w:rsidR="00232F2D">
        <w:t>of</w:t>
      </w:r>
      <w:r w:rsidR="00232F2D" w:rsidRPr="000B0221">
        <w:t xml:space="preserve"> </w:t>
      </w:r>
      <w:r w:rsidR="000D5029" w:rsidRPr="000B0221">
        <w:t xml:space="preserve">DXA for assessing muscle mass in people of different ages and different pathological conditions may vary. </w:t>
      </w:r>
      <w:r w:rsidR="0009637A" w:rsidRPr="000B0221">
        <w:t xml:space="preserve">Moreover, DXA (in contrast to CT-scan and MRI) cannot assess intra-muscular fat, which turns out to be of increasing importance </w:t>
      </w:r>
      <w:r w:rsidR="00232F2D">
        <w:t>in terms of</w:t>
      </w:r>
      <w:r w:rsidR="0009637A" w:rsidRPr="000B0221">
        <w:t xml:space="preserve"> the quality of muscle and associations with clinical outcomes.</w:t>
      </w:r>
      <w:r w:rsidR="000D5029" w:rsidRPr="000B0221">
        <w:t xml:space="preserve"> </w:t>
      </w:r>
      <w:r w:rsidR="00FF1187" w:rsidRPr="000B0221">
        <w:t xml:space="preserve">Bearing these limitations in mind, DXA is still </w:t>
      </w:r>
      <w:r w:rsidR="00542E45" w:rsidRPr="000B0221">
        <w:t xml:space="preserve">considered as the procedure of choice for routine </w:t>
      </w:r>
      <w:r w:rsidR="00480F8A" w:rsidRPr="000B0221">
        <w:t xml:space="preserve">clinical </w:t>
      </w:r>
      <w:r w:rsidR="002C4B1F" w:rsidRPr="000B0221">
        <w:t>assessment</w:t>
      </w:r>
      <w:r w:rsidR="00542E45" w:rsidRPr="000B0221">
        <w:t xml:space="preserve">. </w:t>
      </w:r>
      <w:r w:rsidR="00480F8A" w:rsidRPr="000B0221">
        <w:t xml:space="preserve">Using DXA, appendicular skeletal </w:t>
      </w:r>
      <w:r w:rsidR="00483E3E" w:rsidRPr="000B0221">
        <w:t xml:space="preserve">lean </w:t>
      </w:r>
      <w:r w:rsidR="00480F8A" w:rsidRPr="000B0221">
        <w:t>mass (A</w:t>
      </w:r>
      <w:r w:rsidR="00483E3E" w:rsidRPr="000B0221">
        <w:t>L</w:t>
      </w:r>
      <w:r w:rsidR="00480F8A" w:rsidRPr="000B0221">
        <w:t xml:space="preserve">M) is measured as the sum of the </w:t>
      </w:r>
      <w:r w:rsidR="00B75454">
        <w:t>non-bone and non-fat</w:t>
      </w:r>
      <w:r w:rsidR="00480F8A" w:rsidRPr="000B0221">
        <w:t xml:space="preserve"> mass of the four limbs. To adjust for body size, a skeletal muscle index (SMI) is derived as A</w:t>
      </w:r>
      <w:r w:rsidR="00483E3E" w:rsidRPr="000B0221">
        <w:t>L</w:t>
      </w:r>
      <w:r w:rsidR="00480F8A" w:rsidRPr="000B0221">
        <w:t>M/height². Thresholds of SMI at two standard deviations below the mean SMI of young male and female reference groups have been proposed as gender-specific cut</w:t>
      </w:r>
      <w:r w:rsidR="00D47152" w:rsidRPr="000B0221">
        <w:t>-off</w:t>
      </w:r>
      <w:r w:rsidR="00480F8A" w:rsidRPr="000B0221">
        <w:t xml:space="preserve"> points for sarcopenia. This results in </w:t>
      </w:r>
      <w:r w:rsidR="0091781B" w:rsidRPr="000B0221">
        <w:t xml:space="preserve">two </w:t>
      </w:r>
      <w:r w:rsidR="00480F8A" w:rsidRPr="000B0221">
        <w:t xml:space="preserve">thresholds, </w:t>
      </w:r>
      <w:r w:rsidR="0091781B" w:rsidRPr="000B0221">
        <w:t xml:space="preserve">proposed </w:t>
      </w:r>
      <w:r w:rsidR="00480F8A" w:rsidRPr="000B0221">
        <w:t>by the EWGSOP</w:t>
      </w:r>
      <w:r w:rsidR="0091781B" w:rsidRPr="000B0221">
        <w:fldChar w:fldCharType="begin" w:fldLock="1"/>
      </w:r>
      <w:r w:rsidR="007E0300">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"http://www.mendeley.com/documents/?uuid=3d1f265c-6af0-49a0-b05a-8d359df2f375" ] } ], "mendeley" : { "formattedCitation" : "&lt;sup&gt;3&lt;/sup&gt;", "plainTextFormattedCitation" : "3", "previouslyFormattedCitation" : "&lt;sup&gt;3&lt;/sup&gt;" }, "properties" : { "noteIndex" : 0 }, "schema" : "https://github.com/citation-style-language/schema/raw/master/csl-citation.json" }</w:instrText>
      </w:r>
      <w:r w:rsidR="0091781B" w:rsidRPr="000B0221">
        <w:fldChar w:fldCharType="separate"/>
      </w:r>
      <w:r w:rsidR="0091781B" w:rsidRPr="000B0221">
        <w:rPr>
          <w:noProof/>
          <w:vertAlign w:val="superscript"/>
        </w:rPr>
        <w:t>3</w:t>
      </w:r>
      <w:r w:rsidR="0091781B" w:rsidRPr="000B0221">
        <w:fldChar w:fldCharType="end"/>
      </w:r>
      <w:r w:rsidR="00480F8A" w:rsidRPr="000B0221">
        <w:t xml:space="preserve">, </w:t>
      </w:r>
      <w:r w:rsidR="0091781B" w:rsidRPr="000B0221">
        <w:t xml:space="preserve">the first </w:t>
      </w:r>
      <w:r w:rsidR="00480F8A" w:rsidRPr="000B0221">
        <w:t>of 5.5 kg/m² for women and 7.26 kg/m²</w:t>
      </w:r>
      <w:r w:rsidR="0091781B" w:rsidRPr="000B0221">
        <w:fldChar w:fldCharType="begin" w:fldLock="1"/>
      </w:r>
      <w:r w:rsidR="007E0300">
        <w:instrText>ADDIN CSL_CITATION { "citationItems" : [ { "id" : "ITEM-1", "itemData" : { "ISBN" : "0002-9262 (Print)\r0002-9262 (Linking)", "PMID" : "9554417", "abstract" : "Muscle mass decreases with age, leading to \"sarcopenia,\" or low relative muscle mass, in elderly people. Sarcopenia is believed to be associated with metabolic, physiologic, and functional impairments and disability. Methods of estimating the prevalence of sarcopenia and its associated risks in elderly populations are lacking. Data from a population-based survey of 883 elderly Hispanic and non-Hispanic white men and women living in New Mexico (the New Mexico Elder Health Survey, 1993-1995) were analyzed to develop a method for estimating the prevalence of sarcopenia. An anthropometric equation for predicting appendicular skeletal muscle mass was developed from a random subsample (n = 199) of participants and was extended to the total sample. Sarcopenia was defined as appendicular skeletal muscle mass (kg)/height2 (m2) being less than two standard deviations below the mean of a young reference group. Prevalences increased from 13-24% in persons under 70 years of age to &gt;50% in persons over 80 years of age, and were slightly greater in Hispanics than in non-Hispanic whites. Sarcopenia was significantly associated with self-reported physical disability in both men and women, independent of ethnicity, age, morbidity, obesity, income, and health behaviors. This study provides some of the first estimates of the extent of the public health problem posed by sarcopenia.", "author" : [ { "dropping-particle" : "", "family" : "Baumgartner", "given" : "R N", "non-dropping-particle" : "", "parse-names" : false, "suffix" : "" }, { "dropping-particle" : "", "family" : "Koehler", "given" : "K M", "non-dropping-particle" : "", "parse-names" : false, "suffix" : "" }, { "dropping-particle" : "", "family" : "Gallagher", "given" : "D", "non-dropping-particle" : "", "parse-names" : false, "suffix" : "" }, { "dropping-particle" : "", "family" : "Romero", "given" : "L", "non-dropping-particle" : "", "parse-names" : false, "suffix" : "" }, { "dropping-particle" : "", "family" : "Heymsfield", "given" : "S B", "non-dropping-particle" : "", "parse-names" : false, "suffix" : "" }, { "dropping-particle" : "", "family" : "Ross", "given" : "R R", "non-dropping-particle" : "", "parse-names" : false, "suffix" : "" }, { "dropping-particle" : "", "family" : "Garry", "given" : "P J", "non-dropping-particle" : "", "parse-names" : false, "suffix" : "" }, { "dropping-particle" : "", "family" : "Lindeman", "given" : "R D", "non-dropping-particle" : "", "parse-names" : false, "suffix" : "" } ], "container-title" : "Am J Epidemiol", "edition" : "1998/04/29", "id" : "ITEM-1", "issue" : "8", "issued" : { "date-parts" : [ [ "1998" ] ] }, "language" : "eng", "note" : "Baumgartner, R N\nKoehler, K M\nGallagher, D\nRomero, L\nHeymsfield, S B\nRoss, R R\nGarry, P J\nLindeman, R D\nAG02049/AG/NIA NIH HHS/\nAG10149/AG/NIA NIH HHS/\nAG10941/AG/NIA NIH HHS/\netc.\nAm J Epidemiol. 1998 Apr 15;147(8):755-63.", "page" : "755-763", "title" : "Epidemiology of sarcopenia among the elderly in New Mexico", "type" : "article-journal", "volume" : "147" }, "uris" : [ "http://www.mendeley.com/documents/?uuid=65d750ea-4bf3-4844-93dd-edad8060df2e" ] } ], "mendeley" : { "formattedCitation" : "&lt;sup&gt;8&lt;/sup&gt;", "plainTextFormattedCitation" : "8", "previouslyFormattedCitation" : "&lt;sup&gt;8&lt;/sup&gt;" }, "properties" : { "noteIndex" : 0 }, "schema" : "https://github.com/citation-style-language/schema/raw/master/csl-citation.json" }</w:instrText>
      </w:r>
      <w:r w:rsidR="0091781B" w:rsidRPr="000B0221">
        <w:fldChar w:fldCharType="separate"/>
      </w:r>
      <w:r w:rsidR="0091781B" w:rsidRPr="000B0221">
        <w:rPr>
          <w:noProof/>
          <w:vertAlign w:val="superscript"/>
        </w:rPr>
        <w:t>8</w:t>
      </w:r>
      <w:r w:rsidR="0091781B" w:rsidRPr="000B0221">
        <w:fldChar w:fldCharType="end"/>
      </w:r>
      <w:r w:rsidR="00480F8A" w:rsidRPr="000B0221">
        <w:t xml:space="preserve"> for men</w:t>
      </w:r>
      <w:r w:rsidR="0091781B" w:rsidRPr="000B0221">
        <w:t xml:space="preserve"> and the second of 5.67 kg/m² for women and 7.25 kg/m² for men </w:t>
      </w:r>
      <w:r w:rsidR="00480F8A" w:rsidRPr="000B0221">
        <w:fldChar w:fldCharType="begin" w:fldLock="1"/>
      </w:r>
      <w:r w:rsidR="007E0300">
        <w:instrText>ADDIN CSL_CITATION { "citationItems" : [ { "id" : "ITEM-1", "itemData" : { "ISBN" : "0002-8614 (Print)\r0002-8614 (Linking)", "PMID" : "12028177", "abstract" : "OBJECTIVES: To establish the prevalence of sarcopenia in older Americans and to test the hypothesis that sarcopenia is related to functional impairment and physical disability in older persons. DESIGN: Cross-sectional survey. SETTING: Nationally representative cross-sectional survey using data from the Third National Health and Nutrition Examination Survey (NHANES III). PARTICIPANTS: Fourteen thousand eight hundred eighteen adult NHANES III participants aged 18 and older. MEASUREMENTS: The presence of sarcopenia and the relationship between sarcopenia and functional impairment and disability were examined in 4,504 adults aged 60 and older. Skeletal muscle mass was estimated from bioimpedance analysis measurements and expressed as skeletal muscle mass index (SMI = skeletal muscle mass/body mass x 100). Subjects were considered to have a normal SMI if their SMI was greater than -one standard deviation above the sex-specific mean for young adults (aged 18-39). Class I sarcopenia was considered present in subjects whose SMI was within -one to -two standard deviations of young adult values, and class II sarcopenia was present in subjects whose SMI was below -two standard deviations of young adult values. RESULTS: The prevalence of class I and class II sarcopenia increased from the third to sixth decades but remained relatively constant thereafter. The prevalence of class I (59% vs 45%) and class II (10% vs 7%) sarcopenia was greater in the older (&gt; or = 60 years) women than in the older men (P &lt;.001). The likelihood of functional impairment and disability was approximately two times greater in the older men and three times greater in the older women with class II sarcopenia than in the older men and women with a normal SMI, respectively. Some of the associations between class II sarcopenia and functional impairment remained significant after adjustment for age, race, body mass index, health behaviors, and comorbidity. CONCLUSIONS: Reduced relative skeletal muscle mass in older Americans is a common occurrence that is significantly and independently associated with functional impairment and disability, particularly in older women. These observations provide strong support for the prevailing view that sarcopenia may be an important and potentially reversible cause of morbidity and mortality in older persons.", "author" : [ { "dropping-particle" : "", "family" : "Janssen", "given" : "I", "non-dropping-particle" : "", "parse-names" : false, "suffix" : "" }, { "dropping-particle" : "", "family" : "Heymsfield", "given" : "S B", "non-dropping-particle" : "", "parse-names" : false, "suffix" : "" }, { "dropping-particle" : "", "family" : "Ross", "given" : "R", "non-dropping-particle" : "", "parse-names" : false, "suffix" : "" } ], "container-title" : "J Am Geriatr Soc", "edition" : "2002/05/25", "id" : "ITEM-1", "issue" : "5", "issued" : { "date-parts" : [ [ "2002" ] ] }, "language" : "eng", "note" : "Janssen, Ian\nHeymsfield, Steven B\nRoss, Robert\nDK-42618/DK/NIDDK NIH HHS/\nRR-00645/RR/NCRR NIH HHS/\nJ Am Geriatr Soc. 2002 May;50(5):889-96.", "page" : "889-896", "title" : "Low relative skeletal muscle mass (sarcopenia) in older persons is associated with functional impairment and physical disability", "type" : "article-journal", "volume" : "50" }, "uris" : [ "http://www.mendeley.com/documents/?uuid=278b9c20-006f-4792-9496-b231ec32e487" ] } ], "mendeley" : { "formattedCitation" : "&lt;sup&gt;42&lt;/sup&gt;", "plainTextFormattedCitation" : "42", "previouslyFormattedCitation" : "&lt;sup&gt;42&lt;/sup&gt;" }, "properties" : { "noteIndex" : 0 }, "schema" : "https://github.com/citation-style-language/schema/raw/master/csl-citation.json" }</w:instrText>
      </w:r>
      <w:r w:rsidR="00480F8A" w:rsidRPr="000B0221">
        <w:fldChar w:fldCharType="separate"/>
      </w:r>
      <w:r w:rsidR="007E0300" w:rsidRPr="007E0300">
        <w:rPr>
          <w:noProof/>
          <w:vertAlign w:val="superscript"/>
        </w:rPr>
        <w:t>42</w:t>
      </w:r>
      <w:r w:rsidR="00480F8A" w:rsidRPr="000B0221">
        <w:fldChar w:fldCharType="end"/>
      </w:r>
      <w:r w:rsidR="007845BD">
        <w:t xml:space="preserve">, depending on the </w:t>
      </w:r>
      <w:r w:rsidR="004C2659">
        <w:t>reference group on which these cut-off have been established</w:t>
      </w:r>
      <w:r w:rsidR="00480F8A" w:rsidRPr="000B0221">
        <w:t xml:space="preserve">. </w:t>
      </w:r>
      <w:r w:rsidR="00F224DA" w:rsidRPr="000B0221">
        <w:t>Using a different approach</w:t>
      </w:r>
      <w:r w:rsidR="00480F8A" w:rsidRPr="000B0221">
        <w:t>, the FNIH sarcopenia project</w:t>
      </w:r>
      <w:r w:rsidR="00480F8A" w:rsidRPr="000B0221">
        <w:fldChar w:fldCharType="begin" w:fldLock="1"/>
      </w:r>
      <w:r w:rsidR="00DB5B0E" w:rsidRPr="000B0221">
        <w:instrText>ADDIN CSL_CITATION { "citationItems" : [ { "id" : "ITEM-1",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manuscripts.\n\nMETHODS: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groups.\n\nRESULTS: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women.\n\nCONCLUSIONS: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Biological sciences and medical sciences", "id" : "ITEM-1", "issue" : "5", "issued" : { "date-parts" : [ [ "2014", "5" ] ] }, "page" : "547-58", "title" : "The FNIH sarcopenia project: rationale, study description, conference recommendations, and final estimates.", "type" : "article-journal", "volume" : "69" }, "uris" : [ "http://www.mendeley.com/documents/?uuid=6e4e94fb-1e9f-491f-87b7-c5d621323b4b" ] } ], "mendeley" : { "formattedCitation" : "&lt;sup&gt;7&lt;/sup&gt;", "plainTextFormattedCitation" : "7", "previouslyFormattedCitation" : "&lt;sup&gt;7&lt;/sup&gt;" }, "properties" : { "noteIndex" : 0 }, "schema" : "https://github.com/citation-style-language/schema/raw/master/csl-citation.json" }</w:instrText>
      </w:r>
      <w:r w:rsidR="00480F8A" w:rsidRPr="000B0221">
        <w:fldChar w:fldCharType="separate"/>
      </w:r>
      <w:r w:rsidR="00D705F0" w:rsidRPr="000B0221">
        <w:rPr>
          <w:noProof/>
          <w:vertAlign w:val="superscript"/>
        </w:rPr>
        <w:t>7</w:t>
      </w:r>
      <w:r w:rsidR="00480F8A" w:rsidRPr="000B0221">
        <w:fldChar w:fldCharType="end"/>
      </w:r>
      <w:r w:rsidR="00480F8A" w:rsidRPr="000B0221">
        <w:t xml:space="preserve"> has also </w:t>
      </w:r>
      <w:r w:rsidR="00F224DA" w:rsidRPr="000B0221">
        <w:t xml:space="preserve">recently </w:t>
      </w:r>
      <w:r w:rsidR="00480F8A" w:rsidRPr="000B0221">
        <w:t>defined cut-off</w:t>
      </w:r>
      <w:r w:rsidR="00F224DA" w:rsidRPr="000B0221">
        <w:t>s</w:t>
      </w:r>
      <w:r w:rsidR="00480F8A" w:rsidRPr="000B0221">
        <w:t xml:space="preserve"> for appen</w:t>
      </w:r>
      <w:r w:rsidR="00A03F03" w:rsidRPr="000B0221">
        <w:t>dicular lean mass adjusted for b</w:t>
      </w:r>
      <w:r w:rsidR="00480F8A" w:rsidRPr="000B0221">
        <w:t xml:space="preserve">ody </w:t>
      </w:r>
      <w:r w:rsidR="00A03F03" w:rsidRPr="000B0221">
        <w:t>mass i</w:t>
      </w:r>
      <w:r w:rsidR="00480F8A" w:rsidRPr="000B0221">
        <w:t>ndex (BMI)</w:t>
      </w:r>
      <w:r w:rsidR="00F224DA" w:rsidRPr="000B0221">
        <w:t xml:space="preserve">, giving values of </w:t>
      </w:r>
      <w:r w:rsidR="00480F8A" w:rsidRPr="000B0221">
        <w:t xml:space="preserve">&lt; 0.512 for women and &lt; </w:t>
      </w:r>
      <w:r w:rsidR="007A00DF" w:rsidRPr="000B0221">
        <w:t>0</w:t>
      </w:r>
      <w:r w:rsidR="00480F8A" w:rsidRPr="000B0221">
        <w:t>.789 for men. However, it should be pointed that these cut-off</w:t>
      </w:r>
      <w:r w:rsidR="00A03F03" w:rsidRPr="000B0221">
        <w:t>s</w:t>
      </w:r>
      <w:r w:rsidR="00480F8A" w:rsidRPr="000B0221">
        <w:t xml:space="preserve"> </w:t>
      </w:r>
      <w:r w:rsidR="00A03F03" w:rsidRPr="000B0221">
        <w:t>might</w:t>
      </w:r>
      <w:r w:rsidR="00480F8A" w:rsidRPr="000B0221">
        <w:t xml:space="preserve"> also be modified according to ethnicity</w:t>
      </w:r>
      <w:r w:rsidR="00480F8A" w:rsidRPr="000B0221">
        <w:fldChar w:fldCharType="begin" w:fldLock="1"/>
      </w:r>
      <w:r w:rsidR="007E0300">
        <w:instrText>ADDIN CSL_CITATION { "citationItems" : [ { "id" : "ITEM-1", "itemData" : { "DOI" : "10.1017/S0007114508207221", "ISSN" : "1475-2662", "PMID" : "19203416", "abstract" : "Although there is evidence that Asian Indians, Polynesians and Europeans differ in their body fat (BF)-BMI relationships, detailed comparative analysis of their underlying body composition and build characteristics is lacking. We investigated differences in the relationships between body fatness and BMI, fat distribution, muscularity, bone mineral mass, leg length and age-related changes in body composition between these ethnic groups. Cross-sectional analysis of 933 European, Maori, Pacific Island and Asian Indian adult volunteers was performed for total and percentage of BF, abdominal fat, thigh fat, appendicular muscle mass, bone mineral content and leg length measured by dual-energy X-ray absorptiometry. Asian Indian men and women (BMI of 24 and 26 kg/m2, respectively) had the same percentage of BF as Europeans with a BMI of 30 kg/m2 or Pacific men and women with BMI of 34 and 35 kg/m2, respectively. Asian Indians had more fat, both total and in the abdominal region, with less lean mass, skeletal muscle and bone mineral than all other ethnic groups. Leg length was relatively longer in Pacific men and Asian and Pacific women than in other ethnic groups. In Asian Indians, abdominal fat increased with increasing age, while the percentage of BF showed little change. In the other ethnic groups, both abdominal and total BF increased with age. In conclusion, ethnic differences in fat distribution, muscularity, bone mass and leg length may contribute to ethnic-specific relationships between body fatness and BMI. The use of universal BMI cut-off points may not be appropriate for the comparison of obesity prevalence between ethnic groups.", "author" : [ { "dropping-particle" : "", "family" : "Rush", "given" : "Elaine C", "non-dropping-particle" : "", "parse-names" : false, "suffix" : "" }, { "dropping-particle" : "", "family" : "Freitas", "given" : "Ismael", "non-dropping-particle" : "", "parse-names" : false, "suffix" : "" }, { "dropping-particle" : "", "family" : "Plank", "given" : "Lindsay D", "non-dropping-particle" : "", "parse-names" : false, "suffix" : "" } ], "container-title" : "The British journal of nutrition", "id" : "ITEM-1", "issue" : "4", "issued" : { "date-parts" : [ [ "2009", "8" ] ] }, "page" : "632-41", "title" : "Body size, body composition and fat distribution: comparative analysis of European, Maori, Pacific Island and Asian Indian adults.", "type" : "article-journal", "volume" : "102" }, "uris" : [ "http://www.mendeley.com/documents/?uuid=12481276-5119-440e-80bb-5389e14ebd44" ] } ], "mendeley" : { "formattedCitation" : "&lt;sup&gt;43&lt;/sup&gt;", "plainTextFormattedCitation" : "43", "previouslyFormattedCitation" : "&lt;sup&gt;43&lt;/sup&gt;" }, "properties" : { "noteIndex" : 0 }, "schema" : "https://github.com/citation-style-language/schema/raw/master/csl-citation.json" }</w:instrText>
      </w:r>
      <w:r w:rsidR="00480F8A" w:rsidRPr="000B0221">
        <w:fldChar w:fldCharType="separate"/>
      </w:r>
      <w:r w:rsidR="007E0300" w:rsidRPr="007E0300">
        <w:rPr>
          <w:noProof/>
          <w:vertAlign w:val="superscript"/>
        </w:rPr>
        <w:t>43</w:t>
      </w:r>
      <w:r w:rsidR="00480F8A" w:rsidRPr="000B0221">
        <w:fldChar w:fldCharType="end"/>
      </w:r>
      <w:r w:rsidR="00480F8A" w:rsidRPr="000B0221">
        <w:t xml:space="preserve">. </w:t>
      </w:r>
    </w:p>
    <w:p w14:paraId="0A0D17DC" w14:textId="52F5F90A" w:rsidR="00480F8A" w:rsidRPr="000B0221" w:rsidRDefault="00480F8A" w:rsidP="00E90C62">
      <w:pPr>
        <w:tabs>
          <w:tab w:val="left" w:pos="426"/>
        </w:tabs>
        <w:spacing w:line="360" w:lineRule="auto"/>
        <w:jc w:val="both"/>
      </w:pPr>
      <w:r w:rsidRPr="000B0221">
        <w:t>If clinicians have no access to DXA, they can use anthropometric measurements</w:t>
      </w:r>
      <w:r w:rsidR="00976F90" w:rsidRPr="000B0221">
        <w:t xml:space="preserve">. </w:t>
      </w:r>
      <w:r w:rsidR="00F224DA" w:rsidRPr="000B0221">
        <w:t>Indeed, a recent survey</w:t>
      </w:r>
      <w:r w:rsidR="00F224DA" w:rsidRPr="000B0221">
        <w:fldChar w:fldCharType="begin" w:fldLock="1"/>
      </w:r>
      <w:r w:rsidR="007E0300">
        <w:instrText>ADDIN CSL_CITATION { "citationItems" : [ { "id" : "ITEM-1", "itemData" : { "DOI" : "10.1016/j.eurger.2015.12.009", "ISSN" : "18787649", "abstract" : "INTRODUCTION\nSeveral tools are available for the assessment of muscle mass, muscle strength and physical performance in clinical research. However, few data are available on the usage of these tools in clinical practice. \n\nMETHODS\nThis study aimed to assess their usage by means of a large online international survey. Since sarcopenia is a specific condition where the assessment of muscle mass, muscle strength and physical performance is important, the survey also assessed the tools used for the diagnosis of this geriatric syndrome. \n\nRESULTS\nThe survey was completed by 255 clinicians from 55 countries across 5 continents. Among these clinicians with geriatrics, rheumatology and endocrinology as major fields of interest, 53.3% assess muscle mass in daily practice, 54.5% muscle strength and 71.4% physical performance. However, the tools used are very different and no single tool is used by all clinicians. The tools and the cut-off values used by clinicians to diagnose sarcopenia are also heterogeneous. \n\nCONCLUSION\nBecause some tools used for the assessment of muscle mass, muscle strength or physical performance in daily practice are less validated than others, a greater awareness from the clinicians of the importance of using appropriate tools is needed.", "author" : [ { "dropping-particle" : "", "family" : "Bruy\u00e8re", "given" : "O.", "non-dropping-particle" : "", "parse-names" : false, "suffix" : "" }, { "dropping-particle" : "", "family" : "Beaudart", "given" : "C.", "non-dropping-particle" : "", "parse-names" : false, "suffix" : "" }, { "dropping-particle" : "", "family" : "Reginster", "given" : "J.-Y.", "non-dropping-particle" : "", "parse-names" : false, "suffix" : "" }, { "dropping-particle" : "", "family" : "Buckinx", "given" : "F.", "non-dropping-particle" : "", "parse-names" : false, "suffix" : "" }, { "dropping-particle" : "", "family" : "Schoene", "given" : "D.", "non-dropping-particle" : "", "parse-names" : false, "suffix" : "" }, { "dropping-particle" : "", "family" : "Hirani", "given" : "V.", "non-dropping-particle" : "", "parse-names" : false, "suffix" : "" }, { "dropping-particle" : "", "family" : "Cooper", "given" : "C.", "non-dropping-particle" : "", "parse-names" : false, "suffix" : "" }, { "dropping-particle" : "", "family" : "Kanis", "given" : "J.A.", "non-dropping-particle" : "", "parse-names" : false, "suffix" : "" }, { "dropping-particle" : "", "family" : "Rizzoli", "given" : "R.", "non-dropping-particle" : "", "parse-names" : false, "suffix" : "" }, { "dropping-particle" : "", "family" : "McCloskey", "given" : "E.", "non-dropping-particle" : "", "parse-names" : false, "suffix" : "" }, { "dropping-particle" : "", "family" : "Cederholm", "given" : "T.", "non-dropping-particle" : "", "parse-names" : false, "suffix" : "" }, { "dropping-particle" : "", "family" : "Cruz-Jentoft", "given" : "A.", "non-dropping-particle" : "", "parse-names" : false, "suffix" : "" }, { "dropping-particle" : "", "family" : "Freiberger", "given" : "E.", "non-dropping-particle" : "", "parse-names" : false, "suffix" : "" } ], "container-title" : "European Geriatric Medicine", "id" : "ITEM-1", "issue" : "3", "issued" : { "date-parts" : [ [ "2016" ] ] }, "page" : "243-246", "title" : "Assessment of muscle mass, muscle strength and physical performance in clinical practice: An international survey", "type" : "article-journal", "volume" : "7" }, "uris" : [ "http://www.mendeley.com/documents/?uuid=92cbc25a-f3bc-3a26-b9b8-d97af064a65c" ] } ], "mendeley" : { "formattedCitation" : "&lt;sup&gt;44&lt;/sup&gt;", "plainTextFormattedCitation" : "44", "previouslyFormattedCitation" : "&lt;sup&gt;44&lt;/sup&gt;" }, "properties" : { "noteIndex" : 0 }, "schema" : "https://github.com/citation-style-language/schema/raw/master/csl-citation.json" }</w:instrText>
      </w:r>
      <w:r w:rsidR="00F224DA" w:rsidRPr="000B0221">
        <w:fldChar w:fldCharType="separate"/>
      </w:r>
      <w:r w:rsidR="007E0300" w:rsidRPr="007E0300">
        <w:rPr>
          <w:noProof/>
          <w:vertAlign w:val="superscript"/>
        </w:rPr>
        <w:t>44</w:t>
      </w:r>
      <w:r w:rsidR="00F224DA" w:rsidRPr="000B0221">
        <w:fldChar w:fldCharType="end"/>
      </w:r>
      <w:r w:rsidR="00F224DA" w:rsidRPr="000B0221">
        <w:t xml:space="preserve"> showed that anthropometric data are currently the most widely used methods in clinical practice (57.5% of clinicians </w:t>
      </w:r>
      <w:r w:rsidR="000D7927">
        <w:t xml:space="preserve">that </w:t>
      </w:r>
      <w:r w:rsidR="00F224DA" w:rsidRPr="000B0221">
        <w:t>measure muscle mass in their practice us</w:t>
      </w:r>
      <w:r w:rsidR="000D7927">
        <w:t>e</w:t>
      </w:r>
      <w:r w:rsidR="00F224DA" w:rsidRPr="000B0221">
        <w:t xml:space="preserve"> anthropometric data) followed by DXA (45.9%). </w:t>
      </w:r>
      <w:r w:rsidR="007A12A8" w:rsidRPr="000B0221">
        <w:t>Several</w:t>
      </w:r>
      <w:r w:rsidR="00976F90" w:rsidRPr="000B0221">
        <w:t xml:space="preserve"> anthropometric measurements exist</w:t>
      </w:r>
      <w:r w:rsidR="00A03F03" w:rsidRPr="000B0221">
        <w:t xml:space="preserve"> (</w:t>
      </w:r>
      <w:r w:rsidR="00976F90" w:rsidRPr="000B0221">
        <w:t>i.e. body mass index</w:t>
      </w:r>
      <w:r w:rsidR="00A03F03" w:rsidRPr="000B0221">
        <w:t xml:space="preserve">, </w:t>
      </w:r>
      <w:r w:rsidR="007A12A8" w:rsidRPr="000B0221">
        <w:t xml:space="preserve">calf circumference, </w:t>
      </w:r>
      <w:r w:rsidR="00A03F03" w:rsidRPr="000B0221">
        <w:t>mid-upper arm circumference and skinfold thickness)</w:t>
      </w:r>
      <w:r w:rsidR="00B1714A" w:rsidRPr="000B0221">
        <w:t>. Moreover</w:t>
      </w:r>
      <w:r w:rsidR="0089454A" w:rsidRPr="000B0221">
        <w:t>, mid-arm muscle and calf circumference</w:t>
      </w:r>
      <w:r w:rsidR="00BE689A" w:rsidRPr="000B0221">
        <w:t>s</w:t>
      </w:r>
      <w:r w:rsidR="0089454A" w:rsidRPr="000B0221">
        <w:t xml:space="preserve"> have been shown to </w:t>
      </w:r>
      <w:r w:rsidR="00EC5483" w:rsidRPr="000B0221">
        <w:t xml:space="preserve">be correlated with appendicular muscle mass and </w:t>
      </w:r>
      <w:r w:rsidR="0089454A" w:rsidRPr="000B0221">
        <w:t>reflect both health and nutritional status and predict performance, health and survival in older people</w:t>
      </w:r>
      <w:r w:rsidR="0089454A" w:rsidRPr="000B0221">
        <w:fldChar w:fldCharType="begin" w:fldLock="1"/>
      </w:r>
      <w:r w:rsidR="007E0300">
        <w:instrText>ADDIN CSL_CITATION { "citationItems" : [ { "id" : "ITEM-1", "itemData" : { "DOI" : "10.1016/j.clnu.2009.12.006", "ISBN" : "1532-1983 (Electronic)\r0261-5614 (Linking)", "PMID" : "20116909", "abstract" : "BACKGROUND &amp; AIMS: Sarcopenia has been indicated as a reliable marker of frailty and poor prognosis among the oldest individuals. We evaluated the relationship between midarm muscle circumference (MAMC) and physical performance, muscle strength, functional status and survival in persons aged 80 years or older. METHODS: Data are from the baseline evaluation of the Aging and Longevity Study in the Sirente Geographic Area (ilSIRENTE Study) (n = 357). MAMC was calculated taking into account the mid upper arm circumference and the triceps skinfold thickness of the right arm. Physical performance was assessed using the physical performance battery score, which is based on three timed tests: 4-m walking speed test, the balance test and the chair stand test. Analyses of covariance were performed to evaluate the relationship between different MAMC levels and physical function. Cox proportional regression models were used to estimate crude and adjusted hazard ratios and 95% confidence intervals of death by MAMC levels. RESULTS: After adjustment for potential confounders - which included age, gender, living alone, sensory impairments (hearing and vision), body mass index, albumin and cholesterol - physical performance and function (which were measured using the 4-m walking speed test, the Short Physical Performance Battery score, the hand grip strength), improved significantly as MAMC increased. Compared with those in the low MAMC tertile, subjects in the high MAMC tertile had a lower risk of death (adjusted hazard ratio (HR) 0.45; 95% Confidence Interval (CI) 0.23-0.87). CONCLUSIONS: The present study suggests that among community-dwelling old-old subjects muscle mass may be positively related to functional performance and survival.", "author" : [ { "dropping-particle" : "", "family" : "Landi", "given" : "F", "non-dropping-particle" : "", "parse-names" : false, "suffix" : "" }, { "dropping-particle" : "", "family" : "Russo", "given" : "A", "non-dropping-particle" : "", "parse-names" : false, "suffix" : "" }, { "dropping-particle" : "", "family" : "Liperoti", "given" : "R", "non-dropping-particle" : "", "parse-names" : false, "suffix" : "" }, { "dropping-particle" : "", "family" : "Pahor", "given" : "M", "non-dropping-particle" : "", "parse-names" : false, "suffix" : "" }, { "dropping-particle" : "", "family" : "Tosato", "given" : "M", "non-dropping-particle" : "", "parse-names" : false, "suffix" : "" }, { "dropping-particle" : "", "family" : "Capoluongo", "given" : "E", "non-dropping-particle" : "", "parse-names" : false, "suffix" : "" }, { "dropping-particle" : "", "family" : "Bernabei", "given" : "R", "non-dropping-particle" : "", "parse-names" : false, "suffix" : "" }, { "dropping-particle" : "", "family" : "Onder", "given" : "G", "non-dropping-particle" : "", "parse-names" : false, "suffix" : "" } ], "container-title" : "Clin Nutr", "edition" : "2010/02/02", "id" : "ITEM-1", "issue" : "4", "issued" : { "date-parts" : [ [ "2010" ] ] }, "language" : "eng", "note" : "Landi, Francesco\nRusso, Andrea\nLiperoti, Rosa\nPahor, Marco\nTosato, Matteo\nCapoluongo, Ettore\nBernabei, Roberto\nOnder, Graziano\nP30 AG028740/AG/NIA NIH HHS/\nEngland\nEdinburgh, Scotland\nClin Nutr. 2010 Aug;29(4):441-7. doi: 10.1016/j.clnu.2009.12.006. Epub 2010 Feb 8.", "page" : "441-447", "title" : "Midarm muscle circumference, physical performance and mortality: results from the aging and longevity study in the Sirente geographic area (ilSIRENTE study)", "type" : "article-journal", "volume" : "29" }, "uris" : [ "http://www.mendeley.com/documents/?uuid=89ad3fd3-1ade-43ab-aaa3-6068aa37c8aa" ] }, { "id" : "ITEM-2", "itemData" : { "DOI" : "10.1016/j.clnu.2013.07.013", "ISSN" : "1532-1983", "PMID" : "23948128", "abstract" : "BACKGROUND &amp; AIMS: Lean body mass loss has been indicated as a reliable marker of frailty and poor physical performance among older individuals. We evaluated the relationship between calf circumference and frailty, physical performance, muscle strength, and functional status in persons aged 80 years or older.\n\nMETHODS: Data are from the baseline evaluation of the Aging and Longevity Study in the Sirente geographic area (ilSIRENTE Study) (n = 357). The calf circumference was measured at the point of greatest circumference. Frailty was categorized according to the present of slow gait speed, weakness, weight loss, energy expenditure and exhaustion. Physical performance was assessed using the physical performance battery score, which is based on three timed tests: 4-m walking speed test, the balance test and the chair stand test. Analyses of covariance were performed to evaluate the relationship between different calf circumference and physical function.\n\nRESULTS: After adjustment for potential confounders, which included age, gender, education, body mass index, sensory impairments, cerebrovascular diseases, albumin, reactive C protein, interleukine-6, and cholesterol, physical performance (SPPB score: 7.27 versus 6.18, p = 0.02) and muscle strength (Hand Grip: 32 kg versus 28 kg, p = 0.03) measures significantly improved as calf circumference increased. The frailty index score was significantly lower among subjects with higher calf circumference (1.66 versus 2.17, p = 0.01).\n\nCONCLUSIONS: The present study suggests that among community-dwelling older people, calf circumference may be positively related to lower frailty index and higher functional performance. As such, calf circumference is a valuable tool for guiding public health policy and clinical decisions.", "author" : [ { "dropping-particle" : "", "family" : "Landi", "given" : "Francesco", "non-dropping-particle" : "", "parse-names" : false, "suffix" : "" }, { "dropping-particle" : "", "family" : "Onder", "given" : "Graziano", "non-dropping-particle" : "", "parse-names" : false, "suffix" : "" }, { "dropping-particle" : "", "family" : "Russo", "given" : "Andrea", "non-dropping-particle" : "", "parse-names" : false, "suffix" : "" }, { "dropping-particle" : "", "family" : "Liperoti", "given" : "Rosa", "non-dropping-particle" : "", "parse-names" : false, "suffix" : "" }, { "dropping-particle" : "", "family" : "Tosato", "given" : "Matteo", "non-dropping-particle" : "", "parse-names" : false, "suffix" : "" }, { "dropping-particle" : "", "family" : "Martone", "given" : "Anna Maria", "non-dropping-particle" : "", "parse-names" : false, "suffix" : "" }, { "dropping-particle" : "", "family" : "Capoluongo", "given" : "Ettore", "non-dropping-particle" : "", "parse-names" : false, "suffix" : "" }, { "dropping-particle" : "", "family" : "Bernabei", "given" : "Roberto", "non-dropping-particle" : "", "parse-names" : false, "suffix" : "" } ], "container-title" : "Clinical nutrition (Edinburgh, Scotland)", "id" : "ITEM-2", "issue" : "3", "issued" : { "date-parts" : [ [ "2014", "6" ] ] }, "page" : "539-44", "title" : "Calf circumference, frailty and physical performance among older adults living in the community.", "type" : "article-journal", "volume" : "33" }, "uris" : [ "http://www.mendeley.com/documents/?uuid=49628e07-9875-4982-93ef-ddd5538479b7" ] }, { "id" : "ITEM-3", "itemData" : { "ISBN" : "0002-8614 (Print)\r0002-8614 (Linking)", "PMID" : "12890076", "abstract" : "OBJECTIVES: To determine whether calf circumference (CC), related to appendicular skeletal muscle mass, can be used as a measure of sarcopenia and is related to physical function. DESIGN: Retrospective analysis of data from 1992 to 1994 of the European Patient Information and Documentation Systems Study. SETTING: Community setting in France. PARTICIPANTS: One thousand four hundred fifty-eight French women aged 70 and older without previous history of hip fracture were recruited from the electoral lists. MEASUREMENTS: Muscular mass was assessed using dual-energy x-ray absorptiometry (DEXA). CC was measured using a tape measure. Anthropometric measurements (height; weight; and waist, hip, and calf circumference), strength markers (grip strength), and self-reported physical function were also determined. Sarcopenia was defined (using DEXA) as appendicular skeletal muscle mass (weight (kg)/height (m2)) less than two standard deviations below the mean of a young female reference group. RESULTS: The prevalence of sarcopenia was 9.5%. CC was correlated with appendicular skeletal muscle mass (r = 0.63). CC under 31 cm was the best clinical indicator of sarcopenia (sensitivity = 44.3%, specificity = 91.4%). CC under 31 cm was associated with disability and self-reported physical function but not sarcopenia (defined using DEXA), independent of age, comorbidity, obesity, income, health behavior, and visual impairment. CONCLUSION: CC cannot be used to predict sarcopenia defined using DEXA but provides valuable information on muscle-related disability and physical function.", "author" : [ { "dropping-particle" : "", "family" : "Rolland", "given" : "Y", "non-dropping-particle" : "", "parse-names" : false, "suffix" : "" }, { "dropping-particle" : "", "family" : "Lauwers-Cances", "given" : "V", "non-dropping-particle" : "", "parse-names" : false, "suffix" : "" }, { "dropping-particle" : "", "family" : "Cournot", "given" : "M", "non-dropping-particle" : "", "parse-names" : false, "suffix" : "" }, { "dropping-particle" : "", "family" : "Nourhashemi", "given" : "F", "non-dropping-particle" : "", "parse-names" : false, "suffix" : "" }, { "dropping-particle" : "", "family" : "Reynish", "given" : "W", "non-dropping-particle" : "", "parse-names" : false, "suffix" : "" }, { "dropping-particle" : "", "family" : "Riviere", "given" : "D", "non-dropping-particle" : "", "parse-names" : false, "suffix" : "" }, { "dropping-particle" : "", "family" : "Vellas", "given" : "B", "non-dropping-particle" : "", "parse-names" : false, "suffix" : "" }, { "dropping-particle" : "", "family" : "Grandjean", "given" : "H", "non-dropping-particle" : "", "parse-names" : false, "suffix" : "" } ], "container-title" : "J Am Geriatr Soc", "edition" : "2003/08/02", "id" : "ITEM-3", "issue" : "8", "issued" : { "date-parts" : [ [ "2003" ] ] }, "language" : "eng", "note" : "Rolland, Yves\nLauwers-Cances, Valerie\nCournot, Maxime\nNourhashemi, Fati\nReynish, William\nRiviere, Daniel\nVellas, Bruno\nGrandjean, Helene\nJ Am Geriatr Soc. 2003 Aug;51(8):1120-4.", "page" : "1120-1124", "title" : "Sarcopenia, calf circumference, and physical function of elderly women: a cross-sectional study", "type" : "article-journal", "volume" : "51" }, "uris" : [ "http://www.mendeley.com/documents/?uuid=51b58a74-5e60-4cc1-a4c0-b6f95542fbea" ] } ], "mendeley" : { "formattedCitation" : "&lt;sup&gt;45\u201347&lt;/sup&gt;", "plainTextFormattedCitation" : "45\u201347", "previouslyFormattedCitation" : "&lt;sup&gt;45\u201347&lt;/sup&gt;" }, "properties" : { "noteIndex" : 0 }, "schema" : "https://github.com/citation-style-language/schema/raw/master/csl-citation.json" }</w:instrText>
      </w:r>
      <w:r w:rsidR="0089454A" w:rsidRPr="000B0221">
        <w:fldChar w:fldCharType="separate"/>
      </w:r>
      <w:r w:rsidR="007E0300" w:rsidRPr="007E0300">
        <w:rPr>
          <w:noProof/>
          <w:vertAlign w:val="superscript"/>
        </w:rPr>
        <w:t>45–47</w:t>
      </w:r>
      <w:r w:rsidR="0089454A" w:rsidRPr="000B0221">
        <w:fldChar w:fldCharType="end"/>
      </w:r>
      <w:r w:rsidR="0089454A" w:rsidRPr="000B0221">
        <w:t>.</w:t>
      </w:r>
      <w:r w:rsidRPr="000B0221">
        <w:t xml:space="preserve"> </w:t>
      </w:r>
      <w:r w:rsidR="00A03F03" w:rsidRPr="000B0221">
        <w:t xml:space="preserve">However, with advancing age, changes in the distribution of fat and loss of skin elasticity are such that circumference and skinfold measures </w:t>
      </w:r>
      <w:r w:rsidR="000226C3" w:rsidRPr="000B0221">
        <w:t xml:space="preserve">incur </w:t>
      </w:r>
      <w:r w:rsidR="00A03F03" w:rsidRPr="000B0221">
        <w:t>a loss of accuracy and precision in older people</w:t>
      </w:r>
      <w:r w:rsidR="00A03F03" w:rsidRPr="000B0221">
        <w:fldChar w:fldCharType="begin" w:fldLock="1"/>
      </w:r>
      <w:r w:rsidR="007E0300">
        <w:instrText>ADDIN CSL_CITATION { "citationItems" : [ { "id" : "ITEM-1", "itemData" : { "ISSN" : "0002-9165", "PMID" : "7124671", "abstract" : "Arm muscle area (AMA, cm2) is currently calculated from triceps skinfold thickness (TSF, cm), and midarm circumference (MAC, cm). In assessing the accuracy of the current equation by comparison to AMA measured by computerized axial tomography, error in each of the four approximations made was found to result in a 20 to 25% overestimate of AMA. Two correctible error sources were: a 10 to 15% overestimation caused by assuming a circular midarm muscle compartment and a 5 to 10% overestimation due to inclusion of midarm cross-sectional bone area. Corrected AMA equations for men and women were respectively: [(MAC - pi x TSF)2/4 pi] - 10, and [MAC - pi x TSF)2/4 pip] - 6.5. With two additional study groups, the overall improved accuracy of the new equations was confirmed, although the average error for a given patient was 7 to 8%; the relationship between corrected AMA and total body muscle mass was established [muscle mass (kg) = (ht, cm2) (0.0264 + 0.0029 x corrected AMA)]; and the minimal range of corrected AMA values compatible with survival (9 to 11 cm2) was defined. Bedside estimates of undernutrition severity and prognosis can therefore be calculated from two simple measurements, TSF and MAC.", "author" : [ { "dropping-particle" : "", "family" : "Heymsfield", "given" : "S B", "non-dropping-particle" : "", "parse-names" : false, "suffix" : "" }, { "dropping-particle" : "", "family" : "McManus", "given" : "C", "non-dropping-particle" : "", "parse-names" : false, "suffix" : "" }, { "dropping-particle" : "", "family" : "Smith", "given" : "J", "non-dropping-particle" : "", "parse-names" : false, "suffix" : "" }, { "dropping-particle" : "", "family" : "Stevens", "given" : "V", "non-dropping-particle" : "", "parse-names" : false, "suffix" : "" }, { "dropping-particle" : "", "family" : "Nixon", "given" : "D W", "non-dropping-particle" : "", "parse-names" : false, "suffix" : "" } ], "container-title" : "The American journal of clinical nutrition", "id" : "ITEM-1", "issue" : "4", "issued" : { "date-parts" : [ [ "1982", "10" ] ] }, "page" : "680-90", "title" : "Anthropometric measurement of muscle mass: revised equations for calculating bone-free arm muscle area.", "type" : "article-journal", "volume" : "36" }, "uris" : [ "http://www.mendeley.com/documents/?uuid=011fbc7f-790e-4200-bde3-fe22f138c038" ] }, { "id" : "ITEM-2", "itemData" : { "ISBN" : "0002-8614 (Print)\r0002-8614 (Linking)", "PMID" : "12890076", "abstract" : "OBJECTIVES: To determine whether calf circumference (CC), related to appendicular skeletal muscle mass, can be used as a measure of sarcopenia and is related to physical function. DESIGN: Retrospective analysis of data from 1992 to 1994 of the European Patient Information and Documentation Systems Study. SETTING: Community setting in France. PARTICIPANTS: One thousand four hundred fifty-eight French women aged 70 and older without previous history of hip fracture were recruited from the electoral lists. MEASUREMENTS: Muscular mass was assessed using dual-energy x-ray absorptiometry (DEXA). CC was measured using a tape measure. Anthropometric measurements (height; weight; and waist, hip, and calf circumference), strength markers (grip strength), and self-reported physical function were also determined. Sarcopenia was defined (using DEXA) as appendicular skeletal muscle mass (weight (kg)/height (m2)) less than two standard deviations below the mean of a young female reference group. RESULTS: The prevalence of sarcopenia was 9.5%. CC was correlated with appendicular skeletal muscle mass (r = 0.63). CC under 31 cm was the best clinical indicator of sarcopenia (sensitivity = 44.3%, specificity = 91.4%). CC under 31 cm was associated with disability and self-reported physical function but not sarcopenia (defined using DEXA), independent of age, comorbidity, obesity, income, health behavior, and visual impairment. CONCLUSION: CC cannot be used to predict sarcopenia defined using DEXA but provides valuable information on muscle-related disability and physical function.", "author" : [ { "dropping-particle" : "", "family" : "Rolland", "given" : "Y", "non-dropping-particle" : "", "parse-names" : false, "suffix" : "" }, { "dropping-particle" : "", "family" : "Lauwers-Cances", "given" : "V", "non-dropping-particle" : "", "parse-names" : false, "suffix" : "" }, { "dropping-particle" : "", "family" : "Cournot", "given" : "M", "non-dropping-particle" : "", "parse-names" : false, "suffix" : "" }, { "dropping-particle" : "", "family" : "Nourhashemi", "given" : "F", "non-dropping-particle" : "", "parse-names" : false, "suffix" : "" }, { "dropping-particle" : "", "family" : "Reynish", "given" : "W", "non-dropping-particle" : "", "parse-names" : false, "suffix" : "" }, { "dropping-particle" : "", "family" : "Riviere", "given" : "D", "non-dropping-particle" : "", "parse-names" : false, "suffix" : "" }, { "dropping-particle" : "", "family" : "Vellas", "given" : "B", "non-dropping-particle" : "", "parse-names" : false, "suffix" : "" }, { "dropping-particle" : "", "family" : "Grandjean", "given" : "H", "non-dropping-particle" : "", "parse-names" : false, "suffix" : "" } ], "container-title" : "J Am Geriatr Soc", "edition" : "2003/08/02", "id" : "ITEM-2", "issue" : "8", "issued" : { "date-parts" : [ [ "2003" ] ] }, "language" : "eng", "note" : "Rolland, Yves\nLauwers-Cances, Valerie\nCournot, Maxime\nNourhashemi, Fati\nReynish, William\nRiviere, Daniel\nVellas, Bruno\nGrandjean, Helene\nJ Am Geriatr Soc. 2003 Aug;51(8):1120-4.", "page" : "1120-1124", "title" : "Sarcopenia, calf circumference, and physical function of elderly women: a cross-sectional study", "type" : "article-journal", "volume" : "51" }, "uris" : [ "http://www.mendeley.com/documents/?uuid=51b58a74-5e60-4cc1-a4c0-b6f95542fbea" ] } ], "mendeley" : { "formattedCitation" : "&lt;sup&gt;47,48&lt;/sup&gt;", "plainTextFormattedCitation" : "47,48", "previouslyFormattedCitation" : "&lt;sup&gt;47,48&lt;/sup&gt;" }, "properties" : { "noteIndex" : 0 }, "schema" : "https://github.com/citation-style-language/schema/raw/master/csl-citation.json" }</w:instrText>
      </w:r>
      <w:r w:rsidR="00A03F03" w:rsidRPr="000B0221">
        <w:fldChar w:fldCharType="separate"/>
      </w:r>
      <w:r w:rsidR="007E0300" w:rsidRPr="007E0300">
        <w:rPr>
          <w:noProof/>
          <w:vertAlign w:val="superscript"/>
        </w:rPr>
        <w:t>47,48</w:t>
      </w:r>
      <w:r w:rsidR="00A03F03" w:rsidRPr="000B0221">
        <w:fldChar w:fldCharType="end"/>
      </w:r>
      <w:r w:rsidR="00A03F03" w:rsidRPr="000B0221">
        <w:t>.</w:t>
      </w:r>
      <w:r w:rsidR="00BE689A" w:rsidRPr="000B0221">
        <w:t xml:space="preserve"> </w:t>
      </w:r>
      <w:r w:rsidR="00A03F03" w:rsidRPr="000B0221">
        <w:t>S</w:t>
      </w:r>
      <w:r w:rsidRPr="000B0221">
        <w:t xml:space="preserve">ome studies </w:t>
      </w:r>
      <w:r w:rsidR="00A03F03" w:rsidRPr="000B0221">
        <w:t>suggest t</w:t>
      </w:r>
      <w:r w:rsidRPr="000B0221">
        <w:t xml:space="preserve">hat </w:t>
      </w:r>
      <w:r w:rsidR="00BE689A" w:rsidRPr="000B0221">
        <w:t xml:space="preserve">an </w:t>
      </w:r>
      <w:r w:rsidRPr="000B0221">
        <w:t>adjust</w:t>
      </w:r>
      <w:r w:rsidR="00A03F03" w:rsidRPr="000B0221">
        <w:t>ment of anthropometric measurements</w:t>
      </w:r>
      <w:r w:rsidRPr="000B0221">
        <w:t xml:space="preserve"> for age</w:t>
      </w:r>
      <w:r w:rsidR="00A03F03" w:rsidRPr="000B0221">
        <w:t xml:space="preserve">, </w:t>
      </w:r>
      <w:r w:rsidRPr="000B0221">
        <w:t xml:space="preserve">sex </w:t>
      </w:r>
      <w:r w:rsidR="00A03F03" w:rsidRPr="000B0221">
        <w:lastRenderedPageBreak/>
        <w:t xml:space="preserve">or </w:t>
      </w:r>
      <w:r w:rsidRPr="000B0221">
        <w:t xml:space="preserve">BMI </w:t>
      </w:r>
      <w:r w:rsidR="00A03F03" w:rsidRPr="000B0221">
        <w:t xml:space="preserve">results in </w:t>
      </w:r>
      <w:r w:rsidRPr="000B0221">
        <w:t>a better correlation with DXA</w:t>
      </w:r>
      <w:r w:rsidR="00A03F03" w:rsidRPr="000B0221">
        <w:t>-measured lean mass</w:t>
      </w:r>
      <w:r w:rsidRPr="000B0221">
        <w:fldChar w:fldCharType="begin" w:fldLock="1"/>
      </w:r>
      <w:r w:rsidR="007E0300">
        <w:instrText>ADDIN CSL_CITATION { "citationItems" : [ { "id" : "ITEM-1", "itemData" : { "DOI" : "10.1152/japplphysiol.00777.2013", "ISSN" : "8750-7587", "PMID" : "23950165", "abstract" : "Lean body mass (LBM) and muscle mass remain difficult to quantify in large epidemiological studies due to the unavailability of inexpensive methods. We therefore developed anthropometric prediction equations to estimate the LBM and appendicular lean soft tissue (ALST) using dual-energy X-ray absorptiometry (DXA) as a reference method. Healthy volunteers (n = 2,220; 36% women; age 18-79 yr), representing a wide range of body mass index (14-44 kg/m(2)), participated in this study. Their LBM, including ALST, was assessed by DXA along with anthropometric measurements. The sample was divided into prediction (60%) and validation (40%) sets. In the prediction set, a number of prediction models were constructed using DXA-measured LBM and ALST estimates as dependent variables and a combination of anthropometric indices as independent variables. These equations were cross-validated in the validation set. Simple equations using age, height, and weight explained &gt;90% variation in the LBM and ALST in both men and women. Additional variables (hip and limb circumferences and sum of skinfold thicknesses) increased the explained variation by 5-8% in the fully adjusted models predicting LBM and ALST. More complex equations using all of the above anthropometric variables could predict the DXA-measured LBM and ALST accurately, as indicated by low standard error of the estimate (LBM: 1.47 kg and 1.63 kg for men and women, respectively), as well as good agreement by Bland-Altman analyses (Bland JM, Altman D. Lancet 1: 307-310, 1986). These equations could be a valuable tool in large epidemiological studies assessing these body compartments in Indians and other population groups with similar body composition.", "author" : [ { "dropping-particle" : "", "family" : "Kulkarni", "given" : "B.", "non-dropping-particle" : "", "parse-names" : false, "suffix" : "" }, { "dropping-particle" : "", "family" : "Kuper", "given" : "H.", "non-dropping-particle" : "", "parse-names" : false, "suffix" : "" }, { "dropping-particle" : "", "family" : "Taylor", "given" : "A.", "non-dropping-particle" : "", "parse-names" : false, "suffix" : "" }, { "dropping-particle" : "", "family" : "Wells", "given" : "J. C.", "non-dropping-particle" : "", "parse-names" : false, "suffix" : "" }, { "dropping-particle" : "V.", "family" : "Radhakrishna", "given" : "K.", "non-dropping-particle" : "", "parse-names" : false, "suffix" : "" }, { "dropping-particle" : "", "family" : "Kinra", "given" : "S.", "non-dropping-particle" : "", "parse-names" : false, "suffix" : "" }, { "dropping-particle" : "", "family" : "Ben-Shlomo", "given" : "Y.", "non-dropping-particle" : "", "parse-names" : false, "suffix" : "" }, { "dropping-particle" : "", "family" : "Smith", "given" : "G. D.", "non-dropping-particle" : "", "parse-names" : false, "suffix" : "" }, { "dropping-particle" : "", "family" : "Ebrahim", "given" : "S.", "non-dropping-particle" : "", "parse-names" : false, "suffix" : "" }, { "dropping-particle" : "", "family" : "Byrne", "given" : "N. M.", "non-dropping-particle" : "", "parse-names" : false, "suffix" : "" }, { "dropping-particle" : "", "family" : "Hills", "given" : "A. P.", "non-dropping-particle" : "", "parse-names" : false, "suffix" : "" } ], "container-title" : "Journal of Applied Physiology", "id" : "ITEM-1", "issue" : "8", "issued" : { "date-parts" : [ [ "2013", "8", "15" ] ] }, "page" : "1156-1162", "title" : "Development and validation of anthropometric prediction equations for estimation of lean body mass and appendicular lean soft tissue in Indian men and women", "type" : "article-journal", "volume" : "115" }, "uris" : [ "http://www.mendeley.com/documents/?uuid=3ac197fd-c0db-41e0-b16b-67861dc84501" ] }, { "id" : "ITEM-2", "itemData" : { "DOI" : "10.1016/j.jamda.2014.06.018", "ISSN" : "1538-9375", "PMID" : "25239016", "abstract" : "OBJECTIVES: Sarcopenia is the presence of low muscle mass and poor physical function. We have developed an anthropometric prediction equation (PE). We compared the accuracy of our previously developed anthropometric prediction equation (PE) to dual absorptiometry x-ray (DXA) in predicting low muscle mass and sarcopenia.\n\nDESIGN: Cross-sectional study design.\n\nSETTING: Community dwelling.\n\nPARTICIPANTS: Men and women aged 65 years and older.\n\nMEASUREMENTS: Gender-specific low muscle mass cutoffs were identified using the lowest 20% of the skeletal muscle index (SMI) where muscle mass was determined using PE in 611 men and 375 women aged 65 years and older. The sensitivity, specificity, positive predictive value (PPV) and negative predictive value (NPV) of PE derived low muscle mass were compared with DXA-derived low muscle mass. The cohort was randomized into a development and validation group to identify various cutoffs for low muscle mass via the PE method and test its performance against the DXA method.\n\nRESULTS: The PE cutoff for low muscle mass was less than 8.05 kg/m(2) in men and less than 5.35 kg/m(2) in women. On validation of various cutoffs with improving sensitivity values from 70% to 97%, specificity increased from 45.5% to 85.7%, PPV increased from 31.3% to 56.9%, and NPV increased from 93.0% to 98.6% in men. In women, specificity improved from 42% to 72%, PPV reduced from 56.9% to 31.3%, and NPV improved from 93.0% to 98.6%. When the PE method was combined with a measure of muscle performance, a similar pattern of performance was observed.\n\nCONCLUSION: The PE when combined with a measure of muscle function to create a screening tool performs as a \"rule-out\" test with high sensitivity values and NPVs.", "author" : [ { "dropping-particle" : "", "family" : "Yu", "given" : "Solomon", "non-dropping-particle" : "", "parse-names" : false, "suffix" : "" }, { "dropping-particle" : "", "family" : "Appleton", "given" : "Sarah", "non-dropping-particle" : "", "parse-names" : false, "suffix" : "" }, { "dropping-particle" : "", "family" : "Chapman", "given" : "Ian", "non-dropping-particle" : "", "parse-names" : false, "suffix" : "" }, { "dropping-particle" : "", "family" : "Adams", "given" : "Robert", "non-dropping-particle" : "", "parse-names" : false, "suffix" : "" }, { "dropping-particle" : "", "family" : "Wittert", "given" : "Gary", "non-dropping-particle" : "", "parse-names" : false, "suffix" : "" }, { "dropping-particle" : "", "family" : "Visvanathan", "given" : "Thavarajah", "non-dropping-particle" : "", "parse-names" : false, "suffix" : "" }, { "dropping-particle" : "", "family" : "Visvanathan", "given" : "Renuka", "non-dropping-particle" : "", "parse-names" : false, "suffix" : "" } ], "container-title" : "Journal of the American Medical Directors Association", "id" : "ITEM-2", "issue" : "1", "issued" : { "date-parts" : [ [ "2015", "1" ] ] }, "page" : "25-30", "title" : "An anthropometric prediction equation for appendicular skeletal muscle mass in combination with a measure of muscle function to screen for sarcopenia in primary and aged care.", "type" : "article-journal", "volume" : "16" }, "uris" : [ "http://www.mendeley.com/documents/?uuid=f59f3d41-5b09-47b0-b73a-c6cd092134b8" ] }, { "id" : "ITEM-3", "itemData" : { "DOI" : "10.1093/ageing/afu106", "ISSN" : "1468-2834", "PMID" : "25049262", "abstract" : "BACKGROUND: accurate and practical assessment methods for assessing appendicular skeletal muscle (ASM) is of clinical importance for the diagnosis of geriatric syndromes associated with skeletal muscle wasting.\n\nOBJECTIVES: the purpose of this study was to develop and cross-validate novel anthropometric prediction equations for the estimate of ASM in older adults post-surgical fixation for hip fracture, using dual-energy X-ray absorptiometry (DEXA) as the criterion measure.\n\nSUBJECTS: community-dwelling older adults (aged \u226565 years) recently hospitalised for hip fracture.\n\nSETTING: participants were recruited from hospital in the acute phase of recovery.\n\nDESIGN: validation measurement study.\n\nMEASUREMENTS: a total of 79 hip fracture patients were involved in the development of the regression models (MD group). A further 64 hip fracture patients also recruited in the early phase of recovery were used in the cross-validation of the regression models (CV group). Multiple linear regression analyses were undertaken in the MD group to identify the best performing prediction models. The linear coefficient of determination (R(2)) in addition to the standard error of the estimate (SEE) were calculated to determine the best performing model. Agreement between estimated ASM and ASMDEXA in the CV group was assessed using paired t-tests with the 95% limits of agreement (LOA) assessed using Bland-Altman analyses.\n\nRESULTS: the mean age of all the participants was 82.1 \u00b1 7.3 years. The best two prediction models are presented as follows: ASMPRED-EQUATION_1: 22.28 - (0.069 * age) + (0.407 * weight) - (0.807 * BMI) - (0.222 * MAC) (adjusted R(2): 0.76; SEE: 1.80 kg); ASMPRED-EQUATION_2: 16.77 - (0.036 * age) + (0.385 * weight) - (0.873 * BMI) (adjusted R(2): 0.73; SEE: 1.90 kg). The mean bias from the CV group between ASMDEXA and the predictive equations is as follows: ASMDEXA - ASMPRED-EQUATION_1: 0.29 \u00b1 2.6 kg (LOA: -4.80, 5.40 kg); ASMDEXA - ASMPRED-EQUATION_2: 0.13 \u00b1 2.5 kg (LOA: -4.77, 5.0 kg). No significant difference was observed between measured ASMDEXA and estimated ASM (ASMDEXA: 16.4 \u00b1 3.9 kg; ASMPRED-EQUATION_1: 16.7 \u00b1 3.2 kg (P = 0.379); ASMPRED-EQUATION_2: 16.6 \u00b1 3.2 kg (P = 0.670)).\n\nCONCLUSIONS: we have developed and cross-validated novel anthropometric prediction equations against DEXA for the estimate of ASM designed for application in older orthopaedic patients. Our equation may be of use as an alternative to DEXA in the diagnosis of skeletal muscle \u2026", "author" : [ { "dropping-particle" : "", "family" : "Villani", "given" : "Anthony Michael", "non-dropping-particle" : "", "parse-names" : false, "suffix" : "" }, { "dropping-particle" : "", "family" : "Crotty", "given" : "Maria", "non-dropping-particle" : "", "parse-names" : false, "suffix" : "" }, { "dropping-particle" : "", "family" : "Cameron", "given" : "Ian D", "non-dropping-particle" : "", "parse-names" : false, "suffix" : "" }, { "dropping-particle" : "", "family" : "Kurrle", "given" : "Susan E", "non-dropping-particle" : "", "parse-names" : false, "suffix" : "" }, { "dropping-particle" : "", "family" : "Skuza", "given" : "Pawel P", "non-dropping-particle" : "", "parse-names" : false, "suffix" : "" }, { "dropping-particle" : "", "family" : "Cleland", "given" : "Leslie G", "non-dropping-particle" : "", "parse-names" : false, "suffix" : "" }, { "dropping-particle" : "", "family" : "Cobiac", "given" : "Lynne", "non-dropping-particle" : "", "parse-names" : false, "suffix" : "" }, { "dropping-particle" : "", "family" : "Miller", "given" : "Michelle D", "non-dropping-particle" : "", "parse-names" : false, "suffix" : "" } ], "container-title" : "Age and ageing", "id" : "ITEM-3", "issue" : "6", "issued" : { "date-parts" : [ [ "2014", "11" ] ] }, "page" : "857-62", "title" : "Appendicular skeletal muscle in hospitalised hip-fracture patients: development and cross-validation of anthropometric prediction equations against dual-energy X-ray absorptiometry.", "type" : "article-journal", "volume" : "43" }, "uris" : [ "http://www.mendeley.com/documents/?uuid=2fa5d8d6-58e4-4812-984b-8bbb0dc4ed78" ] } ], "mendeley" : { "formattedCitation" : "&lt;sup&gt;49\u201351&lt;/sup&gt;", "plainTextFormattedCitation" : "49\u201351", "previouslyFormattedCitation" : "&lt;sup&gt;49\u201351&lt;/sup&gt;" }, "properties" : { "noteIndex" : 0 }, "schema" : "https://github.com/citation-style-language/schema/raw/master/csl-citation.json" }</w:instrText>
      </w:r>
      <w:r w:rsidRPr="000B0221">
        <w:fldChar w:fldCharType="separate"/>
      </w:r>
      <w:r w:rsidR="007E0300" w:rsidRPr="007E0300">
        <w:rPr>
          <w:noProof/>
          <w:vertAlign w:val="superscript"/>
        </w:rPr>
        <w:t>49–51</w:t>
      </w:r>
      <w:r w:rsidRPr="000B0221">
        <w:fldChar w:fldCharType="end"/>
      </w:r>
      <w:r w:rsidRPr="000B0221">
        <w:t xml:space="preserve">. </w:t>
      </w:r>
      <w:r w:rsidR="00CE4A82" w:rsidRPr="000B0221">
        <w:t xml:space="preserve">Anthropometric measurements are </w:t>
      </w:r>
      <w:r w:rsidR="00A03F03" w:rsidRPr="000B0221">
        <w:t xml:space="preserve">simple </w:t>
      </w:r>
      <w:r w:rsidR="00232F2D">
        <w:t xml:space="preserve">clinical </w:t>
      </w:r>
      <w:r w:rsidR="00B1714A" w:rsidRPr="000B0221">
        <w:t xml:space="preserve">prediction </w:t>
      </w:r>
      <w:r w:rsidR="00A03F03" w:rsidRPr="000B0221">
        <w:t xml:space="preserve">tools </w:t>
      </w:r>
      <w:r w:rsidR="000B0221" w:rsidRPr="000B0221">
        <w:t xml:space="preserve">that </w:t>
      </w:r>
      <w:r w:rsidR="00A03F03" w:rsidRPr="000B0221">
        <w:t>can</w:t>
      </w:r>
      <w:r w:rsidRPr="000B0221">
        <w:t xml:space="preserve"> be </w:t>
      </w:r>
      <w:r w:rsidR="00A03F03" w:rsidRPr="000B0221">
        <w:t xml:space="preserve">easily applied </w:t>
      </w:r>
      <w:r w:rsidRPr="000B0221">
        <w:t>for sarcopenia</w:t>
      </w:r>
      <w:r w:rsidR="0089454A" w:rsidRPr="000B0221">
        <w:t xml:space="preserve"> since they offer the most portable, commonly applicable, inexpensive and non-invasive technique for assessing size, proportions and composition of the human body </w:t>
      </w:r>
      <w:r w:rsidRPr="000B0221">
        <w:fldChar w:fldCharType="begin" w:fldLock="1"/>
      </w:r>
      <w:r w:rsidR="007E0300">
        <w:instrText>ADDIN CSL_CITATION { "citationItems" : [ { "id" : "ITEM-1", "itemData" : { "DOI" : "10.1016/j.jamda.2014.06.018", "ISSN" : "1538-9375", "PMID" : "25239016", "abstract" : "OBJECTIVES: Sarcopenia is the presence of low muscle mass and poor physical function. We have developed an anthropometric prediction equation (PE). We compared the accuracy of our previously developed anthropometric prediction equation (PE) to dual absorptiometry x-ray (DXA) in predicting low muscle mass and sarcopenia.\n\nDESIGN: Cross-sectional study design.\n\nSETTING: Community dwelling.\n\nPARTICIPANTS: Men and women aged 65 years and older.\n\nMEASUREMENTS: Gender-specific low muscle mass cutoffs were identified using the lowest 20% of the skeletal muscle index (SMI) where muscle mass was determined using PE in 611 men and 375 women aged 65 years and older. The sensitivity, specificity, positive predictive value (PPV) and negative predictive value (NPV) of PE derived low muscle mass were compared with DXA-derived low muscle mass. The cohort was randomized into a development and validation group to identify various cutoffs for low muscle mass via the PE method and test its performance against the DXA method.\n\nRESULTS: The PE cutoff for low muscle mass was less than 8.05 kg/m(2) in men and less than 5.35 kg/m(2) in women. On validation of various cutoffs with improving sensitivity values from 70% to 97%, specificity increased from 45.5% to 85.7%, PPV increased from 31.3% to 56.9%, and NPV increased from 93.0% to 98.6% in men. In women, specificity improved from 42% to 72%, PPV reduced from 56.9% to 31.3%, and NPV improved from 93.0% to 98.6%. When the PE method was combined with a measure of muscle performance, a similar pattern of performance was observed.\n\nCONCLUSION: The PE when combined with a measure of muscle function to create a screening tool performs as a \"rule-out\" test with high sensitivity values and NPVs.", "author" : [ { "dropping-particle" : "", "family" : "Yu", "given" : "Solomon", "non-dropping-particle" : "", "parse-names" : false, "suffix" : "" }, { "dropping-particle" : "", "family" : "Appleton", "given" : "Sarah", "non-dropping-particle" : "", "parse-names" : false, "suffix" : "" }, { "dropping-particle" : "", "family" : "Chapman", "given" : "Ian", "non-dropping-particle" : "", "parse-names" : false, "suffix" : "" }, { "dropping-particle" : "", "family" : "Adams", "given" : "Robert", "non-dropping-particle" : "", "parse-names" : false, "suffix" : "" }, { "dropping-particle" : "", "family" : "Wittert", "given" : "Gary", "non-dropping-particle" : "", "parse-names" : false, "suffix" : "" }, { "dropping-particle" : "", "family" : "Visvanathan", "given" : "Thavarajah", "non-dropping-particle" : "", "parse-names" : false, "suffix" : "" }, { "dropping-particle" : "", "family" : "Visvanathan", "given" : "Renuka", "non-dropping-particle" : "", "parse-names" : false, "suffix" : "" } ], "container-title" : "Journal of the American Medical Directors Association", "id" : "ITEM-1", "issue" : "1", "issued" : { "date-parts" : [ [ "2015", "1" ] ] }, "page" : "25-30", "title" : "An anthropometric prediction equation for appendicular skeletal muscle mass in combination with a measure of muscle function to screen for sarcopenia in primary and aged care.", "type" : "article-journal", "volume" : "16" }, "uris" : [ "http://www.mendeley.com/documents/?uuid=f59f3d41-5b09-47b0-b73a-c6cd092134b8" ] } ], "mendeley" : { "formattedCitation" : "&lt;sup&gt;50&lt;/sup&gt;", "plainTextFormattedCitation" : "50", "previouslyFormattedCitation" : "&lt;sup&gt;50&lt;/sup&gt;" }, "properties" : { "noteIndex" : 0 }, "schema" : "https://github.com/citation-style-language/schema/raw/master/csl-citation.json" }</w:instrText>
      </w:r>
      <w:r w:rsidRPr="000B0221">
        <w:fldChar w:fldCharType="separate"/>
      </w:r>
      <w:r w:rsidR="007E0300" w:rsidRPr="007E0300">
        <w:rPr>
          <w:noProof/>
          <w:vertAlign w:val="superscript"/>
        </w:rPr>
        <w:t>50</w:t>
      </w:r>
      <w:r w:rsidRPr="000B0221">
        <w:fldChar w:fldCharType="end"/>
      </w:r>
      <w:r w:rsidR="00A03F03" w:rsidRPr="000B0221">
        <w:t xml:space="preserve">. </w:t>
      </w:r>
      <w:r w:rsidR="00265C75" w:rsidRPr="000B0221">
        <w:t xml:space="preserve">However, </w:t>
      </w:r>
      <w:r w:rsidR="007B18DF" w:rsidRPr="000B0221">
        <w:t>their</w:t>
      </w:r>
      <w:r w:rsidR="00B1714A" w:rsidRPr="000B0221">
        <w:t xml:space="preserve"> validity </w:t>
      </w:r>
      <w:r w:rsidR="002556E8" w:rsidRPr="000B0221">
        <w:t xml:space="preserve">is limited </w:t>
      </w:r>
      <w:r w:rsidR="00B1714A" w:rsidRPr="000B0221">
        <w:t>when applied to individual</w:t>
      </w:r>
      <w:r w:rsidR="002556E8" w:rsidRPr="000B0221">
        <w:t>s</w:t>
      </w:r>
      <w:r w:rsidR="00B1714A" w:rsidRPr="000B0221">
        <w:t xml:space="preserve"> due to large </w:t>
      </w:r>
      <w:r w:rsidR="002556E8" w:rsidRPr="000B0221">
        <w:t xml:space="preserve">prediction </w:t>
      </w:r>
      <w:r w:rsidR="00B1714A" w:rsidRPr="000B0221">
        <w:t xml:space="preserve">errors and </w:t>
      </w:r>
      <w:r w:rsidR="002556E8" w:rsidRPr="000B0221">
        <w:t xml:space="preserve">because </w:t>
      </w:r>
      <w:r w:rsidR="00265C75" w:rsidRPr="000B0221">
        <w:t>cut-off points</w:t>
      </w:r>
      <w:r w:rsidR="002556E8" w:rsidRPr="000B0221">
        <w:t>,</w:t>
      </w:r>
      <w:r w:rsidR="00265C75" w:rsidRPr="000B0221">
        <w:t xml:space="preserve"> to </w:t>
      </w:r>
      <w:r w:rsidR="000226C3" w:rsidRPr="000B0221">
        <w:t xml:space="preserve">identify </w:t>
      </w:r>
      <w:r w:rsidR="00265C75" w:rsidRPr="000B0221">
        <w:t>low muscle mass</w:t>
      </w:r>
      <w:r w:rsidR="002556E8" w:rsidRPr="000B0221">
        <w:t>,</w:t>
      </w:r>
      <w:r w:rsidR="00265C75" w:rsidRPr="000B0221">
        <w:t xml:space="preserve"> </w:t>
      </w:r>
      <w:r w:rsidR="002556E8" w:rsidRPr="000B0221">
        <w:t xml:space="preserve">still </w:t>
      </w:r>
      <w:r w:rsidR="000226C3" w:rsidRPr="000B0221">
        <w:t xml:space="preserve">need to </w:t>
      </w:r>
      <w:r w:rsidR="00265C75" w:rsidRPr="000B0221">
        <w:t xml:space="preserve">be defined. </w:t>
      </w:r>
      <w:r w:rsidR="00B1714A" w:rsidRPr="000B0221">
        <w:t>Therefore,</w:t>
      </w:r>
      <w:r w:rsidR="00A03F03" w:rsidRPr="000B0221">
        <w:t xml:space="preserve"> </w:t>
      </w:r>
      <w:r w:rsidR="00876D4D" w:rsidRPr="000B0221">
        <w:t xml:space="preserve">if a patient is identified as at risk of having sarcopenia by </w:t>
      </w:r>
      <w:r w:rsidR="002556E8" w:rsidRPr="000B0221">
        <w:t xml:space="preserve">anthropometric </w:t>
      </w:r>
      <w:r w:rsidR="00876D4D" w:rsidRPr="000B0221">
        <w:t>measurement</w:t>
      </w:r>
      <w:r w:rsidR="002556E8" w:rsidRPr="000B0221">
        <w:t>s</w:t>
      </w:r>
      <w:r w:rsidR="00876D4D" w:rsidRPr="000B0221">
        <w:t xml:space="preserve">, </w:t>
      </w:r>
      <w:r w:rsidRPr="000B0221">
        <w:t xml:space="preserve">an additional measurement </w:t>
      </w:r>
      <w:r w:rsidR="00B1714A" w:rsidRPr="000B0221">
        <w:t xml:space="preserve">of muscle mass </w:t>
      </w:r>
      <w:r w:rsidRPr="000B0221">
        <w:t xml:space="preserve">with DXA </w:t>
      </w:r>
      <w:r w:rsidR="00D74D10" w:rsidRPr="000B0221">
        <w:t xml:space="preserve">would </w:t>
      </w:r>
      <w:r w:rsidRPr="000B0221">
        <w:t xml:space="preserve">still </w:t>
      </w:r>
      <w:r w:rsidR="002556E8" w:rsidRPr="000B0221">
        <w:t xml:space="preserve">be </w:t>
      </w:r>
      <w:r w:rsidR="00DB591F" w:rsidRPr="000B0221">
        <w:t xml:space="preserve">recommended. </w:t>
      </w:r>
    </w:p>
    <w:p w14:paraId="04B83839" w14:textId="16DC42F7" w:rsidR="00A03F03" w:rsidRPr="000B0221" w:rsidRDefault="00FF1187" w:rsidP="00377240">
      <w:pPr>
        <w:tabs>
          <w:tab w:val="left" w:pos="426"/>
        </w:tabs>
        <w:spacing w:line="360" w:lineRule="auto"/>
        <w:jc w:val="both"/>
      </w:pPr>
      <w:r w:rsidRPr="000B0221">
        <w:t>Finally</w:t>
      </w:r>
      <w:r w:rsidR="002D777E" w:rsidRPr="000B0221">
        <w:t>, b</w:t>
      </w:r>
      <w:r w:rsidR="004C7A34" w:rsidRPr="000B0221">
        <w:t xml:space="preserve">io-electrical impedance </w:t>
      </w:r>
      <w:r w:rsidR="00A03F03" w:rsidRPr="000B0221">
        <w:t xml:space="preserve">analysis </w:t>
      </w:r>
      <w:r w:rsidR="004C7A34" w:rsidRPr="000B0221">
        <w:t xml:space="preserve">(BIA) </w:t>
      </w:r>
      <w:r w:rsidR="003D6A50" w:rsidRPr="000B0221">
        <w:t xml:space="preserve">is a method which estimates the volume of fat and lean body mass based on the relationship between the volume of a conductor and its electrical resistance. </w:t>
      </w:r>
      <w:r w:rsidR="00A03F03" w:rsidRPr="000B0221">
        <w:t>The</w:t>
      </w:r>
      <w:r w:rsidR="003D6A50" w:rsidRPr="000B0221">
        <w:t xml:space="preserve"> method is no</w:t>
      </w:r>
      <w:r w:rsidR="00A03F03" w:rsidRPr="000B0221">
        <w:t>t</w:t>
      </w:r>
      <w:r w:rsidR="003D6A50" w:rsidRPr="000B0221">
        <w:t xml:space="preserve"> expensive, require</w:t>
      </w:r>
      <w:r w:rsidR="00A03F03" w:rsidRPr="000B0221">
        <w:t>s</w:t>
      </w:r>
      <w:r w:rsidR="003D6A50" w:rsidRPr="000B0221">
        <w:t xml:space="preserve"> no specialized staff and is </w:t>
      </w:r>
      <w:r w:rsidR="00A03F03" w:rsidRPr="000B0221">
        <w:t xml:space="preserve">relatively </w:t>
      </w:r>
      <w:r w:rsidR="003D6A50" w:rsidRPr="000B0221">
        <w:t>easy to use in clinical practice, both on ambulatory subjects or on hospitalized patients</w:t>
      </w:r>
      <w:r w:rsidR="004C7A34" w:rsidRPr="000B0221">
        <w:t xml:space="preserve">. </w:t>
      </w:r>
      <w:r w:rsidR="00544ECF" w:rsidRPr="000B0221">
        <w:t xml:space="preserve">Moreover, reference values have been established for </w:t>
      </w:r>
      <w:r w:rsidR="00B11F75">
        <w:t>older</w:t>
      </w:r>
      <w:r w:rsidR="00B11F75" w:rsidRPr="000B0221">
        <w:t xml:space="preserve"> </w:t>
      </w:r>
      <w:r w:rsidR="00544ECF" w:rsidRPr="000B0221">
        <w:t>individuals</w:t>
      </w:r>
      <w:r w:rsidR="00544ECF" w:rsidRPr="000B0221">
        <w:fldChar w:fldCharType="begin" w:fldLock="1"/>
      </w:r>
      <w:r w:rsidR="007E0300">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"http://www.mendeley.com/documents/?uuid=70cb19aa-c51f-40a6-870b-7354e335530b" ] } ], "mendeley" : { "formattedCitation" : "&lt;sup&gt;3&lt;/sup&gt;", "plainTextFormattedCitation" : "3", "previouslyFormattedCitation" : "&lt;sup&gt;3&lt;/sup&gt;" }, "properties" : { "noteIndex" : 0 }, "schema" : "https://github.com/citation-style-language/schema/raw/master/csl-citation.json" }</w:instrText>
      </w:r>
      <w:r w:rsidR="00544ECF" w:rsidRPr="000B0221">
        <w:fldChar w:fldCharType="separate"/>
      </w:r>
      <w:r w:rsidR="00544ECF" w:rsidRPr="000B0221">
        <w:rPr>
          <w:noProof/>
          <w:vertAlign w:val="superscript"/>
        </w:rPr>
        <w:t>3</w:t>
      </w:r>
      <w:r w:rsidR="00544ECF" w:rsidRPr="000B0221">
        <w:fldChar w:fldCharType="end"/>
      </w:r>
      <w:r w:rsidR="00544ECF" w:rsidRPr="000B0221">
        <w:t xml:space="preserve">. </w:t>
      </w:r>
      <w:r w:rsidR="00B47317">
        <w:t>Even if</w:t>
      </w:r>
      <w:r w:rsidR="00AA438D" w:rsidRPr="000B0221">
        <w:t xml:space="preserve"> </w:t>
      </w:r>
      <w:r w:rsidR="00F13E66" w:rsidRPr="000B0221">
        <w:t xml:space="preserve">the </w:t>
      </w:r>
      <w:r w:rsidR="00AA438D" w:rsidRPr="000B0221">
        <w:t>method</w:t>
      </w:r>
      <w:r w:rsidR="00F13E66" w:rsidRPr="000B0221">
        <w:t>’s acc</w:t>
      </w:r>
      <w:r w:rsidR="00B47317">
        <w:t xml:space="preserve">uracy has been challenged and </w:t>
      </w:r>
      <w:r w:rsidR="00F13E66" w:rsidRPr="000B0221">
        <w:t xml:space="preserve"> </w:t>
      </w:r>
      <w:r w:rsidR="002B27C6" w:rsidRPr="000B0221">
        <w:t xml:space="preserve">has been </w:t>
      </w:r>
      <w:r w:rsidR="00F13E66" w:rsidRPr="000B0221">
        <w:t>reported to</w:t>
      </w:r>
      <w:r w:rsidR="004C7A34" w:rsidRPr="000B0221">
        <w:t xml:space="preserve"> overestimate muscle mass and underestimate fat mass</w:t>
      </w:r>
      <w:r w:rsidR="004C7A34" w:rsidRPr="000B0221">
        <w:fldChar w:fldCharType="begin" w:fldLock="1"/>
      </w:r>
      <w:r w:rsidR="007E0300">
        <w:instrText>ADDIN CSL_CITATION { "citationItems" : [ { "id" : "ITEM-1", "itemData" : { "DOI" : "10.1186/s12877-016-0228-z", "ISSN" : "1471-2318", "PMID" : "26928275", "abstract" : "BACKGROUND: Sarcopenia is a common geriatric syndrome associated with serious adverse health outcomes. The European Working Group on Sarcopenia in Older People (EWGSOP) suggests different methods for case finding for sarcopenia. However, data comparing the different methodological options are scarce for geriatric inpatients.\n\nMETHODS: On the basis of the recommendations of the EWGSOP sixty geriatric inpatients underwent measurement of gait speed, hand grip strength and muscle mass by both, dual X-ray absorptiometry (DXA) and bioimpedance analysis (BIA). By linear regression analysis and Bland-Altman plots muscle mass measurements of DXA and BIA were compared. Outcomes of the DXA- and BIA-based approaches for classifying participants as having normal or reduced muscle mass and sarcopenia according to the EWGSOP case finding algorithm were compared by raw agreement and kappa statistics. Finally, on the hypothetical assumption that the DXA-based approach can be set as reference, the performance of the BIA-based approach is illustrated.\n\nRESULTS: Muscle mass measured by BIA was highly correlated to DXA (r\u2009&gt;\u20090.9), but BIA systematically overestimated muscle mass. The mean difference between DXA and BIA was -1.30\u00a0kg (p\u2009&lt;\u20090.001) for appendicular and -2.33\u00a0kg (p\u2009&lt;\u20090.001) for total muscle mass. The raw agreement between the DXA- and BIA-based approaches for classifying participants as having normal or reduced muscle mass was at best 80\u00a0% depending on the BIA cut-offs used. Functional prescreening according to the sarcopenia case finding algorithm of the EWGSOP reduced the need for muscle mass measurement by 37\u00a0%, but only marginally changed the agreement between the DXA- and BIA-based approaches.\n\nCONCLUSION: Clinicians should be aware that in geriatric inpatients the BIA-based approaches resulted in highly different subgroups of sarcopenic/non-sarcopenic subjects compared to the DXA-based approach following the EWGSOP case finding algorithm. In this pilot-study the BIA-based approach misclassified nearly 1 out of 6 patients if the DXA-based approach is taken as reference.", "author" : [ { "dropping-particle" : "", "family" : "Reiss", "given" : "Jens", "non-dropping-particle" : "", "parse-names" : false, "suffix" : "" }, { "dropping-particle" : "", "family" : "Iglseder", "given" : "Bernhard", "non-dropping-particle" : "", "parse-names" : false, "suffix" : "" }, { "dropping-particle" : "", "family" : "Kreutzer", "given" : "Martina", "non-dropping-particle" : "", "parse-names" : false, "suffix" : "" }, { "dropping-particle" : "", "family" : "Weilbuchner", "given" : "Ingrid", "non-dropping-particle" : "", "parse-names" : false, "suffix" : "" }, { "dropping-particle" : "", "family" : "Treschnitzer", "given" : "Wolfgang", "non-dropping-particle" : "", "parse-names" : false, "suffix" : "" }, { "dropping-particle" : "", "family" : "K\u00e4ssmann", "given" : "Helmut", "non-dropping-particle" : "", "parse-names" : false, "suffix" : "" }, { "dropping-particle" : "", "family" : "Pirich", "given" : "Christian", "non-dropping-particle" : "", "parse-names" : false, "suffix" : "" }, { "dropping-particle" : "", "family" : "Reiter", "given" : "Raphael", "non-dropping-particle" : "", "parse-names" : false, "suffix" : "" } ], "container-title" : "BMC geriatrics", "id" : "ITEM-1", "issue" : "1", "issued" : { "date-parts" : [ [ "2016", "1" ] ] }, "page" : "52", "title" : "Case finding for sarcopenia in geriatric inpatients: performance of bioimpedance analysis in comparison to dual X-ray absorptiometry.", "type" : "article-journal", "volume" : "16" }, "uris" : [ "http://www.mendeley.com/documents/?uuid=2d91e97e-1040-4bdd-92d8-43d3cf76323f" ] }, { "id" : "ITEM-2", "itemData" : { "DOI" : "10.1038/ejcn.2013.9", "ISBN" : "1476-5640 (Electronic)\r0954-3007 (Linking)", "PMID" : "23388666", "abstract" : "BACKGROUND/OBJECTIVE: We aimed to examine the accuracy of segmental multi-frequency bioelectrical impedance analysis (SMF-BIA) for the assessment of whole-body and appendicular fat mass (FM) and lean soft tissue mass (LM) in frail older women, using dual-energy X-ray absorptiometry (DXA) as a reference method. SUBJECTS/METHODS: All 129 community-dwelling Japanese frail older women with a mean age of 80.9 years (range, 75-89 years) from the Frailty Intervention Trial were recruited. The agreements between SMF-BIA and DXA for whole-body and appendicular body composition were assessed using simple linear regression and Bland-Altman analysis. RESULTS: High coefficients of determination (R(2)) for whole-body FM (R(2)=0.94, s.e. of estimate (SEE)=1.2 kg), whole-body LM (R(2)=0.85, SEE=1.4 kg), and appendicular FM (R(2)=0.82, SEE=1.1 kg) were observed between SMF-BIA and DXA. The R(2) coefficient for appendicular LM was moderate (R(2)=0.76, SEE=0.8 kg). Bland-Altman plots demonstrated that there was systematic (constant) bias (that is, DXA minus SMF-BIA) with overestimation of whole-body FM (bias=-1.2 kg, 95% confidence interval (CI)=-1.5 to -0.1) and underestimation of whole-body LM (bias=2.1 kg, 95% CI=1.8-2.3) by SMF-BIA. Similar, the appendicular measurements also demonstrated systematic bias with overestimation of appendicular FM (bias=-0.3 kg, 95% CI=-0.5 to -0.1) and underestimation of whole-body LM (bias=1.5 kg, 95% CI=1.4-1.7) by SMF-BIA. In addition, the individual level accuracy demonstrated a non-proportional bias for whole-body LM (r=0.08, P=0.338) and appendicular FM (r=0.07, P=0.413). CONCLUSIONS: SMF-BIA had acceptable accuracy for the estimation of whole-body and appendicular FM and LM in frail older women, although SMF-BIA underestimated LM and overestimated FM relative to DXA.", "author" : [ { "dropping-particle" : "", "family" : "Kim", "given" : "M", "non-dropping-particle" : "", "parse-names" : false, "suffix" : "" }, { "dropping-particle" : "", "family" : "Kim", "given" : "H", "non-dropping-particle" : "", "parse-names" : false, "suffix" : "" } ], "container-title" : "Eur J Clin Nutr", "edition" : "2013/02/08", "id" : "ITEM-2", "issue" : "4", "issued" : { "date-parts" : [ [ "2013" ] ] }, "language" : "eng", "note" : "Kim, M\nKim, H\nEngland\nEur J Clin Nutr. 2013 Apr;67(4):395-400. doi: 10.1038/ejcn.2013.9. Epub 2013 Feb 6.", "page" : "395-400", "title" : "Accuracy of segmental multi-frequency bioelectrical impedance analysis for assessing whole-body and appendicular fat mass and lean soft tissue mass in frail women aged 75 years and older", "type" : "article-journal", "volume" : "67" }, "uris" : [ "http://www.mendeley.com/documents/?uuid=36fec87f-5260-4521-86ca-cee3719d0d58" ] }, { "id" : "ITEM-3", "itemData" : { "DOI" : "10.1111/ggi.12384", "ISSN" : "1447-0594", "PMID" : "25345548", "abstract" : "AIM: The purpose of the present study was to examine the agreement of segmental multifrequency bioelectrical impedance analysis (SMF-BIA) for the assessment of whole-body and appendicular fat mass (FM) and lean soft tissue mass (LSTM) compared with dual-energy X-ray absorptiometry (DXA) in a community-dwelling Japanese older population.\n\nMETHODS: The study population included 551 community-dwelling Japanese older adults (241 men and 310 women) aged between 65 and 87 years. Agreement between SMF-BIA and DXA for whole-body and appendicular body composition was assessed using simple linear regression and Bland-Altman analysis.\n\nRESULTS: High coefficients of determination (R(2)) were observed for whole-body FM (R(2)\u2009=\u20090.91, standard error of estimate [SEE]\u2009=\u20091.4\u2009kg in men and R(2)\u2009=\u20090.94, SEE\u2009=\u20091.2\u2009kg in women) between SMF-BIA and DXA. The R(2) coefficient for whole-body LSTM was higher in men (R(2)\u2009=\u20090.88, SEE\u2009=\u20091.9\u2009kg) than in women (R(2)\u2009=\u20090.83, SEE\u2009=\u20091.5\u2009kg). There was systematic bias with overestimation of whole-body FM and underestimation of whole-body LSTM by SMF-BIA. Proportional bias was noted for measurement of whole-body FM and LSTM in both men and women, but there was no proportional bias between the two methods for measurement of appendicular LSTM (r\u2009=\u20090.05, P\u2009=\u20090.428 and r\u2009=\u2009-0.10, P\u2009=\u20090.070 for men and women, respectively).\n\nCONCLUSION: SMF-BIA is a good alternative for estimating the whole-body and appendicular FM and LSTM in a community-dwelling Japanese older population, although it overestimated FM and underestimated LSTM when validated against DXA.", "author" : [ { "dropping-particle" : "", "family" : "Kim", "given" : "Miji", "non-dropping-particle" : "", "parse-names" : false, "suffix" : "" }, { "dropping-particle" : "", "family" : "Shinkai", "given" : "Shoji", "non-dropping-particle" : "", "parse-names" : false, "suffix" : "" }, { "dropping-particle" : "", "family" : "Murayama", "given" : "Hiroshi", "non-dropping-particle" : "", "parse-names" : false, "suffix" : "" }, { "dropping-particle" : "", "family" : "Mori", "given" : "Seijiro", "non-dropping-particle" : "", "parse-names" : false, "suffix" : "" } ], "container-title" : "Geriatrics &amp; gerontology international", "id" : "ITEM-3", "issue" : "8", "issued" : { "date-parts" : [ [ "2015", "8" ] ] }, "page" : "1013-22", "title" : "Comparison of segmental multifrequency bioelectrical impedance analysis with dual-energy X-ray absorptiometry for the assessment of body composition in a community-dwelling older population.", "type" : "article-journal", "volume" : "15" }, "uris" : [ "http://www.mendeley.com/documents/?uuid=ccb70b27-7621-452c-bd83-5b138cdd94e9" ] } ], "mendeley" : { "formattedCitation" : "&lt;sup&gt;52\u201354&lt;/sup&gt;", "plainTextFormattedCitation" : "52\u201354", "previouslyFormattedCitation" : "&lt;sup&gt;52\u201354&lt;/sup&gt;" }, "properties" : { "noteIndex" : 0 }, "schema" : "https://github.com/citation-style-language/schema/raw/master/csl-citation.json" }</w:instrText>
      </w:r>
      <w:r w:rsidR="004C7A34" w:rsidRPr="000B0221">
        <w:fldChar w:fldCharType="separate"/>
      </w:r>
      <w:r w:rsidR="007E0300" w:rsidRPr="007E0300">
        <w:rPr>
          <w:noProof/>
          <w:vertAlign w:val="superscript"/>
        </w:rPr>
        <w:t>52–54</w:t>
      </w:r>
      <w:r w:rsidR="004C7A34" w:rsidRPr="000B0221">
        <w:fldChar w:fldCharType="end"/>
      </w:r>
      <w:r w:rsidR="00B47317">
        <w:t xml:space="preserve">, </w:t>
      </w:r>
      <w:r w:rsidR="00B47317">
        <w:rPr>
          <w:lang w:val="en-US"/>
        </w:rPr>
        <w:t>it is possible to use some adjustment equations to obtain valid measurements</w:t>
      </w:r>
      <w:r w:rsidR="00B47317">
        <w:rPr>
          <w:lang w:val="en-US"/>
        </w:rPr>
        <w:fldChar w:fldCharType="begin" w:fldLock="1"/>
      </w:r>
      <w:r w:rsidR="007E0300">
        <w:rPr>
          <w:lang w:val="en-US"/>
        </w:rPr>
        <w:instrText>ADDIN CSL_CITATION { "citationItems" : [ { "id" : "ITEM-1", "itemData" : { "DOI" : "10.1186/s12891-015-0510-9", "ISSN" : "1471-2474", "PMID" : "25887598", "abstract" : "BACKGROUND: Besides magnetic resonance imaging, dual energy X-ray absorptiometry (DXA) seems the most reliable tool to evaluate body composition and is often considered as the gold standard in clinical practice. Bioelectrical impedance analysis (BIA) could provide a simpler, portative, and less expensive alternative. Because the body composition assessment by BIA is device-dependent, the aim of this study was to appraise the concordance between the specific bioelectrical impedance device InBody S10 and DXA for the body composition evaluation.\n\nMETHODS: Body composition, included appendicular lean mass divided by height squared (ALM/ht(2)) was measured by DXA (Hologic QDR Discovery device) and by BIA (InBody S10 Biospace device). Agreement between tools was assessed by means of the Bland Altman method and reliability was determined using the IntraClass Coefficient (ICC). ICC was also computed to assess the reliability of the test-retest performed by the same operator or by two different ones.\n\nRESULTS: A total of 219 subjects were enrolled in this study (mean age: 43.7\u2009\u00b1\u200919.1\u00a0years old, 51.6% of women). For the ALM/ht(2), reliability of the test-retest of the BIA was high with an ICC of 0.89 (95%CI: 0.86-0.92) when performed by the same operator and an ICC of 0.77 (95%CI: 0.72-0.82) when performed by two different operators. Agreement between ALM/ht(2) assessed by DXA and BIA was low (ICC\u2009=\u20090.37 (95%CI: 0.25-0.48)). Mean ALM/ht(2) was 9.19\u2009\u00b1\u20091.39\u00a0kg/m(2) with BIA and 7.34\u2009\u00b1\u20091.34\u00a0kg/m(2) with DXA, (p\u2009&lt;\u20090001). A formula developed using a multiple regression analysis, and taking into account muscle mass assessed by BIA, as well as sex and body mass index, explains 89% of the ALM/ht(2) assessed by DXA.\n\nCONCLUSIONS: Although our results show that the measure of ALM/ht(2) by BIA is reliable, the agreement between DXA and BIA is low. Indeed, BIA seems to overestimate ALM/ht(2) compared to DXA and, consequently, it is important to use an adapted formula to obtain measurement of the appendicular lean mass by BIA close to that measured by DXA.", "author" : [ { "dropping-particle" : "", "family" : "Buckinx", "given" : "Fanny", "non-dropping-particle" : "", "parse-names" : false, "suffix" : "" }, { "dropping-particle" : "", "family" : "Reginster", "given" : "Jean-Yves", "non-dropping-particle" : "", "parse-names" : false, "suffix" : "" }, { "dropping-particle" : "", "family" : "Dardenne", "given" : "Nadia", "non-dropping-particle" : "", "parse-names" : false, "suffix" : "" }, { "dropping-particle" : "", "family" : "Croisiser", "given" : "Jean-Louis", "non-dropping-particle" : "", "parse-names" : false, "suffix" : "" }, { "dropping-particle" : "", "family" : "Kaux", "given" : "Jean-Fran\u00e7ois", "non-dropping-particle" : "", "parse-names" : false, "suffix" : "" }, { "dropping-particle" : "", "family" : "Beaudart", "given" : "Charlotte", "non-dropping-particle" : "", "parse-names" : false, "suffix" : "" }, { "dropping-particle" : "", "family" : "Slomian", "given" : "Justine", "non-dropping-particle" : "", "parse-names" : false, "suffix" : "" }, { "dropping-particle" : "", "family" : "Bruy\u00e8re", "given" : "Olivier", "non-dropping-particle" : "", "parse-names" : false, "suffix" : "" } ], "container-title" : "BMC musculoskeletal disorders", "id" : "ITEM-1", "issued" : { "date-parts" : [ [ "2015", "1" ] ] }, "page" : "60", "title" : "Concordance between muscle mass assessed by bioelectrical impedance analysis and by dual energy X-ray absorptiometry: a cross-sectional study.", "type" : "article-journal", "volume" : "16" }, "uris" : [ "http://www.mendeley.com/documents/?uuid=ef6d0d5e-838f-4a5a-a02c-13eefeaa0876" ] } ], "mendeley" : { "formattedCitation" : "&lt;sup&gt;55&lt;/sup&gt;", "plainTextFormattedCitation" : "55", "previouslyFormattedCitation" : "&lt;sup&gt;55&lt;/sup&gt;" }, "properties" : { "noteIndex" : 0 }, "schema" : "https://github.com/citation-style-language/schema/raw/master/csl-citation.json" }</w:instrText>
      </w:r>
      <w:r w:rsidR="00B47317">
        <w:rPr>
          <w:lang w:val="en-US"/>
        </w:rPr>
        <w:fldChar w:fldCharType="separate"/>
      </w:r>
      <w:r w:rsidR="007E0300" w:rsidRPr="007E0300">
        <w:rPr>
          <w:noProof/>
          <w:vertAlign w:val="superscript"/>
          <w:lang w:val="en-US"/>
        </w:rPr>
        <w:t>55</w:t>
      </w:r>
      <w:r w:rsidR="00B47317">
        <w:rPr>
          <w:lang w:val="en-US"/>
        </w:rPr>
        <w:fldChar w:fldCharType="end"/>
      </w:r>
      <w:r w:rsidR="00B47317">
        <w:rPr>
          <w:lang w:val="en-US"/>
        </w:rPr>
        <w:t xml:space="preserve">. </w:t>
      </w:r>
    </w:p>
    <w:p w14:paraId="386659E3" w14:textId="546DDF4A" w:rsidR="00265C75" w:rsidRPr="000B0221" w:rsidRDefault="00265C75" w:rsidP="00377240">
      <w:pPr>
        <w:tabs>
          <w:tab w:val="left" w:pos="426"/>
        </w:tabs>
        <w:spacing w:line="360" w:lineRule="auto"/>
        <w:jc w:val="both"/>
        <w:rPr>
          <w:i/>
        </w:rPr>
      </w:pPr>
      <w:r w:rsidRPr="000B0221">
        <w:rPr>
          <w:i/>
        </w:rPr>
        <w:t xml:space="preserve">In summary, we would propose </w:t>
      </w:r>
      <w:r w:rsidR="008826CC" w:rsidRPr="000B0221">
        <w:rPr>
          <w:i/>
        </w:rPr>
        <w:t xml:space="preserve">assessing primarily </w:t>
      </w:r>
      <w:r w:rsidRPr="000B0221">
        <w:rPr>
          <w:i/>
        </w:rPr>
        <w:t>muscle mass by DXA</w:t>
      </w:r>
      <w:r w:rsidR="00AF17EF" w:rsidRPr="000B0221">
        <w:rPr>
          <w:i/>
        </w:rPr>
        <w:t>,</w:t>
      </w:r>
      <w:r w:rsidR="000D7927">
        <w:rPr>
          <w:i/>
        </w:rPr>
        <w:t xml:space="preserve"> if this tool</w:t>
      </w:r>
      <w:r w:rsidR="008826CC" w:rsidRPr="000B0221">
        <w:rPr>
          <w:i/>
        </w:rPr>
        <w:t xml:space="preserve"> is available, and if not</w:t>
      </w:r>
      <w:r w:rsidRPr="000B0221">
        <w:rPr>
          <w:i/>
        </w:rPr>
        <w:t>, anthropometry mea</w:t>
      </w:r>
      <w:r w:rsidR="00421510" w:rsidRPr="000B0221">
        <w:rPr>
          <w:i/>
        </w:rPr>
        <w:t>surements</w:t>
      </w:r>
      <w:r w:rsidR="007B1DC9" w:rsidRPr="000B0221">
        <w:rPr>
          <w:i/>
        </w:rPr>
        <w:t xml:space="preserve"> </w:t>
      </w:r>
      <w:r w:rsidR="008826CC" w:rsidRPr="000B0221">
        <w:rPr>
          <w:i/>
        </w:rPr>
        <w:t xml:space="preserve">can </w:t>
      </w:r>
      <w:r w:rsidR="007B1DC9" w:rsidRPr="000B0221">
        <w:rPr>
          <w:i/>
        </w:rPr>
        <w:t xml:space="preserve">easily </w:t>
      </w:r>
      <w:r w:rsidR="008826CC" w:rsidRPr="000B0221">
        <w:rPr>
          <w:i/>
        </w:rPr>
        <w:t xml:space="preserve">be </w:t>
      </w:r>
      <w:r w:rsidR="007B1DC9" w:rsidRPr="000B0221">
        <w:rPr>
          <w:i/>
        </w:rPr>
        <w:t>used</w:t>
      </w:r>
      <w:r w:rsidR="008826CC" w:rsidRPr="000B0221">
        <w:rPr>
          <w:i/>
        </w:rPr>
        <w:t>,</w:t>
      </w:r>
      <w:r w:rsidR="007B1DC9" w:rsidRPr="000B0221">
        <w:rPr>
          <w:i/>
        </w:rPr>
        <w:t xml:space="preserve"> in primary care settings</w:t>
      </w:r>
      <w:r w:rsidR="008826CC" w:rsidRPr="000B0221">
        <w:rPr>
          <w:i/>
        </w:rPr>
        <w:t>,</w:t>
      </w:r>
      <w:r w:rsidR="007B1DC9" w:rsidRPr="000B0221">
        <w:rPr>
          <w:i/>
        </w:rPr>
        <w:t xml:space="preserve"> as a first </w:t>
      </w:r>
      <w:r w:rsidR="00AF17EF" w:rsidRPr="000B0221">
        <w:rPr>
          <w:i/>
        </w:rPr>
        <w:t xml:space="preserve">screening </w:t>
      </w:r>
      <w:r w:rsidR="007B1DC9" w:rsidRPr="000B0221">
        <w:rPr>
          <w:i/>
        </w:rPr>
        <w:t xml:space="preserve">of patients with low muscle mass. These patients can then be referred for an additional evaluation in specialist clinical settings. </w:t>
      </w:r>
    </w:p>
    <w:p w14:paraId="70B0DF4B" w14:textId="34F0BBDC" w:rsidR="000C043A" w:rsidRPr="000B0221" w:rsidRDefault="000C043A" w:rsidP="00377240">
      <w:pPr>
        <w:pStyle w:val="ListParagraph"/>
        <w:numPr>
          <w:ilvl w:val="0"/>
          <w:numId w:val="27"/>
        </w:numPr>
        <w:spacing w:line="360" w:lineRule="auto"/>
        <w:rPr>
          <w:i/>
        </w:rPr>
      </w:pPr>
      <w:r w:rsidRPr="000B0221">
        <w:rPr>
          <w:i/>
        </w:rPr>
        <w:t xml:space="preserve">Assessment of </w:t>
      </w:r>
      <w:r w:rsidR="00C46900" w:rsidRPr="000B0221">
        <w:rPr>
          <w:i/>
        </w:rPr>
        <w:t>muscle strength</w:t>
      </w:r>
    </w:p>
    <w:p w14:paraId="502393DC" w14:textId="7523B9EF" w:rsidR="0020588F" w:rsidRPr="000B0221" w:rsidRDefault="003A7F36" w:rsidP="00377240">
      <w:pPr>
        <w:spacing w:line="360" w:lineRule="auto"/>
        <w:jc w:val="both"/>
      </w:pPr>
      <w:r w:rsidRPr="000B0221">
        <w:t>Handg</w:t>
      </w:r>
      <w:r w:rsidR="00A03F03" w:rsidRPr="000B0221">
        <w:t>rip strength appears to be the most widely used method for the measurement of muscle strength</w:t>
      </w:r>
      <w:r w:rsidR="00232F2D">
        <w:t>.</w:t>
      </w:r>
      <w:r w:rsidR="00232F2D" w:rsidRPr="000B0221">
        <w:t xml:space="preserve"> </w:t>
      </w:r>
      <w:r w:rsidR="004C2659">
        <w:t xml:space="preserve">A recent survey indicated that clinicians, both from the fields of geriatric medicine and rheumatology, prefer the use of grip strength over chest press and lower limb isokinetic dynamometry as a measure of overall muscle strength. </w:t>
      </w:r>
      <w:r w:rsidR="00A03F03" w:rsidRPr="000B0221" w:rsidDel="00A03F03">
        <w:t xml:space="preserve"> </w:t>
      </w:r>
      <w:r w:rsidR="00D50E7C" w:rsidRPr="000B0221">
        <w:fldChar w:fldCharType="begin" w:fldLock="1"/>
      </w:r>
      <w:r w:rsidR="007E0300">
        <w:instrText>ADDIN CSL_CITATION { "citationItems" : [ { "id" : "ITEM-1", "itemData" : { "DOI" : "10.1016/j.eurger.2015.12.009", "ISSN" : "18787649", "abstract" : "INTRODUCTION\nSeveral tools are available for the assessment of muscle mass, muscle strength and physical performance in clinical research. However, few data are available on the usage of these tools in clinical practice. \n\nMETHODS\nThis study aimed to assess their usage by means of a large online international survey. Since sarcopenia is a specific condition where the assessment of muscle mass, muscle strength and physical performance is important, the survey also assessed the tools used for the diagnosis of this geriatric syndrome. \n\nRESULTS\nThe survey was completed by 255 clinicians from 55 countries across 5 continents. Among these clinicians with geriatrics, rheumatology and endocrinology as major fields of interest, 53.3% assess muscle mass in daily practice, 54.5% muscle strength and 71.4% physical performance. However, the tools used are very different and no single tool is used by all clinicians. The tools and the cut-off values used by clinicians to diagnose sarcopenia are also heterogeneous. \n\nCONCLUSION\nBecause some tools used for the assessment of muscle mass, muscle strength or physical performance in daily practice are less validated than others, a greater awareness from the clinicians of the importance of using appropriate tools is needed.", "author" : [ { "dropping-particle" : "", "family" : "Bruy\u00e8re", "given" : "O.", "non-dropping-particle" : "", "parse-names" : false, "suffix" : "" }, { "dropping-particle" : "", "family" : "Beaudart", "given" : "C.", "non-dropping-particle" : "", "parse-names" : false, "suffix" : "" }, { "dropping-particle" : "", "family" : "Reginster", "given" : "J.-Y.", "non-dropping-particle" : "", "parse-names" : false, "suffix" : "" }, { "dropping-particle" : "", "family" : "Buckinx", "given" : "F.", "non-dropping-particle" : "", "parse-names" : false, "suffix" : "" }, { "dropping-particle" : "", "family" : "Schoene", "given" : "D.", "non-dropping-particle" : "", "parse-names" : false, "suffix" : "" }, { "dropping-particle" : "", "family" : "Hirani", "given" : "V.", "non-dropping-particle" : "", "parse-names" : false, "suffix" : "" }, { "dropping-particle" : "", "family" : "Cooper", "given" : "C.", "non-dropping-particle" : "", "parse-names" : false, "suffix" : "" }, { "dropping-particle" : "", "family" : "Kanis", "given" : "J.A.", "non-dropping-particle" : "", "parse-names" : false, "suffix" : "" }, { "dropping-particle" : "", "family" : "Rizzoli", "given" : "R.", "non-dropping-particle" : "", "parse-names" : false, "suffix" : "" }, { "dropping-particle" : "", "family" : "McCloskey", "given" : "E.", "non-dropping-particle" : "", "parse-names" : false, "suffix" : "" }, { "dropping-particle" : "", "family" : "Cederholm", "given" : "T.", "non-dropping-particle" : "", "parse-names" : false, "suffix" : "" }, { "dropping-particle" : "", "family" : "Cruz-Jentoft", "given" : "A.", "non-dropping-particle" : "", "parse-names" : false, "suffix" : "" }, { "dropping-particle" : "", "family" : "Freiberger", "given" : "E.", "non-dropping-particle" : "", "parse-names" : false, "suffix" : "" } ], "container-title" : "European Geriatric Medicine", "id" : "ITEM-1", "issue" : "3", "issued" : { "date-parts" : [ [ "2016" ] ] }, "page" : "243-246", "title" : "Assessment of muscle mass, muscle strength and physical performance in clinical practice: An international survey", "type" : "article-journal", "volume" : "7" }, "uris" : [ "http://www.mendeley.com/documents/?uuid=92cbc25a-f3bc-3a26-b9b8-d97af064a65c" ] } ], "mendeley" : { "formattedCitation" : "&lt;sup&gt;44&lt;/sup&gt;", "plainTextFormattedCitation" : "44", "previouslyFormattedCitation" : "&lt;sup&gt;44&lt;/sup&gt;" }, "properties" : { "noteIndex" : 0 }, "schema" : "https://github.com/citation-style-language/schema/raw/master/csl-citation.json" }</w:instrText>
      </w:r>
      <w:r w:rsidR="00D50E7C" w:rsidRPr="000B0221">
        <w:fldChar w:fldCharType="separate"/>
      </w:r>
      <w:r w:rsidR="007E0300" w:rsidRPr="007E0300">
        <w:rPr>
          <w:noProof/>
          <w:vertAlign w:val="superscript"/>
        </w:rPr>
        <w:t>44</w:t>
      </w:r>
      <w:r w:rsidR="00D50E7C" w:rsidRPr="000B0221">
        <w:fldChar w:fldCharType="end"/>
      </w:r>
      <w:r w:rsidR="00D50E7C" w:rsidRPr="000B0221">
        <w:t xml:space="preserve">. </w:t>
      </w:r>
      <w:r w:rsidR="00A03F03" w:rsidRPr="000B0221">
        <w:t xml:space="preserve"> In general</w:t>
      </w:r>
      <w:r w:rsidR="00F01B4A" w:rsidRPr="000B0221">
        <w:t xml:space="preserve">, isometric handgrip strength shows </w:t>
      </w:r>
      <w:r w:rsidR="00A03F03" w:rsidRPr="000B0221">
        <w:t xml:space="preserve">a </w:t>
      </w:r>
      <w:r w:rsidR="00F01B4A" w:rsidRPr="000B0221">
        <w:t>good correlation with leg strength</w:t>
      </w:r>
      <w:r w:rsidR="00205AC4" w:rsidRPr="000B0221">
        <w:fldChar w:fldCharType="begin" w:fldLock="1"/>
      </w:r>
      <w:r w:rsidR="007E0300">
        <w:instrText>ADDIN CSL_CITATION { "citationItems" : [ { "id" : "ITEM-1", "itemData" : { "DOI" : "10.1007/s12603-012-0388-2", "ISBN" : "1760-4788 (Electronic)\r1279-7707 (Linking)", "PMID" : "23131819", "abstract" : "INTRODUCTION: There is increasing interest in physical performance as it relates to both the current and future health of older people. It is often characterised using the Short Physical Performance Battery including assessment of gait speed, chair rises and standing balance. However this battery of tests may not be feasible in all clinical settings and simpler measures may be required. As muscle strength is central to physical performance, we explored whether grip strength could be used as a marker of the Short Physical Performance Battery. OBJECTIVE: To examine associations between grip strength and components of the Short Physical Performance Battery in older community dwelling men and women. METHODS: Grip strength measurement and the Short Physical Performance Battery were completed in 349 men and 280 women aged 63-73 years taking part in the Hertfordshire Cohort Study (HCS). Relationships between grip strength and physical performance (6m timed-up-and-go [TUG], 3m walk, chair rises and standing balance times) were analysed using linear and logistic regression, without and with adjustment for age, anthropometry, lifestyle factors and co-morbidities. RESULTS: Among men, a kilo increase in grip strength was associated with a 0.07s (second) decrease in 6m TUG, a 0.02s decrease in 3m walk time, and a 1% decrease in chair rises time (p&lt;0.001 for all). Among women, a kilo increase in grip strength was associated with a 0.13s decrease in 6m TUG, a 0.03s decrease in 3m walk time, and a 1% decrease in chair rises time (p&lt;0.001). Higher grip strength was associated with better balance among men (p=0.01) but not women (p=0.57). Adjustment for age, anthropometry, lifestyle and co-morbidities did not alter these results. CONCLUSIONS: Grip strength is a good marker of physical performance in this age group and may be more feasible than completing a short physical performance battery in some clinical settings.", "author" : [ { "dropping-particle" : "", "family" : "Stevens", "given" : "P J", "non-dropping-particle" : "", "parse-names" : false, "suffix" : "" }, { "dropping-particle" : "", "family" : "Syddall", "given" : "H E", "non-dropping-particle" : "", "parse-names" : false, "suffix" : "" }, { "dropping-particle" : "", "family" : "Patel", "given" : "H P", "non-dropping-particle" : "", "parse-names" : false, "suffix" : "" }, { "dropping-particle" : "", "family" : "Martin", "given" : "H J", "non-dropping-particle" : "", "parse-names" : false, "suffix" : "" }, { "dropping-particle" : "", "family" : "Cooper", "given" : "C", "non-dropping-particle" : "", "parse-names" : false, "suffix" : "" }, { "dropping-particle" : "", "family" : "Aihie Sayer", "given" : "A", "non-dropping-particle" : "", "parse-names" : false, "suffix" : "" } ], "container-title" : "J Nutr Health Aging", "edition" : "2012/11/08", "id" : "ITEM-1", "issue" : "9", "issued" : { "date-parts" : [ [ "2012" ] ] }, "language" : "eng", "note" : "Stevens, P J\nSyddall, H E\nPatel, H P\nMartin, H J\nCooper, C\nAihie Sayer, A\nMC_UP_A620_1014/Medical Research Council/United Kingdom\nMC_UP_A620_1015/Medical Research Council/United Kingdom\nMedical Research Council/United Kingdom\nFrance\nJ Nutr Health Aging. 2012;16(9):769-74. doi: 10.1007/s12603-012-0388-2.", "page" : "769-774", "title" : "Is grip strength a good marker of physical performance among community-dwelling older people?", "type" : "article-journal", "volume" : "16" }, "uris" : [ "http://www.mendeley.com/documents/?uuid=b02f3a77-d700-4928-a7b9-01e08dfb12ba" ] } ], "mendeley" : { "formattedCitation" : "&lt;sup&gt;56&lt;/sup&gt;", "plainTextFormattedCitation" : "56", "previouslyFormattedCitation" : "&lt;sup&gt;56&lt;/sup&gt;" }, "properties" : { "noteIndex" : 0 }, "schema" : "https://github.com/citation-style-language/schema/raw/master/csl-citation.json" }</w:instrText>
      </w:r>
      <w:r w:rsidR="00205AC4" w:rsidRPr="000B0221">
        <w:fldChar w:fldCharType="separate"/>
      </w:r>
      <w:r w:rsidR="007E0300" w:rsidRPr="007E0300">
        <w:rPr>
          <w:noProof/>
          <w:vertAlign w:val="superscript"/>
        </w:rPr>
        <w:t>56</w:t>
      </w:r>
      <w:r w:rsidR="00205AC4" w:rsidRPr="000B0221">
        <w:fldChar w:fldCharType="end"/>
      </w:r>
      <w:r w:rsidR="00F01B4A" w:rsidRPr="000B0221">
        <w:t xml:space="preserve"> and </w:t>
      </w:r>
      <w:r w:rsidR="00233FAC" w:rsidRPr="000B0221">
        <w:t>also with</w:t>
      </w:r>
      <w:r w:rsidR="00F01B4A" w:rsidRPr="000B0221">
        <w:t xml:space="preserve"> lower extremity power, knee extensio</w:t>
      </w:r>
      <w:r w:rsidR="002D777E" w:rsidRPr="000B0221">
        <w:t>n torque and calf cross-section</w:t>
      </w:r>
      <w:r w:rsidR="00F01B4A" w:rsidRPr="000B0221">
        <w:t>al muscle area</w:t>
      </w:r>
      <w:r w:rsidR="00F36542" w:rsidRPr="000B0221">
        <w:fldChar w:fldCharType="begin" w:fldLock="1"/>
      </w:r>
      <w:r w:rsidR="007E0300">
        <w:instrText>ADDIN CSL_CITATION { "citationItems" : [ { "id" : "ITEM-1", "itemData" : { "DOI" : "10.1152/japplphysiol.00246.2003", "ISBN" : "8750-7587 (Print)\r0161-7567 (Linking)", "PMID" : "14555665", "abstract" : "Sarcopenia, the reduction of muscle mass and strength that occurs with aging, is widely considered one of the major causes of disability in older persons. Surprisingly, criteria that may help a clinician to identify persons with impaired muscle function are still lacking. Using data from a large representative sample of the general population, we examined how muscle function and calf muscle area change with aging and affect mobility in men and women free of neurological conditions. We tested several putative indicators of sarcopenia, including knee extension isometric torque, handgrip, lower extremity muscle power, and calf muscle area. For each indicator, sarcopenia was considered to be present when the measure was &gt;2 SDs below the mean. For all four measures, the prevalence of sarcopenia increased with age, both in men and women. The age-associated gradient in prevalence was maximum for muscle power and minimum for calf-muscle area. However, lower extremity muscle power was no better than knee-extension torque or handgrip in the early identification of poor mobility, defined either as walking speed &lt;0.8 m/s or inability to walk at least 1 km without difficulty and without developing symptoms. Optimal cutoff values that can be used in the clinical practice to identify older persons with poor mobility were developed. The findings of the study lay the basis for a cost-effective, clinical marker of sarcopenia based on a measure of isometric handgrip strength. Our findings should be verified in a longitudinal study.", "author" : [ { "dropping-particle" : "", "family" : "Lauretani", "given" : "F", "non-dropping-particle" : "", "parse-names" : false, "suffix" : "" }, { "dropping-particle" : "", "family" : "Russo", "given" : "C 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 "family" : "Iorio", "given" : "A", "non-dropping-particle" : "Di", "parse-names" : false, "suffix" : "" }, { "dropping-particle" : "", "family" : "Corsi", "given" : "A M", "non-dropping-particle" : "", "parse-names" : false, "suffix" : "" }, { "dropping-particle" : "", "family" : "Rantanen", "given" : "T", "non-dropping-particle" : "", "parse-names" : false, "suffix" : "" }, { "dropping-particle" : "", "family" : "Guralnik", "given" : "J M", "non-dropping-particle" : "", "parse-names" : false, "suffix" : "" }, { "dropping-particle" : "", "family" : "Ferrucci", "given" : "L", "non-dropping-particle" : "", "parse-names" : false, "suffix" : "" } ], "container-title" : "J Appl Physiol (1985)", "edition" : "2003/10/14", "id" : "ITEM-1", "issue" : "5", "issued" : { "date-parts" : [ [ "2003" ] ] }, "language" : "eng", "note" : "Lauretani, Fulvio\nRusso, Cosimo Roberto\nBandinelli, Stefania\nBartali, Benedetta\nCavazzini, Chiara\nDi Iorio, Angelo\nCorsi, Anna Maria\nRantanen, Taina\nGuralnik, Jack M\nFerrucci, Luigi\n263-MD-821336/MD/NIMHD NIH HHS/\n263-MD-9164-13/MD/NIMHD NIH HHS/\nBethesda, Md. : 1985\nJ Appl Physiol (1985). 2003 Nov;95(5):1851-60.", "page" : "1851-1860", "title" : "Age-associated changes in skeletal muscles and their effect on mobility: an operational diagnosis of sarcopenia", "type" : "article-journal", "volume" : "95" }, "uris" : [ "http://www.mendeley.com/documents/?uuid=1ce67969-f87f-418a-b53c-219275c53bc7" ] }, { "id" : "ITEM-2", "itemData" : { "DOI" : "10.1002/mus.23350", "ISSN" : "1097-4598", "PMID" : "22987697", "abstract" : "INTRODUCTION: Both grip and knee extension strength are often used to characterize overall limb muscle strength. We sought to determine if the measures actually reflect a common construct.\n\nMETHODS: The isometric grip and knee extension strength of 164 healthy men and women (range, 18-85 years) were measured bilaterally using standard procedures. Pearson correlations (r), Cronbach alpha, principal components analysis, and multiple regression/correlation were used to investigate the dimensionality of the measures.\n\nRESULTS: Left and right grip forces and knee extension torques were highly correlated, internally consistent, and loaded on a single component. Gender and age explained the variance in both measures, but height added to the explanation of grip strength, whereas weight added to the explanation of knee extension strength.\n\nCONCLUSIONS: Among healthy adults, grip and knee extension strength reflect a common underlying construct. The measures, however, are affected differently by height and weight.", "author" : [ { "dropping-particle" : "", "family" : "Bohannon", "given" : "Richard W", "non-dropping-particle" : "", "parse-names" : false, "suffix" : "" }, { "dropping-particle" : "", "family" : "Magasi", "given" : "Susan R", "non-dropping-particle" : "", "parse-names" : false, "suffix" : "" }, { "dropping-particle" : "", "family" : "Bubela", "given" : "Deborah J", "non-dropping-particle" : "", "parse-names" : false, "suffix" : "" }, { "dropping-particle" : "", "family" : "Wang", "given" : "Ying-Chih", "non-dropping-particle" : "", "parse-names" : false, "suffix" : "" }, { "dropping-particle" : "", "family" : "Gershon", "given" : "Richard C", "non-dropping-particle" : "", "parse-names" : false, "suffix" : "" } ], "container-title" : "Muscle &amp; nerve", "id" : "ITEM-2", "issue" : "4", "issued" : { "date-parts" : [ [ "2012", "10" ] ] }, "page" : "555-8", "title" : "Grip and knee extension muscle strength reflect a common construct among adults.", "type" : "article-journal", "volume" : "46" }, "uris" : [ "http://www.mendeley.com/documents/?uuid=ffc9d821-826d-43a1-a74f-2fa02920dfbc" ] } ], "mendeley" : { "formattedCitation" : "&lt;sup&gt;15,57&lt;/sup&gt;", "plainTextFormattedCitation" : "15,57", "previouslyFormattedCitation" : "&lt;sup&gt;15,57&lt;/sup&gt;" }, "properties" : { "noteIndex" : 0 }, "schema" : "https://github.com/citation-style-language/schema/raw/master/csl-citation.json" }</w:instrText>
      </w:r>
      <w:r w:rsidR="00F36542" w:rsidRPr="000B0221">
        <w:fldChar w:fldCharType="separate"/>
      </w:r>
      <w:r w:rsidR="007E0300" w:rsidRPr="007E0300">
        <w:rPr>
          <w:noProof/>
          <w:vertAlign w:val="superscript"/>
        </w:rPr>
        <w:t>15,57</w:t>
      </w:r>
      <w:r w:rsidR="00F36542" w:rsidRPr="000B0221">
        <w:fldChar w:fldCharType="end"/>
      </w:r>
      <w:r w:rsidR="00205AC4" w:rsidRPr="000B0221">
        <w:t xml:space="preserve">. </w:t>
      </w:r>
      <w:r w:rsidR="00A03F03" w:rsidRPr="000B0221">
        <w:t xml:space="preserve"> The </w:t>
      </w:r>
      <w:r w:rsidR="002D777E" w:rsidRPr="000B0221">
        <w:t xml:space="preserve">measurement is easy to perform, </w:t>
      </w:r>
      <w:r w:rsidR="00163D56" w:rsidRPr="000B0221">
        <w:t xml:space="preserve">inexpensive and </w:t>
      </w:r>
      <w:r w:rsidR="002D777E" w:rsidRPr="000B0221">
        <w:t>do</w:t>
      </w:r>
      <w:r w:rsidR="00AA438D" w:rsidRPr="000B0221">
        <w:t>es</w:t>
      </w:r>
      <w:r w:rsidR="002D777E" w:rsidRPr="000B0221">
        <w:t xml:space="preserve"> </w:t>
      </w:r>
      <w:r w:rsidR="00AA438D" w:rsidRPr="000B0221">
        <w:t>not require</w:t>
      </w:r>
      <w:r w:rsidR="00232F2D">
        <w:t xml:space="preserve"> a</w:t>
      </w:r>
      <w:r w:rsidR="00AA438D" w:rsidRPr="000B0221">
        <w:t xml:space="preserve"> </w:t>
      </w:r>
      <w:r w:rsidR="00163D56" w:rsidRPr="000B0221">
        <w:t xml:space="preserve">specialist </w:t>
      </w:r>
      <w:r w:rsidR="00AA438D" w:rsidRPr="000B0221">
        <w:t>trained</w:t>
      </w:r>
      <w:r w:rsidR="002D777E" w:rsidRPr="000B0221">
        <w:t xml:space="preserve"> staff. </w:t>
      </w:r>
      <w:r w:rsidR="00E333F6" w:rsidRPr="000B0221">
        <w:t xml:space="preserve"> Standardiz</w:t>
      </w:r>
      <w:r w:rsidR="00A03F03" w:rsidRPr="000B0221">
        <w:t>ed conditions for the test</w:t>
      </w:r>
      <w:r w:rsidR="00A03F03" w:rsidRPr="000B0221">
        <w:fldChar w:fldCharType="begin" w:fldLock="1"/>
      </w:r>
      <w:r w:rsidR="007E0300">
        <w:instrText>ADDIN CSL_CITATION { "citationItems" : [ { "id" : "ITEM-1", "itemData" : { "DOI" : "10.1093/ageing/afr051", "ISBN" : "1468-2834 (Electronic)\r0002-0729 (Linking)", "PMID" : "21624928", "abstract" : "BACKGROUND: the European Working Group on Sarcopenia in Older People has developed a clinical definition of sarcopenia based on low muscle mass and reduced muscle function (strength or performance). Grip strength is recommended as a good simple measure of muscle strength when 'measured in standard conditions'. However, standard conditions remain to be defined. METHODS: a literature search was conducted to review articles describing the measurement of grip strength listed in Medline, Web of Science and Cochrane Library databases up to 31 December 2009. RESULTS: there is wide variability in the choice of equipment and protocol for measuring grip strength. The Jamar hand dynamometer is the most widely used instrument with established test-retest, inter-rater and intra-rater reliability. However, there is considerable variation in how it is used and studies often provide insufficient information on the protocol followed making comparisons difficult. There is evidence that variation in approach can affect the values recorded. Furthermore, reported summary measures of grip strength vary widely including maximum or mean value, from one, two or three attempts, with either hand or the dominant hand alone. CONCLUSIONS: there is considerable variation in current methods of assessing grip strength which makes comparison between studies difficult. A standardised method would enable more consistent measurement of grip strength and better assessment of sarcopenia. Our approach is described.", "author" : [ { "dropping-particle" : "", "family" : "Roberts", "given" : "H C", "non-dropping-particle" : "", "parse-names" : false, "suffix" : "" }, { "dropping-particle" : "", "family" : "Denison", "given" : "H J", "non-dropping-particle" : "", "parse-names" : false, "suffix" : "" }, { "dropping-particle" : "", "family" : "Martin", "given" : "H J", "non-dropping-particle" : "", "parse-names" : false, "suffix" : "" }, { "dropping-particle" : "", "family" : "Patel", "given" : "H P", "non-dropping-particle" : "", "parse-names" : false, "suffix" : "" }, { "dropping-particle" : "", "family" : "Syddall", "given" : "H", "non-dropping-particle" : "", "parse-names" : false, "suffix" : "" }, { "dropping-particle" : "", "family" : "Cooper", "given" : "C", "non-dropping-particle" : "", "parse-names" : false, "suffix" : "" }, { "dropping-particle" : "", "family" : "Sayer", "given" : "A A", "non-dropping-particle" : "", "parse-names" : false, "suffix" : "" } ], "container-title" : "Age Ageing", "edition" : "2011/06/01", "id" : "ITEM-1", "issue" : "4", "issued" : { "date-parts" : [ [ "2011" ] ] }, "language" : "eng", "note" : "Roberts, Helen C\nDenison, Hayley J\nMartin, Helen J\nPatel, Harnish P\nSyddall, Holly\nCooper, Cyrus\nSayer, Avan Aihie\nMC_UP_A620_1015/Medical Research Council/United Kingdom\nMedical Research Council/United Kingdom\nEngland\nAge Ageing. 2011 Jul;40(4):423-9. doi: 10.1093/ageing/afr051. Epub 2011 May 30.", "page" : "423-429", "title" : "A review of the measurement of grip strength in clinical and epidemiological studies: towards a standardised approach", "type" : "article-journal", "volume" : "40" }, "uris" : [ "http://www.mendeley.com/documents/?uuid=b09d4c8d-f54d-4d98-a70b-9141c8d82ac8" ] } ], "mendeley" : { "formattedCitation" : "&lt;sup&gt;58&lt;/sup&gt;", "plainTextFormattedCitation" : "58", "previouslyFormattedCitation" : "&lt;sup&gt;58&lt;/sup&gt;" }, "properties" : { "noteIndex" : 0 }, "schema" : "https://github.com/citation-style-language/schema/raw/master/csl-citation.json" }</w:instrText>
      </w:r>
      <w:r w:rsidR="00A03F03" w:rsidRPr="000B0221">
        <w:fldChar w:fldCharType="separate"/>
      </w:r>
      <w:r w:rsidR="007E0300" w:rsidRPr="007E0300">
        <w:rPr>
          <w:noProof/>
          <w:vertAlign w:val="superscript"/>
        </w:rPr>
        <w:t>58</w:t>
      </w:r>
      <w:r w:rsidR="00A03F03" w:rsidRPr="000B0221">
        <w:fldChar w:fldCharType="end"/>
      </w:r>
      <w:r w:rsidR="00C73AF7" w:rsidRPr="000B0221">
        <w:t xml:space="preserve"> include seating the subject</w:t>
      </w:r>
      <w:r w:rsidR="00A03F03" w:rsidRPr="000B0221">
        <w:t xml:space="preserve"> in a standard chair with their forearms resting flat on the arm</w:t>
      </w:r>
      <w:r w:rsidR="00232F2D">
        <w:t>chairs</w:t>
      </w:r>
      <w:r w:rsidR="00A03F03" w:rsidRPr="000B0221">
        <w:t>. Clinicians should demonstrat</w:t>
      </w:r>
      <w:r w:rsidR="000226C3" w:rsidRPr="000B0221">
        <w:t>e</w:t>
      </w:r>
      <w:r w:rsidR="00A03F03" w:rsidRPr="000B0221">
        <w:t xml:space="preserve"> </w:t>
      </w:r>
      <w:r w:rsidR="000226C3" w:rsidRPr="000B0221">
        <w:t>the</w:t>
      </w:r>
      <w:r w:rsidR="00A03F03" w:rsidRPr="000B0221">
        <w:t xml:space="preserve"> use</w:t>
      </w:r>
      <w:r w:rsidR="000226C3" w:rsidRPr="000B0221">
        <w:t xml:space="preserve"> of</w:t>
      </w:r>
      <w:r w:rsidR="00A03F03" w:rsidRPr="000B0221">
        <w:t xml:space="preserve"> the dynamometer and show that gripping very tightly registers the best score.  Six measures should be taken, 3 with each arm.  Ideally, the</w:t>
      </w:r>
      <w:r w:rsidR="0063591D">
        <w:t xml:space="preserve"> patients</w:t>
      </w:r>
      <w:r w:rsidR="00A03F03" w:rsidRPr="000B0221">
        <w:t xml:space="preserve"> should be encouraged to squeeze as </w:t>
      </w:r>
      <w:r w:rsidR="00162D8C" w:rsidRPr="000B0221">
        <w:t xml:space="preserve">hard </w:t>
      </w:r>
      <w:r w:rsidR="00A03F03" w:rsidRPr="000B0221">
        <w:t>and as tightly as possible</w:t>
      </w:r>
      <w:r w:rsidR="00032F85">
        <w:t xml:space="preserve"> during 3-5 seconds</w:t>
      </w:r>
      <w:r w:rsidR="00A03F03" w:rsidRPr="000B0221">
        <w:t xml:space="preserve"> for each of the 6 trials; usually the highest reading of the 6 measurements is reported as the final result. The Jamar dynamometer, or similar hydraulic dynamometer, is the gold standard for this measurement</w:t>
      </w:r>
      <w:r w:rsidR="00232F2D">
        <w:t xml:space="preserve">.However, </w:t>
      </w:r>
      <w:r w:rsidR="00A03F03" w:rsidRPr="000B0221">
        <w:t xml:space="preserve">for patients </w:t>
      </w:r>
      <w:r w:rsidR="00A03F03" w:rsidRPr="000B0221">
        <w:lastRenderedPageBreak/>
        <w:t>with advanced arthritis, the design of this dynamometer may be a limitation</w:t>
      </w:r>
      <w:r w:rsidR="00A03F03" w:rsidRPr="000B0221">
        <w:fldChar w:fldCharType="begin" w:fldLock="1"/>
      </w:r>
      <w:r w:rsidR="007E0300">
        <w:instrText>ADDIN CSL_CITATION { "citationItems" : [ { "id" : "ITEM-1", "itemData" : { "ISSN" : "0002-8614", "PMID" : "11943041", "abstract" : "OBJECTIVES: The purpose of this study was to assess the influence of leg power and leg strength on the physical performance of community-dwelling mobility-limited older people.\n\nDESIGN: Cross-sectional analysis of baseline data from a 12-week randomized controlled exercise-intervention study.\n\nSETTING: Exercise laboratory within the Department of Health Science of an urban university.\n\nPARTICIPANTS: Forty-five community-dwelling mobility-limited people (34 women, 11 men), aged 65 to 83.\n\nMEASUREMENTS: Health status, depression, cognition, physical activity, and falls efficacy; physiological measures of lower extremity strength and power; and measures of physical performance.\n\nRESULTS: Through bivariate analyses, leg power was significantly associated with physical performance as measured by stair-climb time, chair-stand time, tandem gait, habitual gait, maximal gait, and the short physical performance battery describing between 12% and 45% of the variance (R2). Although leg power and leg strength were greatly correlated (r = .89) in a comparison of bivariate analyses of strength or power with physical performance, leg power modeled up to 8% more of the variance for five of six physical performance measures. Despite limitations in sample size, it appeared that, through quadratic modeling,the influence of leg power on physical performance was curvilinear. Using separate multivariate analyses, partial R2 values for leg power and leg strength were compared, demonstrating that leg power accounted for 2% to 8% more of the variance with all measures of physical performance.\n\nCONCLUSION: Leg power is an important factor influencing the physical performance of mobility-limited older people. Although related to strength, it is a separate attribute that may exert a greater influence on physical performance. These findings have important implications for clinicians practicing geriatric rehabilitation.", "author" : [ { "dropping-particle" : "", "family" : "Bean", "given" : "Jonathan F", "non-dropping-particle" : "", "parse-names" : false, "suffix" : "" }, { "dropping-particle" : "", "family" : "Kiely", "given" : "Dan K", "non-dropping-particle" : "", "parse-names" : false, "suffix" : "" }, { "dropping-particle" : "", "family" : "Herman", "given" : "Seth", "non-dropping-particle" : "", "parse-names" : false, "suffix" : "" }, { "dropping-particle" : "", "family" : "Leveille", "given" : "Suzanne G", "non-dropping-particle" : "", "parse-names" : false, "suffix" : "" }, { "dropping-particle" : "", "family" : "Mizer", "given" : "Kelly", "non-dropping-particle" : "", "parse-names" : false, "suffix" : "" }, { "dropping-particle" : "", "family" : "Frontera", "given" : "Walter R", "non-dropping-particle" : "", "parse-names" : false, "suffix" : "" }, { "dropping-particle" : "", "family" : "Fielding", "given" : "Roger A", "non-dropping-particle" : "", "parse-names" : false, "suffix" : "" } ], "container-title" : "Journal of the American Geriatrics Society", "id" : "ITEM-1", "issue" : "3", "issued" : { "date-parts" : [ [ "2002", "3" ] ] }, "page" : "461-7", "title" : "The relationship between leg power and physical performance in mobility-limited older people.", "type" : "article-journal", "volume" : "50" }, "uris" : [ "http://www.mendeley.com/documents/?uuid=41b9ec8f-4e61-4c40-ae2e-73268404a7f0" ] } ], "mendeley" : { "formattedCitation" : "&lt;sup&gt;59&lt;/sup&gt;", "plainTextFormattedCitation" : "59", "previouslyFormattedCitation" : "&lt;sup&gt;59&lt;/sup&gt;" }, "properties" : { "noteIndex" : 0 }, "schema" : "https://github.com/citation-style-language/schema/raw/master/csl-citation.json" }</w:instrText>
      </w:r>
      <w:r w:rsidR="00A03F03" w:rsidRPr="000B0221">
        <w:fldChar w:fldCharType="separate"/>
      </w:r>
      <w:r w:rsidR="007E0300" w:rsidRPr="007E0300">
        <w:rPr>
          <w:noProof/>
          <w:vertAlign w:val="superscript"/>
        </w:rPr>
        <w:t>59</w:t>
      </w:r>
      <w:r w:rsidR="00A03F03" w:rsidRPr="000B0221">
        <w:fldChar w:fldCharType="end"/>
      </w:r>
      <w:r w:rsidR="00A03F03" w:rsidRPr="000B0221">
        <w:t>. A pneumatic dynamometer, such as the Martin vigorimeter, may be a good alternative</w:t>
      </w:r>
      <w:r w:rsidR="00232F2D">
        <w:t>.W</w:t>
      </w:r>
      <w:r w:rsidR="00A03F03" w:rsidRPr="000B0221">
        <w:t xml:space="preserve">ith this device, </w:t>
      </w:r>
      <w:r w:rsidR="0063591D">
        <w:t>patient</w:t>
      </w:r>
      <w:r w:rsidR="00A03F03" w:rsidRPr="000B0221">
        <w:t>s try to squeeze rubber balls (available in three sizes) with the same protocol as that used for the Jamar</w:t>
      </w:r>
      <w:r w:rsidR="000226C3" w:rsidRPr="000B0221">
        <w:t xml:space="preserve"> dynamometer</w:t>
      </w:r>
      <w:r w:rsidR="00A03F03" w:rsidRPr="000B0221">
        <w:t>.</w:t>
      </w:r>
      <w:r w:rsidR="00C73AF7" w:rsidRPr="000B0221">
        <w:t xml:space="preserve"> </w:t>
      </w:r>
      <w:r w:rsidR="00A03F03" w:rsidRPr="000B0221">
        <w:t>A variety of thresholds of grip strength have been proposed to characterize low muscle strength, ranging from 1</w:t>
      </w:r>
      <w:r w:rsidR="00976F90" w:rsidRPr="000B0221">
        <w:t xml:space="preserve">6-20 kg for women </w:t>
      </w:r>
      <w:r w:rsidR="00A03F03" w:rsidRPr="000B0221">
        <w:t>and 26-30 kg for men</w:t>
      </w:r>
      <w:r w:rsidR="00976F90" w:rsidRPr="000B0221">
        <w:fldChar w:fldCharType="begin" w:fldLock="1"/>
      </w:r>
      <w:r w:rsidR="007E0300">
        <w:instrText>ADDIN CSL_CITATION { "citationItems" : [ { "id" : "ITEM-1", "itemData" : { "DOI" : "10.1152/japplphysiol.00246.2003", "ISBN" : "8750-7587 (Print)\r0161-7567 (Linking)", "PMID" : "14555665", "abstract" : "Sarcopenia, the reduction of muscle mass and strength that occurs with aging, is widely considered one of the major causes of disability in older persons. Surprisingly, criteria that may help a clinician to identify persons with impaired muscle function are still lacking. Using data from a large representative sample of the general population, we examined how muscle function and calf muscle area change with aging and affect mobility in men and women free of neurological conditions. We tested several putative indicators of sarcopenia, including knee extension isometric torque, handgrip, lower extremity muscle power, and calf muscle area. For each indicator, sarcopenia was considered to be present when the measure was &gt;2 SDs below the mean. For all four measures, the prevalence of sarcopenia increased with age, both in men and women. The age-associated gradient in prevalence was maximum for muscle power and minimum for calf-muscle area. However, lower extremity muscle power was no better than knee-extension torque or handgrip in the early identification of poor mobility, defined either as walking speed &lt;0.8 m/s or inability to walk at least 1 km without difficulty and without developing symptoms. Optimal cutoff values that can be used in the clinical practice to identify older persons with poor mobility were developed. The findings of the study lay the basis for a cost-effective, clinical marker of sarcopenia based on a measure of isometric handgrip strength. Our findings should be verified in a longitudinal study.", "author" : [ { "dropping-particle" : "", "family" : "Lauretani", "given" : "F", "non-dropping-particle" : "", "parse-names" : false, "suffix" : "" }, { "dropping-particle" : "", "family" : "Russo", "given" : "C 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 "family" : "Iorio", "given" : "A", "non-dropping-particle" : "Di", "parse-names" : false, "suffix" : "" }, { "dropping-particle" : "", "family" : "Corsi", "given" : "A M", "non-dropping-particle" : "", "parse-names" : false, "suffix" : "" }, { "dropping-particle" : "", "family" : "Rantanen", "given" : "T", "non-dropping-particle" : "", "parse-names" : false, "suffix" : "" }, { "dropping-particle" : "", "family" : "Guralnik", "given" : "J M", "non-dropping-particle" : "", "parse-names" : false, "suffix" : "" }, { "dropping-particle" : "", "family" : "Ferrucci", "given" : "L", "non-dropping-particle" : "", "parse-names" : false, "suffix" : "" } ], "container-title" : "J Appl Physiol (1985)", "edition" : "2003/10/14", "id" : "ITEM-1", "issue" : "5", "issued" : { "date-parts" : [ [ "2003" ] ] }, "language" : "eng", "note" : "Lauretani, Fulvio\nRusso, Cosimo Roberto\nBandinelli, Stefania\nBartali, Benedetta\nCavazzini, Chiara\nDi Iorio, Angelo\nCorsi, Anna Maria\nRantanen, Taina\nGuralnik, Jack M\nFerrucci, Luigi\n263-MD-821336/MD/NIMHD NIH HHS/\n263-MD-9164-13/MD/NIMHD NIH HHS/\nBethesda, Md. : 1985\nJ Appl Physiol (1985). 2003 Nov;95(5):1851-60.", "page" : "1851-1860", "title" : "Age-associated changes in skeletal muscles and their effect on mobility: an operational diagnosis of sarcopenia", "type" : "article-journal", "volume" : "95" }, "uris" : [ "http://www.mendeley.com/documents/?uuid=c4677079-7ea9-4452-8553-6b6bd2a81145" ] }, { "id" : "ITEM-2", "itemData" : { "DOI" : "10.1093/gerona/glu010", "ISSN" : "1758-535X", "PMID" : "24737557", "abstract" : "BACKGROUND: 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manuscripts.\n\nMETHODS: 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groups.\n\nRESULTS: The pooled sample included 26,625 participants (57% women, mean age in men 75.2 [\u00b16.1 SD] and in women 78.6 [\u00b15.9]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women.\n\nCONCLUSIONS: These evidence-based cutpoints, based on a large and diverse population, may help identify participants for clinical trials and should be evaluated among populations with high rates of functional limitations.", "author" : [ { "dropping-particle" : "", "family" : "Studenski", "given" : "Stephanie A", "non-dropping-particle" : "", "parse-names" : false, "suffix" : "" }, { "dropping-particle" : "", "family" : "Peters", "given" : "Katherine W", "non-dropping-particle" : "", "parse-names" : false, "suffix" : "" }, { "dropping-particle" : "", "family" : "Alley", "given" : "Dawn E", "non-dropping-particle" : "", "parse-names" : false, "suffix" : "" }, { "dropping-particle" : "", "family" : "Cawthon", "given" : "Peggy M", "non-dropping-particle" : "", "parse-names" : false, "suffix" : "" }, { "dropping-particle" : "", "family" : "McLean", "given" : "Robert R", "non-dropping-particle" : "", "parse-names" : false, "suffix" : "" }, { "dropping-particle" : "", "family" : "Harris", "given" : "Tamara B", "non-dropping-particle" : "", "parse-names" : false, "suffix" : "" }, { "dropping-particle" : "", "family" : "Ferrucci", "given" : "Luigi", "non-dropping-particle" : "", "parse-names" : false, "suffix" : "" }, { "dropping-particle" : "", "family" : "Guralnik", "given" : "Jack M", "non-dropping-particle" : "", "parse-names" : false, "suffix" : "" }, { "dropping-particle" : "", "family" : "Fragala", "given" : "Maren S", "non-dropping-particle" : "", "parse-names" : false, "suffix" : "" }, { "dropping-particle" : "", "family" : "Kenny", "given" : "Anne M", "non-dropping-particle" : "", "parse-names" : false, "suffix" : "" }, { "dropping-particle" : "", "family" : "Kiel", "given" : "Douglas P", "non-dropping-particle" : "", "parse-names" : false, "suffix" : "" }, { "dropping-particle" : "", "family" : "Kritchevsky", "given" : "Stephen B", "non-dropping-particle" : "", "parse-names" : false, "suffix" : "" }, { "dropping-particle" : "", "family" : "Shardell", "given" : "Michelle D", "non-dropping-particle" : "", "parse-names" : false, "suffix" : "" }, { "dropping-particle" : "", "family" : "Dam", "given" : "Thuy-Tien L", "non-dropping-particle" : "", "parse-names" : false, "suffix" : "" }, { "dropping-particle" : "", "family" : "Vassileva", "given" : "Maria T", "non-dropping-particle" : "", "parse-names" : false, "suffix" : "" } ], "container-title" : "The journals of gerontology. Series A, Biological sciences and medical sciences", "id" : "ITEM-2", "issue" : "5", "issued" : { "date-parts" : [ [ "2014", "5" ] ] }, "page" : "547-58", "title" : "The FNIH sarcopenia project: rationale, study description, conference recommendations, and final estimates.", "type" : "article-journal", "volume" : "69" }, "uris" : [ "http://www.mendeley.com/documents/?uuid=6e4e94fb-1e9f-491f-87b7-c5d621323b4b" ] }, { "id" : "ITEM-3", "itemData" : { "DOI" : "10.1371/journal.pone.0113637", "ISSN" : "1932-6203", "PMID" : "25474696", "abstract" : "INTRODUCTION: 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protocol.\n\nMETHODS: 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standing).\n\nRESULTS: 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position.\n\nCONCLUSION: 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 "author" : [ { "dropping-particle" : "", "family" : "Dodds", "given" : "Richard M", "non-dropping-particle" : "", "parse-names" : false, "suffix" : "" }, { "dropping-particle" : "", "family" : "Syddall", "given" : "Holly E", "non-dropping-particle" : "", "parse-names" : false, "suffix" : "" }, { "dropping-particle" : "", "family" : "Cooper", "given" : "Rachel", "non-dropping-particle" : "", "parse-names" : false, "suffix" : "" }, { "dropping-particle" : "", "family" : "Benzeval", "given" : "Michaela", "non-dropping-particle" : "", "parse-names" : false, "suffix" : "" }, { "dropping-particle" : "", "family" : "Deary", "given" : "Ian J", "non-dropping-particle" : "", "parse-names" : false, "suffix" : "" }, { "dropping-particle" : "", "family" : "Dennison", "given" : "Elaine M", "non-dropping-particle" : "", "parse-names" : false, "suffix" : "" }, { "dropping-particle" : "", "family" : "Der", "given" : "Geoff", "non-dropping-particle" : "", "parse-names" : false, "suffix" : "" }, { "dropping-particle" : "", "family" : "Gale", "given" : "Catharine R", "non-dropping-particle" : "", "parse-names" : false, "suffix" : "" }, { "dropping-particle" : "", "family" : "Inskip", "given" : "Hazel M", "non-dropping-particle" : "", "parse-names" : false, "suffix" : "" }, { "dropping-particle" : "", "family" : "Jagger", "given" : "Carol", "non-dropping-particle" : "", "parse-names" : false, "suffix" : "" }, { "dropping-particle" : "", "family" : "Kirkwood", "given" : "Thomas B", "non-dropping-particle" : "", "parse-names" : false, "suffix" : "" }, { "dropping-particle" : "", "family" : "Lawlor", "given" : "Debbie A", "non-dropping-particle" : "", "parse-names" : false, "suffix" : "" }, { "dropping-particle" : "", "family" : "Robinson", "given" : "Sian M", "non-dropping-particle" : "", "parse-names" : false, "suffix" : "" }, { "dropping-particle" : "", "family" : "Starr", "given" : "John M", "non-dropping-particle" : "", "parse-names" : false, "suffix" : "" }, { "dropping-particle" : "", "family" : "Steptoe", "given" : "Andrew", "non-dropping-particle" : "", "parse-names" : false, "suffix" : "" }, { "dropping-particle" : "", "family" : "Tilling", "given" : "Kate", "non-dropping-particle" : "", "parse-names" : false, "suffix" : "" }, { "dropping-particle" : "", "family" : "Kuh", "given" : "Diana", "non-dropping-particle" : "", "parse-names" : false, "suffix" : "" }, { "dropping-particle" : "", "family" : "Cooper", "given" : "Cyrus", "non-dropping-particle" : "", "parse-names" : false, "suffix" : "" }, { "dropping-particle" : "", "family" : "Sayer", "given" : "Avan Aihie", "non-dropping-particle" : "", "parse-names" : false, "suffix" : "" } ], "container-title" : "PloS one", "id" : "ITEM-3", "issue" : "12", "issued" : { "date-parts" : [ [ "2014", "1" ] ] }, "page" : "e113637", "title" : "Grip strength across the life course: normative data from twelve British studies.", "type" : "article-journal", "volume" : "9" }, "uris" : [ "http://www.mendeley.com/documents/?uuid=78d05b0e-f0e7-4c03-bb72-878edfb37a84" ] }, { "id" : "ITEM-4", "itemData" : { "DOI" : "10.1258/ht.2011.011023", "ISSN" : "1758-9983", "author" : [ { "dropping-particle" : "", "family" : "Anjum", "given" : "S. N.", "non-dropping-particle" : "", "parse-names" : false, "suffix" : "" }, { "dropping-particle" : "", "family" : "Choudary", "given" : "P.", "non-dropping-particle" : "", "parse-names" : false, "suffix" : "" }, { "dropping-particle" : "", "family" : "Dimri", "given" : "R.", "non-dropping-particle" : "", "parse-names" : false, "suffix" : "" }, { "dropping-particle" : "", "family" : "Ankarath", "given" : "S.", "non-dropping-particle" : "", "parse-names" : false, "suffix" : "" } ], "container-title" : "Hand Therapy", "id" : "ITEM-4", "issue" : "1", "issued" : { "date-parts" : [ [ "2012", "2", "2" ] ] }, "language" : "en", "page" : "11-14", "publisher" : "SAGE Publications", "title" : "Comparative evaluation of grip and pinch strength in an Asian and European population", "type" : "article-journal", "volume" : "17" }, "uris" : [ "http://www.mendeley.com/documents/?uuid=6ee75486-81b3-49d9-86fa-690a648ec7a3" ] } ], "mendeley" : { "formattedCitation" : "&lt;sup&gt;7,15,60,61&lt;/sup&gt;", "plainTextFormattedCitation" : "7,15,60,61", "previouslyFormattedCitation" : "&lt;sup&gt;7,15,60,61&lt;/sup&gt;" }, "properties" : { "noteIndex" : 0 }, "schema" : "https://github.com/citation-style-language/schema/raw/master/csl-citation.json" }</w:instrText>
      </w:r>
      <w:r w:rsidR="00976F90" w:rsidRPr="000B0221">
        <w:fldChar w:fldCharType="separate"/>
      </w:r>
      <w:r w:rsidR="007E0300" w:rsidRPr="007E0300">
        <w:rPr>
          <w:noProof/>
          <w:vertAlign w:val="superscript"/>
        </w:rPr>
        <w:t>7,15,60,61</w:t>
      </w:r>
      <w:r w:rsidR="00976F90" w:rsidRPr="000B0221">
        <w:fldChar w:fldCharType="end"/>
      </w:r>
      <w:r w:rsidR="00976F90" w:rsidRPr="000B0221">
        <w:t>.</w:t>
      </w:r>
      <w:r w:rsidR="00BE1808" w:rsidRPr="000B0221">
        <w:t xml:space="preserve"> </w:t>
      </w:r>
      <w:r w:rsidR="004E035A" w:rsidRPr="000B0221">
        <w:t>Lower limb muscle strength</w:t>
      </w:r>
      <w:r w:rsidR="00163D56" w:rsidRPr="000B0221">
        <w:t>, most frequently of the quadriceps,</w:t>
      </w:r>
      <w:r w:rsidR="004E035A" w:rsidRPr="000B0221">
        <w:t xml:space="preserve"> can also be measured</w:t>
      </w:r>
      <w:r w:rsidR="00163D56" w:rsidRPr="000B0221">
        <w:t>.  C</w:t>
      </w:r>
      <w:r w:rsidR="004E035A" w:rsidRPr="000B0221">
        <w:t xml:space="preserve">ommercial </w:t>
      </w:r>
      <w:r w:rsidR="00AA438D" w:rsidRPr="000B0221">
        <w:t xml:space="preserve">dynamometers </w:t>
      </w:r>
      <w:r w:rsidR="00163D56" w:rsidRPr="000B0221">
        <w:t>can enable</w:t>
      </w:r>
      <w:r w:rsidR="004E035A" w:rsidRPr="000B0221">
        <w:t xml:space="preserve"> isometric and</w:t>
      </w:r>
      <w:r w:rsidR="00163D56" w:rsidRPr="000B0221">
        <w:t>/or</w:t>
      </w:r>
      <w:r w:rsidR="004E035A" w:rsidRPr="000B0221">
        <w:t xml:space="preserve"> isokinetic measurement</w:t>
      </w:r>
      <w:r w:rsidR="00163D56" w:rsidRPr="000B0221">
        <w:t>s</w:t>
      </w:r>
      <w:r w:rsidR="004E035A" w:rsidRPr="000B0221">
        <w:t xml:space="preserve"> of strength. Even if these measurement</w:t>
      </w:r>
      <w:r w:rsidR="00232F2D">
        <w:t>s</w:t>
      </w:r>
      <w:r w:rsidR="004E035A" w:rsidRPr="000B0221">
        <w:t xml:space="preserve"> are feasible in frail people</w:t>
      </w:r>
      <w:r w:rsidR="00B63A53" w:rsidRPr="000B0221">
        <w:fldChar w:fldCharType="begin" w:fldLock="1"/>
      </w:r>
      <w:r w:rsidR="007E0300">
        <w:instrText>ADDIN CSL_CITATION { "citationItems" : [ { "id" : "ITEM-1", "itemData" : { "ISSN" : "1079-5006", "PMID" : "10843356", "abstract" : "BACKGROUND: The relative importance and association of factors contributing to physical frailty in elderly persons are unclear.\n\nMETHODS: Physical measures of upper and lower extremity strength, range of motion, balance, coordination, sensation, and gait were evaluated in relation to scores obtained on a 36-point physical performance test (PPT) in 107 elderly subjects.\n\nRESULTS: Scores on the PPT were significantly associated with the measures of strength and balance, gait, several range of motion values, and sensation. Subjects were also grouped according to score on the PPT as not frail (32-36 points), mildly frail (25-31 points), or moderately frail (17-24 points). ANOVA followed by Bonferroni post hoc analyses were used to examine the relationships of physical measures to this index of frailty. Balance measures, an obstacle course, the Berg scale, the full tandem portion of the Romberg test, and fast gait speed were significantly different among the three groups. Multiple stepwise regression analyses indicated that the strongest combination of variables, explaining 73% of all the variance in the PPT, included obstacle course performance, hip abduction strength, the semitandem portion of the Romberg test, and coordination (pegboard).\n\nCONCLUSIONS: Results provide further insight into the relative importance of factors that contribute to frailty and factors that should be considered in treatment planning for the remediation of physical frailty in old adults.", "author" : [ { "dropping-particle" : "", "family" : "Brown", "given" : "M", "non-dropping-particle" : "", "parse-names" : false, "suffix" : "" }, { "dropping-particle" : "", "family" : "Sinacore", "given" : "D R", "non-dropping-particle" : "", "parse-names" : false, "suffix" : "" }, { "dropping-particle" : "", "family" : "Binder", "given" : "E F", "non-dropping-particle" : "", "parse-names" : false, "suffix" : "" }, { "dropping-particle" : "", "family" : "Kohrt", "given" : "W M", "non-dropping-particle" : "", "parse-names" : false, "suffix" : "" } ], "container-title" : "The journals of gerontology. Series A, Biological sciences and medical sciences", "id" : "ITEM-1", "issue" : "6", "issued" : { "date-parts" : [ [ "2000", "6" ] ] }, "page" : "M350-5", "title" : "Physical and performance measures for the identification of mild to moderate frailty.", "type" : "article-journal", "volume" : "55" }, "uris" : [ "http://www.mendeley.com/documents/?uuid=0eb6620b-7c21-420d-8dd2-5c267e8c7f9a" ] }, { "id" : "ITEM-2", "itemData" : { "ISBN" : "1594-0667 (Print)\r1594-0667 (Linking)", "PMID" : "17607086", "abstract" : "BACKGROUND AND AIMS: The purpose of this study was to assess the reliability and concurrent validity of a new methodology to evaluate lower extremity muscle power in older, functionally limited men and women. METHODS: A cross sectional evaluation was performed on 58 older men (n=27) and women (n=31) (74.2+/-0.9 years). Knee and hip (leg press) and knee extensor power were evaluated on pneumatic and isokinetic resistance equipment. Incremental single attempt power (IP) testing utilized a single attempt at attaining maximum power at each of six external resistances and was compared to multiple attempt pneumatic power (MP) testing determined by the highest of 5 attempts at achieving maximum power at two set resistances and also with power determined by isokinetic dynamometry. RESULTS: Leg press extension MP yielded significantly greater power than IP at both low (mean=225.3+/-11.85 and 183.9+/-11.52 watts respectively, p&lt;0.001) and high (mean=249.7+/-15.25 and 201.7+/-13.18 watts respectively, p&lt;0.001) external resistances. Knee extension MP also produced significantly greater power when compared to IP at low (mean=82.4+/-4.45 and 69.7+/-4.28 watts respectively, p&lt;0.001) and high (mean=93.7+/-6.3 and 83.2+/-5.93 watts respectively, p&lt;0.001) external resistances. MP testing exhibited excellent reliability at both low (leg press extension: Intra Class Correlation (ICC)=0.93, knee extension: ICC=0.87) and high (Leg press extension: ICC=0.85, Knee Extension: ICC=0.91) external resistances. MP knee extension at 70% 1 RM also showed good agreement with average isokinetic power (R2=0.636). CONCLUSIONS: These findings support the reliability and concurrent validity of MP for the evaluation of muscle power in older individuals.", "author" : [ { "dropping-particle" : "", "family" : "Callahan", "given" : "D", "non-dropping-particle" : "", "parse-names" : false, "suffix" : "" }, { "dropping-particle" : "", "family" : "Phillips", "given" : "E", "non-dropping-particle" : "", "parse-names" : false, "suffix" : "" }, { "dropping-particle" : "", "family" : "Carabello", "given" : "R", "non-dropping-particle" : "", "parse-names" : false, "suffix" : "" }, { "dropping-particle" : "", "family" : "Frontera", "given" : "W R", "non-dropping-particle" : "", "parse-names" : false, "suffix" : "" }, { "dropping-particle" : "", "family" : "Fielding", "given" : "R A", "non-dropping-particle" : "", "parse-names" : false, "suffix" : "" } ], "container-title" : "Aging Clin Exp Res", "edition" : "2007/07/04", "id" : "ITEM-2", "issue" : "3", "issued" : { "date-parts" : [ [ "2007" ] ] }, "language" : "eng", "note" : "Callahan, Damien\nPhillips, Edward\nCarabello, Robert\nFrontera, Walter R\nFielding, Roger A\n2 P50 AG05134/AG/NIA NIH HHS/\n2 P60 AG08812/AG/NIA NIH HHS/\n5 P01 AG04390/AG/NIA NIH HHS/\nAG18844/AG/NIA NIH HHS/\nItaly\nAging Clin Exp Res. 2007 Jun;19(3):194-9.", "page" : "194-199", "title" : "Assessment of lower extremity muscle power in functionally-limited elders", "type" : "article-journal", "volume" : "19" }, "uris" : [ "http://www.mendeley.com/documents/?uuid=6a489631-21cf-40d0-b72f-4a1f97e8e4c0" ] } ], "mendeley" : { "formattedCitation" : "&lt;sup&gt;62,63&lt;/sup&gt;", "plainTextFormattedCitation" : "62,63", "previouslyFormattedCitation" : "&lt;sup&gt;62,63&lt;/sup&gt;" }, "properties" : { "noteIndex" : 0 }, "schema" : "https://github.com/citation-style-language/schema/raw/master/csl-citation.json" }</w:instrText>
      </w:r>
      <w:r w:rsidR="00B63A53" w:rsidRPr="000B0221">
        <w:fldChar w:fldCharType="separate"/>
      </w:r>
      <w:r w:rsidR="007E0300" w:rsidRPr="007E0300">
        <w:rPr>
          <w:noProof/>
          <w:vertAlign w:val="superscript"/>
        </w:rPr>
        <w:t>62,63</w:t>
      </w:r>
      <w:r w:rsidR="00B63A53" w:rsidRPr="000B0221">
        <w:fldChar w:fldCharType="end"/>
      </w:r>
      <w:r w:rsidR="00B63A53" w:rsidRPr="000B0221">
        <w:t xml:space="preserve">, </w:t>
      </w:r>
      <w:r w:rsidR="008003A6" w:rsidRPr="000B0221">
        <w:t xml:space="preserve">they are often limited in </w:t>
      </w:r>
      <w:r w:rsidR="00AA438D" w:rsidRPr="000B0221">
        <w:t xml:space="preserve">clinical practice by their </w:t>
      </w:r>
      <w:r w:rsidR="00D45A46" w:rsidRPr="000B0221">
        <w:t xml:space="preserve">relative expense, </w:t>
      </w:r>
      <w:r w:rsidR="00AA438D" w:rsidRPr="000B0221">
        <w:t xml:space="preserve">the need </w:t>
      </w:r>
      <w:r w:rsidR="008003A6" w:rsidRPr="000B0221">
        <w:t>t</w:t>
      </w:r>
      <w:r w:rsidR="00AA438D" w:rsidRPr="000B0221">
        <w:t xml:space="preserve">o purchase dedicated </w:t>
      </w:r>
      <w:r w:rsidR="005D53E6" w:rsidRPr="000B0221">
        <w:t>equipment</w:t>
      </w:r>
      <w:r w:rsidR="00544ECF" w:rsidRPr="000B0221">
        <w:t>,</w:t>
      </w:r>
      <w:r w:rsidR="008003A6" w:rsidRPr="000B0221">
        <w:t xml:space="preserve"> </w:t>
      </w:r>
      <w:r w:rsidR="00D45A46" w:rsidRPr="000B0221">
        <w:t xml:space="preserve">the </w:t>
      </w:r>
      <w:r w:rsidR="00BB0C77" w:rsidRPr="000B0221">
        <w:t xml:space="preserve">lack </w:t>
      </w:r>
      <w:r w:rsidR="00D45A46" w:rsidRPr="000B0221">
        <w:t xml:space="preserve">of </w:t>
      </w:r>
      <w:r w:rsidR="00AA438D" w:rsidRPr="000B0221">
        <w:t>train</w:t>
      </w:r>
      <w:r w:rsidR="00D45A46" w:rsidRPr="000B0221">
        <w:t xml:space="preserve">ed </w:t>
      </w:r>
      <w:r w:rsidR="00AA438D" w:rsidRPr="000B0221">
        <w:t>staff</w:t>
      </w:r>
      <w:r w:rsidR="00544ECF" w:rsidRPr="000B0221">
        <w:t xml:space="preserve"> and limited data in </w:t>
      </w:r>
      <w:r w:rsidR="00B11F75">
        <w:t>older</w:t>
      </w:r>
      <w:r w:rsidR="00B11F75" w:rsidRPr="000B0221">
        <w:t xml:space="preserve"> </w:t>
      </w:r>
      <w:r w:rsidR="00544ECF" w:rsidRPr="000B0221">
        <w:t>populations</w:t>
      </w:r>
      <w:r w:rsidR="008003A6" w:rsidRPr="000B0221">
        <w:t xml:space="preserve">. </w:t>
      </w:r>
      <w:r w:rsidR="00970DC5" w:rsidRPr="000B0221">
        <w:t>However, the repeated chair stand test</w:t>
      </w:r>
      <w:r w:rsidR="00E14D68" w:rsidRPr="000B0221">
        <w:t xml:space="preserve">, which is a timed test requiring </w:t>
      </w:r>
      <w:r w:rsidR="0063591D">
        <w:t>participants</w:t>
      </w:r>
      <w:r w:rsidR="00E14D68" w:rsidRPr="000B0221">
        <w:t xml:space="preserve"> to rise from a chair without using their arms and return to the seated position, consecutively, for five times,</w:t>
      </w:r>
      <w:r w:rsidR="00970DC5" w:rsidRPr="000B0221">
        <w:t xml:space="preserve"> has been shown to be able to provide a reasonably reliable and valid </w:t>
      </w:r>
      <w:r w:rsidR="006E3A97" w:rsidRPr="000B0221">
        <w:t xml:space="preserve">indication </w:t>
      </w:r>
      <w:r w:rsidR="00970DC5" w:rsidRPr="000B0221">
        <w:t>of lower body strength</w:t>
      </w:r>
      <w:r w:rsidR="00970DC5" w:rsidRPr="000B0221">
        <w:fldChar w:fldCharType="begin" w:fldLock="1"/>
      </w:r>
      <w:r w:rsidR="007E0300">
        <w:instrText>ADDIN CSL_CITATION { "citationItems" : [ { "id" : "ITEM-1", "itemData" : { "DOI" : "10.1080/02701367.1999.10608028", "ISSN" : "0270-1367", "PMID" : "10380242", "abstract" : "Measuring lower body strength is critical in evaluating the functional performance of older adults. The purpose of this study was to assess the test-retest reliability and the criterion-related and construct validity of a 30-s chair stand as a measure of lower body strength in adults over the age of 60 years. Seventy-six community-dwelling older adults (M age = 70.5 years) volunteered to participate in the study, which involved performing two 30-s chair-stand tests and two maximum leg-press tests, each conducted on separate days 2-5 days apart. Test-retest intraclass correlations of .84 for men and .92 for women, utilizing one-way analysis of variance procedures appropriate for a single trial, together with a nonsignificant change in scores from Day 1 testing to Day 2, indicate that the 30-s chair stand has good stability reliability. A moderately high correlation between chair-stand performance and maximum weight-adjusted leg-press performance for both men and women (r = .78 and .71, respectively) supports the criterion-related validity of the chair stand as a measure of lower body strength. Construct (or discriminant) validity of the chair stand was demonstrated by the test's ability to detect differences between various age and physical activity level groups. As expected, chair-stand performance decreased significantly across age groups in decades--from the 60s to the 70s to the 80s (p &lt; .01) and was significantly lower for low-active participants than for high-active participants (p &lt; .0001). It was concluded that the 30-s chair stand provides a reasonably reliable and valid indicator of lower body strength in generally active, community-dwelling older adults.", "author" : [ { "dropping-particle" : "", "family" : "Jones", "given" : "C J", "non-dropping-particle" : "", "parse-names" : false, "suffix" : "" }, { "dropping-particle" : "", "family" : "Rikli", "given" : "R E", "non-dropping-particle" : "", "parse-names" : false, "suffix" : "" }, { "dropping-particle" : "", "family" : "Beam", "given" : "W C", "non-dropping-particle" : "", "parse-names" : false, "suffix" : "" } ], "container-title" : "Research quarterly for exercise and sport", "id" : "ITEM-1", "issue" : "2", "issued" : { "date-parts" : [ [ "1999", "6" ] ] }, "page" : "113-9", "title" : "A 30-s chair-stand test as a measure of lower body strength in community-residing older adults.", "type" : "article-journal", "volume" : "70" }, "uris" : [ "http://www.mendeley.com/documents/?uuid=e8c31c61-fb5d-44d5-8cca-2e92e5bfa95f" ] } ], "mendeley" : { "formattedCitation" : "&lt;sup&gt;64&lt;/sup&gt;", "plainTextFormattedCitation" : "64", "previouslyFormattedCitation" : "&lt;sup&gt;64&lt;/sup&gt;" }, "properties" : { "noteIndex" : 0 }, "schema" : "https://github.com/citation-style-language/schema/raw/master/csl-citation.json" }</w:instrText>
      </w:r>
      <w:r w:rsidR="00970DC5" w:rsidRPr="000B0221">
        <w:fldChar w:fldCharType="separate"/>
      </w:r>
      <w:r w:rsidR="007E0300" w:rsidRPr="007E0300">
        <w:rPr>
          <w:noProof/>
          <w:vertAlign w:val="superscript"/>
        </w:rPr>
        <w:t>64</w:t>
      </w:r>
      <w:r w:rsidR="00970DC5" w:rsidRPr="000B0221">
        <w:fldChar w:fldCharType="end"/>
      </w:r>
      <w:r w:rsidR="00970DC5" w:rsidRPr="000B0221">
        <w:t>.</w:t>
      </w:r>
      <w:r w:rsidR="001E1296" w:rsidRPr="000B0221">
        <w:t xml:space="preserve"> </w:t>
      </w:r>
    </w:p>
    <w:p w14:paraId="04AF4B78" w14:textId="0D5503C4" w:rsidR="00E333F6" w:rsidRPr="000B0221" w:rsidRDefault="00E333F6" w:rsidP="00377240">
      <w:pPr>
        <w:spacing w:line="360" w:lineRule="auto"/>
        <w:jc w:val="both"/>
        <w:rPr>
          <w:i/>
        </w:rPr>
      </w:pPr>
      <w:r w:rsidRPr="000B0221">
        <w:rPr>
          <w:i/>
        </w:rPr>
        <w:t xml:space="preserve">In summary, we would </w:t>
      </w:r>
      <w:r w:rsidR="001E1296" w:rsidRPr="000B0221">
        <w:rPr>
          <w:i/>
        </w:rPr>
        <w:t xml:space="preserve">recommend </w:t>
      </w:r>
      <w:r w:rsidRPr="000B0221">
        <w:rPr>
          <w:i/>
        </w:rPr>
        <w:t xml:space="preserve">to measure muscle strength by handgrip strength in clinical </w:t>
      </w:r>
      <w:r w:rsidR="00970DC5" w:rsidRPr="000B0221">
        <w:rPr>
          <w:i/>
        </w:rPr>
        <w:t>practice</w:t>
      </w:r>
      <w:r w:rsidR="007A00DF" w:rsidRPr="000B0221">
        <w:rPr>
          <w:i/>
        </w:rPr>
        <w:t xml:space="preserve"> </w:t>
      </w:r>
      <w:r w:rsidRPr="000B0221">
        <w:rPr>
          <w:i/>
        </w:rPr>
        <w:t xml:space="preserve">(Table 1). </w:t>
      </w:r>
      <w:r w:rsidR="007A00DF" w:rsidRPr="000B0221">
        <w:rPr>
          <w:i/>
        </w:rPr>
        <w:t>For primary care settings w</w:t>
      </w:r>
      <w:r w:rsidR="001E1296" w:rsidRPr="000B0221">
        <w:rPr>
          <w:i/>
        </w:rPr>
        <w:t>h</w:t>
      </w:r>
      <w:r w:rsidR="007A00DF" w:rsidRPr="000B0221">
        <w:rPr>
          <w:i/>
        </w:rPr>
        <w:t xml:space="preserve">ere the availability of a handgrip dynamometer is not systematic, the repeated chair stand test could be used as an alternative measure of muscle strength. </w:t>
      </w:r>
    </w:p>
    <w:p w14:paraId="5754E196" w14:textId="132B93C9" w:rsidR="00C46900" w:rsidRPr="000B0221" w:rsidRDefault="000C043A" w:rsidP="00377240">
      <w:pPr>
        <w:pStyle w:val="ListParagraph"/>
        <w:numPr>
          <w:ilvl w:val="0"/>
          <w:numId w:val="27"/>
        </w:numPr>
        <w:spacing w:line="360" w:lineRule="auto"/>
        <w:rPr>
          <w:i/>
        </w:rPr>
      </w:pPr>
      <w:r w:rsidRPr="000B0221">
        <w:rPr>
          <w:i/>
        </w:rPr>
        <w:t xml:space="preserve">Assessment of </w:t>
      </w:r>
      <w:r w:rsidR="00C46900" w:rsidRPr="000B0221">
        <w:rPr>
          <w:i/>
        </w:rPr>
        <w:t>physical performance</w:t>
      </w:r>
    </w:p>
    <w:p w14:paraId="19511E41" w14:textId="73F24F1B" w:rsidR="00B70755" w:rsidRPr="000B0221" w:rsidRDefault="00B70755" w:rsidP="00B70755">
      <w:pPr>
        <w:spacing w:line="360" w:lineRule="auto"/>
        <w:jc w:val="both"/>
      </w:pPr>
      <w:r w:rsidRPr="000B0221">
        <w:t>The most widely used tool in clinical practice for the assessment of physical performance is the gait speed measurement, employed by almost two-thirds (63.3%) of clinicians</w:t>
      </w:r>
      <w:r w:rsidR="000D7927">
        <w:t xml:space="preserve"> that assess physical performance</w:t>
      </w:r>
      <w:r w:rsidR="00F55454" w:rsidRPr="000B0221">
        <w:t xml:space="preserve"> (among 255 clinicians who took part in an international </w:t>
      </w:r>
      <w:r w:rsidR="00A233D7" w:rsidRPr="000B0221">
        <w:t xml:space="preserve">online </w:t>
      </w:r>
      <w:r w:rsidR="00F55454" w:rsidRPr="000B0221">
        <w:t xml:space="preserve">survey; 87.8% of medical doctors with geriatrics (57.6%) and rheumatology (18.8%) as major fields of interest) </w:t>
      </w:r>
      <w:r w:rsidRPr="000B0221">
        <w:fldChar w:fldCharType="begin" w:fldLock="1"/>
      </w:r>
      <w:r w:rsidR="007E0300">
        <w:instrText>ADDIN CSL_CITATION { "citationItems" : [ { "id" : "ITEM-1", "itemData" : { "DOI" : "10.1016/j.eurger.2015.12.009", "ISSN" : "18787649", "abstract" : "INTRODUCTION\nSeveral tools are available for the assessment of muscle mass, muscle strength and physical performance in clinical research. However, few data are available on the usage of these tools in clinical practice. \n\nMETHODS\nThis study aimed to assess their usage by means of a large online international survey. Since sarcopenia is a specific condition where the assessment of muscle mass, muscle strength and physical performance is important, the survey also assessed the tools used for the diagnosis of this geriatric syndrome. \n\nRESULTS\nThe survey was completed by 255 clinicians from 55 countries across 5 continents. Among these clinicians with geriatrics, rheumatology and endocrinology as major fields of interest, 53.3% assess muscle mass in daily practice, 54.5% muscle strength and 71.4% physical performance. However, the tools used are very different and no single tool is used by all clinicians. The tools and the cut-off values used by clinicians to diagnose sarcopenia are also heterogeneous. \n\nCONCLUSION\nBecause some tools used for the assessment of muscle mass, muscle strength or physical performance in daily practice are less validated than others, a greater awareness from the clinicians of the importance of using appropriate tools is needed.", "author" : [ { "dropping-particle" : "", "family" : "Bruy\u00e8re", "given" : "O.", "non-dropping-particle" : "", "parse-names" : false, "suffix" : "" }, { "dropping-particle" : "", "family" : "Beaudart", "given" : "C.", "non-dropping-particle" : "", "parse-names" : false, "suffix" : "" }, { "dropping-particle" : "", "family" : "Reginster", "given" : "J.-Y.", "non-dropping-particle" : "", "parse-names" : false, "suffix" : "" }, { "dropping-particle" : "", "family" : "Buckinx", "given" : "F.", "non-dropping-particle" : "", "parse-names" : false, "suffix" : "" }, { "dropping-particle" : "", "family" : "Schoene", "given" : "D.", "non-dropping-particle" : "", "parse-names" : false, "suffix" : "" }, { "dropping-particle" : "", "family" : "Hirani", "given" : "V.", "non-dropping-particle" : "", "parse-names" : false, "suffix" : "" }, { "dropping-particle" : "", "family" : "Cooper", "given" : "C.", "non-dropping-particle" : "", "parse-names" : false, "suffix" : "" }, { "dropping-particle" : "", "family" : "Kanis", "given" : "J.A.", "non-dropping-particle" : "", "parse-names" : false, "suffix" : "" }, { "dropping-particle" : "", "family" : "Rizzoli", "given" : "R.", "non-dropping-particle" : "", "parse-names" : false, "suffix" : "" }, { "dropping-particle" : "", "family" : "McCloskey", "given" : "E.", "non-dropping-particle" : "", "parse-names" : false, "suffix" : "" }, { "dropping-particle" : "", "family" : "Cederholm", "given" : "T.", "non-dropping-particle" : "", "parse-names" : false, "suffix" : "" }, { "dropping-particle" : "", "family" : "Cruz-Jentoft", "given" : "A.", "non-dropping-particle" : "", "parse-names" : false, "suffix" : "" }, { "dropping-particle" : "", "family" : "Freiberger", "given" : "E.", "non-dropping-particle" : "", "parse-names" : false, "suffix" : "" } ], "container-title" : "European Geriatric Medicine", "id" : "ITEM-1", "issue" : "3", "issued" : { "date-parts" : [ [ "2016" ] ] }, "page" : "243-246", "title" : "Assessment of muscle mass, muscle strength and physical performance in clinical practice: An international survey", "type" : "article-journal", "volume" : "7" }, "uris" : [ "http://www.mendeley.com/documents/?uuid=92cbc25a-f3bc-3a26-b9b8-d97af064a65c" ] } ], "mendeley" : { "formattedCitation" : "&lt;sup&gt;44&lt;/sup&gt;", "plainTextFormattedCitation" : "44", "previouslyFormattedCitation" : "&lt;sup&gt;44&lt;/sup&gt;" }, "properties" : { "noteIndex" : 0 }, "schema" : "https://github.com/citation-style-language/schema/raw/master/csl-citation.json" }</w:instrText>
      </w:r>
      <w:r w:rsidRPr="000B0221">
        <w:fldChar w:fldCharType="separate"/>
      </w:r>
      <w:r w:rsidR="007E0300" w:rsidRPr="007E0300">
        <w:rPr>
          <w:noProof/>
          <w:vertAlign w:val="superscript"/>
        </w:rPr>
        <w:t>44</w:t>
      </w:r>
      <w:r w:rsidRPr="000B0221">
        <w:fldChar w:fldCharType="end"/>
      </w:r>
      <w:r w:rsidRPr="000B0221">
        <w:t xml:space="preserve">.  The test is highly acceptable for </w:t>
      </w:r>
      <w:r w:rsidR="00C73AF7" w:rsidRPr="000B0221">
        <w:t>participants</w:t>
      </w:r>
      <w:r w:rsidRPr="000B0221">
        <w:t xml:space="preserve"> and health professionals in clinical settings</w:t>
      </w:r>
      <w:r w:rsidRPr="000B0221">
        <w:rPr>
          <w:vertAlign w:val="superscript"/>
        </w:rPr>
        <w:fldChar w:fldCharType="begin" w:fldLock="1"/>
      </w:r>
      <w:r w:rsidR="007E0300">
        <w:rPr>
          <w:vertAlign w:val="superscript"/>
        </w:rPr>
        <w:instrText>ADDIN CSL_CITATION { "citationItems" : [ { "id" : "ITEM-1", "itemData" : { "DOI" : "10.4187/respcare.02688", "ISSN" : "1943-3654", "PMID" : "23983271", "abstract" : "BACKGROUND: Gait speed is a simple physical function measure associated with key outcomes in the elderly population. Gait speed measurements may improve clinical care in patients with COPD. However, there is a knowledge gap about the reliability and variability of gait speed testing protocols in COPD. We evaluated established techniques of measuring gait speed in patients with COPD and assessed feasibility of implementing gait speed as a routine vital sign in an out-patient clinic.\n\nMETHODS: The usual 4-meter gait speed (4MGS) (\"walk at a comfortable/natural pace\"), maximal 4MGS (\"walk as fast as you can safely\"), usual 10-meter gait speed (10MGS), and maximal 10MGS of subjects with stable COPD were measured. Walks were measured using a stopwatch and automated timing system. For the feasibility/implementation phase, patients from the entire spectrum of respiratory diseases completed acceptability surveys, and clinical assistants administered gait speed measurements using an automated timing system. Time to train and to administer the test and acceptability by the staff were evaluated.\n\nRESULTS: Seventy subjects enrolled; 60% were men, and the mean age \u00b1 SD was 69 \u00b1 10 years. All methods showed excellent test-retest reliability (intraclass correlation coefficient of 0.95-0.97). The difference between the two timing systems did not exceed the suggested minimal clinically important difference of 0.1 m/s for the usual pace instructions but did exceed 0.1 m/s for maximal pace walks. The difference between 4MGS and 10MGS was 0.13 \u00b1 0.10 m/s.\n\nFEASIBILITY: Most subjects reported that gait speed measurement prior to clinic appointment was very acceptable (66%) or acceptable (33%). Time added to clinic visit measuring 4MGS was 95 \u00b1 20 seconds, and clinical assistants reported gait speed measurements as very acceptable (60%), acceptable (30%), and somewhat acceptable (10%).\n\nCONCLUSIONS: Gait speed is a reliable measure in COPD, regardless of instructed pace, distance, or timing mechanism; however, adhering to one protocol is suggested. 4MGS was easily implemented into clinical practice with high acceptability by patients and clinic staff.", "author" : [ { "dropping-particle" : "", "family" : "Karpman", "given" : "Craig", "non-dropping-particle" : "", "parse-names" : false, "suffix" : "" }, { "dropping-particle" : "", "family" : "Lebrasseur", "given" : "Nathan K", "non-dropping-particle" : "", "parse-names" : false, "suffix" : "" }, { "dropping-particle" : "", "family" : "Depew", "given" : "Zachary S", "non-dropping-particle" : "", "parse-names" : false, "suffix" : "" }, { "dropping-particle" : "", "family" : "Novotny", "given" : "Paul J", "non-dropping-particle" : "", "parse-names" : false, "suffix" : "" }, { "dropping-particle" : "", "family" : "Benzo", "given" : "Roberto P", "non-dropping-particle" : "", "parse-names" : false, "suffix" : "" } ], "container-title" : "Respiratory care", "id" : "ITEM-1", "issue" : "4", "issued" : { "date-parts" : [ [ "2014", "4" ] ] }, "page" : "531-7", "title" : "Measuring gait speed in the out-patient clinic: methodology and feasibility.", "type" : "article-journal", "volume" : "59" }, "uris" : [ "http://www.mendeley.com/documents/?uuid=e69efd4c-817c-42de-969a-5c0031d18bd9" ] } ], "mendeley" : { "formattedCitation" : "&lt;sup&gt;65&lt;/sup&gt;", "plainTextFormattedCitation" : "65", "previouslyFormattedCitation" : "&lt;sup&gt;65&lt;/sup&gt;" }, "properties" : { "noteIndex" : 0 }, "schema" : "https://github.com/citation-style-language/schema/raw/master/csl-citation.json" }</w:instrText>
      </w:r>
      <w:r w:rsidRPr="000B0221">
        <w:rPr>
          <w:vertAlign w:val="superscript"/>
        </w:rPr>
        <w:fldChar w:fldCharType="separate"/>
      </w:r>
      <w:r w:rsidR="007E0300" w:rsidRPr="007E0300">
        <w:rPr>
          <w:noProof/>
          <w:vertAlign w:val="superscript"/>
        </w:rPr>
        <w:t>65</w:t>
      </w:r>
      <w:r w:rsidRPr="000B0221">
        <w:rPr>
          <w:vertAlign w:val="superscript"/>
        </w:rPr>
        <w:fldChar w:fldCharType="end"/>
      </w:r>
      <w:r w:rsidRPr="000B0221">
        <w:t>. No special equipment is required as it only needs a flat floor devoid of obstacles</w:t>
      </w:r>
      <w:r w:rsidR="00232F2D">
        <w:t>.</w:t>
      </w:r>
      <w:r w:rsidRPr="000B0221">
        <w:t>In the 4-</w:t>
      </w:r>
      <w:r w:rsidR="000226C3" w:rsidRPr="000B0221">
        <w:t xml:space="preserve">metre </w:t>
      </w:r>
      <w:r w:rsidRPr="000B0221">
        <w:t xml:space="preserve">gait speed test, which is recommended by the EWGSOP for the assessment of sarcopenia, </w:t>
      </w:r>
      <w:r w:rsidR="0063591D">
        <w:t>men and women</w:t>
      </w:r>
      <w:r w:rsidRPr="000B0221">
        <w:t xml:space="preserve"> with a gait speed &lt;0.8m/s are described as having a poor physical performance</w:t>
      </w:r>
      <w:r w:rsidRPr="000B0221">
        <w:fldChar w:fldCharType="begin" w:fldLock="1"/>
      </w:r>
      <w:r w:rsidR="007E0300">
        <w:instrText>ADDIN CSL_CITATION { "citationItems" : [ { "id" : "ITEM-1", "itemData" : { "DOI" : "10.1152/japplphysiol.00246.2003", "ISBN" : "8750-7587 (Print)\r0161-7567 (Linking)", "PMID" : "14555665", "abstract" : "Sarcopenia, the reduction of muscle mass and strength that occurs with aging, is widely considered one of the major causes of disability in older persons. Surprisingly, criteria that may help a clinician to identify persons with impaired muscle function are still lacking. Using data from a large representative sample of the general population, we examined how muscle function and calf muscle area change with aging and affect mobility in men and women free of neurological conditions. We tested several putative indicators of sarcopenia, including knee extension isometric torque, handgrip, lower extremity muscle power, and calf muscle area. For each indicator, sarcopenia was considered to be present when the measure was &gt;2 SDs below the mean. For all four measures, the prevalence of sarcopenia increased with age, both in men and women. The age-associated gradient in prevalence was maximum for muscle power and minimum for calf-muscle area. However, lower extremity muscle power was no better than knee-extension torque or handgrip in the early identification of poor mobility, defined either as walking speed &lt;0.8 m/s or inability to walk at least 1 km without difficulty and without developing symptoms. Optimal cutoff values that can be used in the clinical practice to identify older persons with poor mobility were developed. The findings of the study lay the basis for a cost-effective, clinical marker of sarcopenia based on a measure of isometric handgrip strength. Our findings should be verified in a longitudinal study.", "author" : [ { "dropping-particle" : "", "family" : "Lauretani", "given" : "F", "non-dropping-particle" : "", "parse-names" : false, "suffix" : "" }, { "dropping-particle" : "", "family" : "Russo", "given" : "C R", "non-dropping-particle" : "", "parse-names" : false, "suffix" : "" }, { "dropping-particle" : "", "family" : "Bandinelli", "given" : "S", "non-dropping-particle" : "", "parse-names" : false, "suffix" : "" }, { "dropping-particle" : "", "family" : "Bartali", "given" : "B", "non-dropping-particle" : "", "parse-names" : false, "suffix" : "" }, { "dropping-particle" : "", "family" : "Cavazzini", "given" : "C", "non-dropping-particle" : "", "parse-names" : false, "suffix" : "" }, { "dropping-particle" : "", "family" : "Iorio", "given" : "A", "non-dropping-particle" : "Di", "parse-names" : false, "suffix" : "" }, { "dropping-particle" : "", "family" : "Corsi", "given" : "A M", "non-dropping-particle" : "", "parse-names" : false, "suffix" : "" }, { "dropping-particle" : "", "family" : "Rantanen", "given" : "T", "non-dropping-particle" : "", "parse-names" : false, "suffix" : "" }, { "dropping-particle" : "", "family" : "Guralnik", "given" : "J M", "non-dropping-particle" : "", "parse-names" : false, "suffix" : "" }, { "dropping-particle" : "", "family" : "Ferrucci", "given" : "L", "non-dropping-particle" : "", "parse-names" : false, "suffix" : "" } ], "container-title" : "J Appl Physiol (1985)", "edition" : "2003/10/14", "id" : "ITEM-1", "issue" : "5", "issued" : { "date-parts" : [ [ "2003" ] ] }, "language" : "eng", "note" : "Lauretani, Fulvio\nRusso, Cosimo Roberto\nBandinelli, Stefania\nBartali, Benedetta\nCavazzini, Chiara\nDi Iorio, Angelo\nCorsi, Anna Maria\nRantanen, Taina\nGuralnik, Jack M\nFerrucci, Luigi\n263-MD-821336/MD/NIMHD NIH HHS/\n263-MD-9164-13/MD/NIMHD NIH HHS/\nBethesda, Md. : 1985\nJ Appl Physiol (1985). 2003 Nov;95(5):1851-60.", "page" : "1851-1860", "title" : "Age-associated changes in skeletal muscles and their effect on mobility: an operational diagnosis of sarcopenia", "type" : "article-journal", "volume" : "95" }, "uris" : [ "http://www.mendeley.com/documents/?uuid=c4677079-7ea9-4452-8553-6b6bd2a81145" ] } ], "mendeley" : { "formattedCitation" : "&lt;sup&gt;15&lt;/sup&gt;", "plainTextFormattedCitation" : "15", "previouslyFormattedCitation" : "&lt;sup&gt;15&lt;/sup&gt;" }, "properties" : { "noteIndex" : 0 }, "schema" : "https://github.com/citation-style-language/schema/raw/master/csl-citation.json" }</w:instrText>
      </w:r>
      <w:r w:rsidRPr="000B0221">
        <w:fldChar w:fldCharType="separate"/>
      </w:r>
      <w:r w:rsidR="008069A0" w:rsidRPr="008069A0">
        <w:rPr>
          <w:noProof/>
          <w:vertAlign w:val="superscript"/>
        </w:rPr>
        <w:t>15</w:t>
      </w:r>
      <w:r w:rsidRPr="000B0221">
        <w:fldChar w:fldCharType="end"/>
      </w:r>
      <w:r w:rsidRPr="000B0221">
        <w:t xml:space="preserve">.  </w:t>
      </w:r>
      <w:r w:rsidR="007845BD">
        <w:t>T</w:t>
      </w:r>
      <w:r w:rsidR="007845BD" w:rsidRPr="000B0221">
        <w:t>he average extra-time added to the consultation by measuring the 4-metre gait speed was only 95 ± 20 seconds.</w:t>
      </w:r>
    </w:p>
    <w:p w14:paraId="348F8809" w14:textId="31D1B858" w:rsidR="00994FD1" w:rsidRPr="000B0221" w:rsidRDefault="00B70755" w:rsidP="0048043C">
      <w:pPr>
        <w:spacing w:line="360" w:lineRule="auto"/>
        <w:jc w:val="both"/>
      </w:pPr>
      <w:r w:rsidRPr="000B0221">
        <w:t>Gait speed can be performed alone or as part of a test</w:t>
      </w:r>
      <w:r w:rsidR="00162D8C" w:rsidRPr="000B0221">
        <w:t xml:space="preserve"> battery</w:t>
      </w:r>
      <w:r w:rsidRPr="000B0221">
        <w:t>, the most popular of which is the</w:t>
      </w:r>
      <w:r w:rsidR="00245632" w:rsidRPr="000B0221">
        <w:t xml:space="preserve"> Short Physical Performance Bat</w:t>
      </w:r>
      <w:r w:rsidR="00AA438D" w:rsidRPr="000B0221">
        <w:t>tery (SPPB)</w:t>
      </w:r>
      <w:r w:rsidR="00245632" w:rsidRPr="000B0221">
        <w:t xml:space="preserve">. The SPPB is a test scored </w:t>
      </w:r>
      <w:r w:rsidR="00994FD1" w:rsidRPr="000B0221">
        <w:t xml:space="preserve">to a maximum of </w:t>
      </w:r>
      <w:r w:rsidR="00245632" w:rsidRPr="000B0221">
        <w:t xml:space="preserve">12 points </w:t>
      </w:r>
      <w:r w:rsidR="00994FD1" w:rsidRPr="000B0221">
        <w:t xml:space="preserve">comprising an assessment of gait speed (over 3-4m), </w:t>
      </w:r>
      <w:r w:rsidR="00245632" w:rsidRPr="000B0221">
        <w:t>a balance test</w:t>
      </w:r>
      <w:r w:rsidR="00994FD1" w:rsidRPr="000B0221">
        <w:t xml:space="preserve"> </w:t>
      </w:r>
      <w:r w:rsidR="00245632" w:rsidRPr="000B0221">
        <w:t xml:space="preserve">and </w:t>
      </w:r>
      <w:r w:rsidR="00994FD1" w:rsidRPr="000B0221">
        <w:t xml:space="preserve">a </w:t>
      </w:r>
      <w:r w:rsidR="00162D8C" w:rsidRPr="000B0221">
        <w:t xml:space="preserve">repeated </w:t>
      </w:r>
      <w:r w:rsidR="00245632" w:rsidRPr="000B0221">
        <w:t xml:space="preserve">chair stand test. </w:t>
      </w:r>
      <w:r w:rsidRPr="000B0221">
        <w:t xml:space="preserve"> These </w:t>
      </w:r>
      <w:r w:rsidR="00994FD1" w:rsidRPr="000B0221">
        <w:t>tests focus on lower extremity function, as the latter has been shown to correlate with mobility</w:t>
      </w:r>
      <w:r w:rsidR="00232F2D">
        <w:t>,</w:t>
      </w:r>
      <w:r w:rsidR="00994FD1" w:rsidRPr="000B0221">
        <w:t xml:space="preserve"> disability and patient outcomes including hospitalization, institutionalization, and mortality.  The SPPB takes about 10 minutes to complete</w:t>
      </w:r>
      <w:r w:rsidR="000B5C25" w:rsidRPr="000B0221">
        <w:fldChar w:fldCharType="begin" w:fldLock="1"/>
      </w:r>
      <w:r w:rsidR="007E0300">
        <w:instrText>ADDIN CSL_CITATION { "citationItems" : [ { "id" : "ITEM-1", "itemData" : { "URL" : "http://www.grc.nia.nih.gov/branches/leps/sppb/", "accessed" : { "date-parts" : [ [ "2016", "2", "17" ] ] }, "id" : "ITEM-1", "issued" : { "date-parts" : [ [ "0" ] ] }, "title" : "National Institute on Aging, Laboratory of Epidemiology, Demography, and Biometry", "type" : "webpage" }, "uris" : [ "http://www.mendeley.com/documents/?uuid=eb0b40b4-c9c7-4fce-84f7-de85b93f70b2" ] } ], "mendeley" : { "formattedCitation" : "&lt;sup&gt;66&lt;/sup&gt;", "plainTextFormattedCitation" : "66", "previouslyFormattedCitation" : "&lt;sup&gt;66&lt;/sup&gt;" }, "properties" : { "noteIndex" : 0 }, "schema" : "https://github.com/citation-style-language/schema/raw/master/csl-citation.json" }</w:instrText>
      </w:r>
      <w:r w:rsidR="000B5C25" w:rsidRPr="000B0221">
        <w:fldChar w:fldCharType="separate"/>
      </w:r>
      <w:r w:rsidR="007E0300" w:rsidRPr="007E0300">
        <w:rPr>
          <w:noProof/>
          <w:vertAlign w:val="superscript"/>
        </w:rPr>
        <w:t>66</w:t>
      </w:r>
      <w:r w:rsidR="000B5C25" w:rsidRPr="000B0221">
        <w:fldChar w:fldCharType="end"/>
      </w:r>
      <w:r w:rsidR="00994FD1" w:rsidRPr="000B0221">
        <w:t>.</w:t>
      </w:r>
      <w:r w:rsidR="000226C3" w:rsidRPr="000B0221">
        <w:t xml:space="preserve"> Participants presenting a score </w:t>
      </w:r>
      <w:r w:rsidR="00232F2D">
        <w:t>≤</w:t>
      </w:r>
      <w:r w:rsidR="000226C3" w:rsidRPr="000B0221">
        <w:t>8 points have been described as having a poor physical performance</w:t>
      </w:r>
      <w:r w:rsidR="000226C3" w:rsidRPr="000B0221">
        <w:fldChar w:fldCharType="begin" w:fldLock="1"/>
      </w:r>
      <w:r w:rsidR="007E0300">
        <w:instrText>ADDIN CSL_CITATION { "citationItems" : [ { "id" : "ITEM-1", "itemData" : { "DOI" : "10.1093/ageing/afq034", "ISBN" : "1468-2834 (Electronic)\r0002-0729 (Linking)", "PMID" : "20392703", "abstract" : "The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 "author" : [ { "dropping-particle" : "", "family" : "Cruz-Jentoft", "given" : "A J", "non-dropping-particle" : "", "parse-names" : false, "suffix" : "" }, { "dropping-particle" : "", "family" : "Baeyens", "given" : "J P", "non-dropping-particle" : "", "parse-names" : false, "suffix" : "" }, { "dropping-particle" : "", "family" : "Bauer", "given" : "J M", "non-dropping-particle" : "", "parse-names" : false, "suffix" : "" }, { "dropping-particle" : "", "family" : "Boirie", "given" : "Y", "non-dropping-particle" : "", "parse-names" : false, "suffix" : "" }, { "dropping-particle" : "", "family" : "Cederholm", "given" : "T", "non-dropping-particle" : "", "parse-names" : false, "suffix" : "" }, { "dropping-particle" : "", "family" : "Landi", "given" : "F", "non-dropping-particle" : "", "parse-names" : false, "suffix" : "" }, { "dropping-particle" : "", "family" : "Martin", "given" : "F C", "non-dropping-particle" : "", "parse-names" : false, "suffix" : "" }, { "dropping-particle" : "", "family" : "Michel", "given" : "J P", "non-dropping-particle" : "", "parse-names" : false, "suffix" : "" }, { "dropping-particle" : "", "family" : "Rolland", "given" : "Y", "non-dropping-particle" : "", "parse-names" : false, "suffix" : "" }, { "dropping-particle" : "", "family" : "Schneider", "given" : "S M", "non-dropping-particle" : "", "parse-names" : false, "suffix" : "" }, { "dropping-particle" : "", "family" : "Topinkova", "given" : "E", "non-dropping-particle" : "", "parse-names" : false, "suffix" : "" }, { "dropping-particle" : "", "family" : "Vandewoude", "given" : "M", "non-dropping-particle" : "", "parse-names" : false, "suffix" : "" }, { "dropping-particle" : "", "family" : "Zamboni", "given" : "M", "non-dropping-particle" : "", "parse-names" : false, "suffix" : "" } ], "container-title" : "Age Ageing", "edition" : "2010/04/16", "id" : "ITEM-1", "issue" : "4", "issued" : { "date-parts" : [ [ "2010" ] ] }, "language" : "eng", "note" : "Cruz-Jentoft, Alfonso J\nBaeyens, Jean Pierre\nBauer, Jurgen M\nBoirie, Yves\nCederholm, Tommy\nLandi, Francesco\nMartin, Finbarr C\nMichel, Jean-Pierre\nRolland, Yves\nSchneider, Stephane M\nTopinkova, Eva\nVandewoude, Maurits\nZamboni, Mauro\nEuropean Working Group on Sarcopenia in Older People\nEngland\nAge Ageing. 2010 Jul;39(4):412-23. doi: 10.1093/ageing/afq034. Epub 2010 Apr 13.", "page" : "412-423", "title" : "Sarcopenia: European consensus on definition and diagnosis: Report of the European Working Group on Sarcopenia in Older People", "type" : "article-journal", "volume" : "39" }, "uris" : [ "http://www.mendeley.com/documents/?uuid=70cb19aa-c51f-40a6-870b-7354e335530b" ] } ], "mendeley" : { "formattedCitation" : "&lt;sup&gt;3&lt;/sup&gt;", "plainTextFormattedCitation" : "3", "previouslyFormattedCitation" : "&lt;sup&gt;3&lt;/sup&gt;" }, "properties" : { "noteIndex" : 0 }, "schema" : "https://github.com/citation-style-language/schema/raw/master/csl-citation.json" }</w:instrText>
      </w:r>
      <w:r w:rsidR="000226C3" w:rsidRPr="000B0221">
        <w:fldChar w:fldCharType="separate"/>
      </w:r>
      <w:r w:rsidR="000226C3" w:rsidRPr="000B0221">
        <w:rPr>
          <w:noProof/>
          <w:vertAlign w:val="superscript"/>
        </w:rPr>
        <w:t>3</w:t>
      </w:r>
      <w:r w:rsidR="000226C3" w:rsidRPr="000B0221">
        <w:fldChar w:fldCharType="end"/>
      </w:r>
      <w:r w:rsidR="000226C3" w:rsidRPr="000B0221">
        <w:t>.</w:t>
      </w:r>
    </w:p>
    <w:p w14:paraId="5228F3F5" w14:textId="3D765F72" w:rsidR="00C6129A" w:rsidRPr="000B0221" w:rsidRDefault="00171D0C" w:rsidP="0048043C">
      <w:pPr>
        <w:spacing w:line="360" w:lineRule="auto"/>
        <w:jc w:val="both"/>
      </w:pPr>
      <w:r w:rsidRPr="000B0221">
        <w:lastRenderedPageBreak/>
        <w:t xml:space="preserve">Other </w:t>
      </w:r>
      <w:r w:rsidR="00994FD1" w:rsidRPr="000B0221">
        <w:t xml:space="preserve">standalone </w:t>
      </w:r>
      <w:r w:rsidRPr="000B0221">
        <w:t>tests can be performed</w:t>
      </w:r>
      <w:r w:rsidR="00281D80" w:rsidRPr="000B0221">
        <w:t xml:space="preserve"> to assess physical performance</w:t>
      </w:r>
      <w:r w:rsidR="00541C18" w:rsidRPr="000B0221">
        <w:t xml:space="preserve">. </w:t>
      </w:r>
      <w:r w:rsidR="00994FD1" w:rsidRPr="000B0221">
        <w:t>In t</w:t>
      </w:r>
      <w:r w:rsidR="003E68AB" w:rsidRPr="000B0221">
        <w:t>he Timed Up and Go</w:t>
      </w:r>
      <w:r w:rsidR="00F7678C" w:rsidRPr="000B0221">
        <w:t xml:space="preserve"> (TUG)</w:t>
      </w:r>
      <w:r w:rsidR="003E68AB" w:rsidRPr="000B0221">
        <w:t xml:space="preserve"> test</w:t>
      </w:r>
      <w:r w:rsidR="00232F2D">
        <w:t>,</w:t>
      </w:r>
      <w:r w:rsidR="003E68AB" w:rsidRPr="000B0221">
        <w:t xml:space="preserve"> </w:t>
      </w:r>
      <w:r w:rsidR="0063591D">
        <w:t>individuals</w:t>
      </w:r>
      <w:r w:rsidR="003E68AB" w:rsidRPr="000B0221">
        <w:t xml:space="preserve"> are asked to rise from a standard armchair, walk to a marker 3 </w:t>
      </w:r>
      <w:r w:rsidR="000226C3" w:rsidRPr="000B0221">
        <w:t xml:space="preserve">metres </w:t>
      </w:r>
      <w:r w:rsidR="003E68AB" w:rsidRPr="000B0221">
        <w:t xml:space="preserve">away, turn, walk back and sit down again. </w:t>
      </w:r>
      <w:r w:rsidR="00E70199" w:rsidRPr="000B0221">
        <w:t xml:space="preserve">The 6-min walk distance </w:t>
      </w:r>
      <w:r w:rsidR="00994FD1" w:rsidRPr="000B0221">
        <w:t>or 400</w:t>
      </w:r>
      <w:r w:rsidR="0047108E" w:rsidRPr="000B0221">
        <w:t xml:space="preserve"> </w:t>
      </w:r>
      <w:r w:rsidR="00994FD1" w:rsidRPr="000B0221">
        <w:t>m</w:t>
      </w:r>
      <w:r w:rsidR="0047108E" w:rsidRPr="000B0221">
        <w:t>etres</w:t>
      </w:r>
      <w:r w:rsidR="00994FD1" w:rsidRPr="000B0221">
        <w:t xml:space="preserve"> walk time can be used</w:t>
      </w:r>
      <w:r w:rsidR="00E70199" w:rsidRPr="000B0221">
        <w:t xml:space="preserve"> to measure aerobic </w:t>
      </w:r>
      <w:r w:rsidR="00994FD1" w:rsidRPr="000B0221">
        <w:t xml:space="preserve">capacity.  </w:t>
      </w:r>
      <w:r w:rsidR="008115C0" w:rsidRPr="000B0221">
        <w:t>Th</w:t>
      </w:r>
      <w:r w:rsidR="00891EA4" w:rsidRPr="000B0221">
        <w:t xml:space="preserve">e stair climb power test </w:t>
      </w:r>
      <w:r w:rsidR="008115C0" w:rsidRPr="000B0221">
        <w:t>also show</w:t>
      </w:r>
      <w:r w:rsidR="00670896" w:rsidRPr="000B0221">
        <w:t>s</w:t>
      </w:r>
      <w:r w:rsidR="008115C0" w:rsidRPr="000B0221">
        <w:t xml:space="preserve"> good correlation with other measures of leg power and physical performance, </w:t>
      </w:r>
      <w:r w:rsidR="00670896" w:rsidRPr="000B0221">
        <w:t>but</w:t>
      </w:r>
      <w:r w:rsidR="00F7678C" w:rsidRPr="000B0221">
        <w:t xml:space="preserve"> is mostly </w:t>
      </w:r>
      <w:r w:rsidR="00670896" w:rsidRPr="000B0221">
        <w:t xml:space="preserve">restricted to use in </w:t>
      </w:r>
      <w:r w:rsidR="008115C0" w:rsidRPr="000B0221">
        <w:t>research settings</w:t>
      </w:r>
      <w:r w:rsidR="0096749A" w:rsidRPr="000B0221">
        <w:fldChar w:fldCharType="begin" w:fldLock="1"/>
      </w:r>
      <w:r w:rsidR="007E0300">
        <w:instrText>ADDIN CSL_CITATION { "citationItems" : [ { "id" : "ITEM-1", "itemData" : { "DOI" : "10.1016/j.apmr.2007.02.004", "ISSN" : "00039993", "PMID" : "17466729", "abstract" : "OBJECTIVE: To test the clinical relevance of the stair climb power test (SCPT) as a measure of leg power impairments in mobility-limited older adults.\n\nDESIGN: Cross-sectional analysis of baseline data from participants within a randomized controlled trial.\n\nSETTING: Rehabilitation research gym.\n\nPARTICIPANTS: Community-dwelling older adults (N=138; mean age, 75.4 y) with mobility limitations as defined by the Short Physical Performance Battery (SPPB).\n\nINTERVENTIONS: Not applicable.\n\nMAIN OUTCOME MEASURES: Leg power measures included the SCPT and double leg press power measured at 40% (DLP40) and 70% (DLP70) of the 1 repetition maximum. Mobility performance tests included the SPPB and its 3 components: gait speed, chair stand time, and standing balance.\n\nRESULTS: Stair climb power per kilogram (SCP/kg) had correlations of moderate strength (r=.47, r=.52) with DLP40/kg and DLP70/kg, respectively. All 3 leg power measures correlated with each of the mobility performance measures with the exception of DLP40/kg (r=.11, P=.27) and DLP70/kg (r=.11, P=.18) with standing balance. Magnitudes of association, as described by the Pearson correlation coefficient, did not differ substantively among the separate power measures as they related to SPPB performance overall. Separate adjusted multivariate models evaluating the relationship between leg power and SPPB performance were all statistically significant and described equivalent amounts of the total variance (R(2)) in SPPB performance (SCP/kg, R(2)=.30; DLP40, R(2)=.32; DLP70, R(2)=.31). Analyses of the components of the SPPB show that the SCPT had stronger associations than the other leg power impairment measures with models predicting chair stand (SCP/kg, R(2)=.25; DLP40, R(2)=.12; DLP70, R(2)=.13), whereas both types of leg press power testing had stronger associations with models predicting gait speed (SCP/kg, R(2)=.16; DLP40, R(2)=.34; DLP70, R(2)=.34). Stair climb power was the only power measure that was a significant component of models predicting standing balance (SCP/kg R(2)=.20).\n\nCONCLUSIONS: The SCPT is a clinically relevant measure of leg power impairments. It is associated with more complex modes of testing leg power impairments and is meaningfully associated with mobility performance, making it suitable for clinical settings in which impairment-mobility relationships are of interest.", "author" : [ { "dropping-particle" : "", "family" : "Bean", "given" : "Jonathan F.", "non-dropping-particle" : "", "parse-names" : false, "suffix" : "" }, { "dropping-particle" : "", "family" : "Kiely", "given" : "Dan K.", "non-dropping-particle" : "", "parse-names" : false, "suffix" : "" }, { "dropping-particle" : "", "family" : "LaRose", "given" : "Sharon", "non-dropping-particle" : "", "parse-names" : false, "suffix" : "" }, { "dropping-particle" : "", "family" : "Alian", "given" : "Joda", "non-dropping-particle" : "", "parse-names" : false, "suffix" : "" }, { "dropping-particle" : "", "family" : "Frontera", "given" : "Walter R.", "non-dropping-particle" : "", "parse-names" : false, "suffix" : "" } ], "container-title" : "Archives of Physical Medicine and Rehabilitation", "id" : "ITEM-1", "issue" : "5", "issued" : { "date-parts" : [ [ "2007", "5" ] ] }, "page" : "604-609", "title" : "Is Stair Climb Power a Clinically Relevant Measure of Leg Power Impairments in At-Risk Older Adults?", "type" : "article-journal", "volume" : "88" }, "uris" : [ "http://www.mendeley.com/documents/?uuid=3b8ee13b-4865-439b-a69d-3b7a39323f4b" ] } ], "mendeley" : { "formattedCitation" : "&lt;sup&gt;67&lt;/sup&gt;", "plainTextFormattedCitation" : "67", "previouslyFormattedCitation" : "&lt;sup&gt;67&lt;/sup&gt;" }, "properties" : { "noteIndex" : 0 }, "schema" : "https://github.com/citation-style-language/schema/raw/master/csl-citation.json" }</w:instrText>
      </w:r>
      <w:r w:rsidR="0096749A" w:rsidRPr="000B0221">
        <w:fldChar w:fldCharType="separate"/>
      </w:r>
      <w:r w:rsidR="007E0300" w:rsidRPr="007E0300">
        <w:rPr>
          <w:noProof/>
          <w:vertAlign w:val="superscript"/>
        </w:rPr>
        <w:t>67</w:t>
      </w:r>
      <w:r w:rsidR="0096749A" w:rsidRPr="000B0221">
        <w:fldChar w:fldCharType="end"/>
      </w:r>
      <w:r w:rsidR="0096749A" w:rsidRPr="000B0221">
        <w:t>.</w:t>
      </w:r>
      <w:r w:rsidR="008115C0" w:rsidRPr="000B0221">
        <w:t xml:space="preserve"> </w:t>
      </w:r>
    </w:p>
    <w:p w14:paraId="4EC4A65E" w14:textId="0A6B5A72" w:rsidR="00C20D9A" w:rsidRPr="00353EDE" w:rsidRDefault="00E333F6" w:rsidP="00353EDE">
      <w:pPr>
        <w:spacing w:line="360" w:lineRule="auto"/>
        <w:jc w:val="both"/>
        <w:rPr>
          <w:i/>
        </w:rPr>
      </w:pPr>
      <w:r w:rsidRPr="000B0221">
        <w:rPr>
          <w:i/>
        </w:rPr>
        <w:t xml:space="preserve">In summary, we would propose that physical performance is primarily assessed in clinical practice by measuring gait speed. </w:t>
      </w:r>
      <w:r w:rsidR="000B5C25" w:rsidRPr="000B0221">
        <w:rPr>
          <w:i/>
        </w:rPr>
        <w:t xml:space="preserve">The </w:t>
      </w:r>
      <w:r w:rsidRPr="000B0221">
        <w:rPr>
          <w:i/>
        </w:rPr>
        <w:t xml:space="preserve">SPPB test may be limited by the time of administration but might also be useful to </w:t>
      </w:r>
      <w:r w:rsidR="0047108E" w:rsidRPr="000B0221">
        <w:rPr>
          <w:i/>
        </w:rPr>
        <w:t xml:space="preserve">identify </w:t>
      </w:r>
      <w:r w:rsidR="0063591D">
        <w:rPr>
          <w:i/>
        </w:rPr>
        <w:t>men and women</w:t>
      </w:r>
      <w:r w:rsidRPr="000B0221">
        <w:rPr>
          <w:i/>
        </w:rPr>
        <w:t xml:space="preserve"> with low ph</w:t>
      </w:r>
      <w:r w:rsidR="00353EDE">
        <w:rPr>
          <w:i/>
        </w:rPr>
        <w:t xml:space="preserve">ysical performance (Table 1).  </w:t>
      </w:r>
    </w:p>
    <w:p w14:paraId="55C722D3" w14:textId="56B72A12" w:rsidR="00C20D9A" w:rsidRPr="000B0221" w:rsidRDefault="00C20D9A" w:rsidP="00C20D9A">
      <w:pPr>
        <w:pStyle w:val="ListParagraph"/>
        <w:numPr>
          <w:ilvl w:val="0"/>
          <w:numId w:val="26"/>
        </w:numPr>
        <w:spacing w:line="360" w:lineRule="auto"/>
      </w:pPr>
      <w:r w:rsidRPr="000B0221">
        <w:t>The role of primary care physicians</w:t>
      </w:r>
    </w:p>
    <w:p w14:paraId="2BC8D14B" w14:textId="1EA26144" w:rsidR="005D67AF" w:rsidRPr="000B0221" w:rsidRDefault="00C20D9A" w:rsidP="00232F2D">
      <w:pPr>
        <w:spacing w:line="360" w:lineRule="auto"/>
        <w:jc w:val="both"/>
      </w:pPr>
      <w:r w:rsidRPr="000B0221">
        <w:t xml:space="preserve">In view of the current lack of a consensus concerning the definition of sarcopenia and also of the practical issues related to time constraints and limited access to assessment tools in the primary care setting, the group believes that the role of primary care physicians should be to identify </w:t>
      </w:r>
      <w:r w:rsidR="0063591D">
        <w:t xml:space="preserve">patients </w:t>
      </w:r>
      <w:r w:rsidRPr="000B0221">
        <w:t xml:space="preserve">who are at risk </w:t>
      </w:r>
      <w:r w:rsidR="000D7927">
        <w:t>of</w:t>
      </w:r>
      <w:r w:rsidRPr="000B0221">
        <w:t xml:space="preserve"> sarcopenia and to refer them to specialists in the field. Some interesting methods that might be suitable for screening purpose are presented in the following section.</w:t>
      </w:r>
    </w:p>
    <w:p w14:paraId="7BC3B72A" w14:textId="12C1C7C2" w:rsidR="00E877EE" w:rsidRPr="000B0221" w:rsidRDefault="001E61F9" w:rsidP="00C20D9A">
      <w:pPr>
        <w:spacing w:line="360" w:lineRule="auto"/>
        <w:jc w:val="both"/>
      </w:pPr>
      <w:r w:rsidRPr="000B0221">
        <w:t xml:space="preserve">Consideration of possible </w:t>
      </w:r>
      <w:r w:rsidR="00EC5CC0" w:rsidRPr="000B0221">
        <w:t xml:space="preserve">sarcopenia should </w:t>
      </w:r>
      <w:r w:rsidR="00AA57F3" w:rsidRPr="000B0221">
        <w:t xml:space="preserve">be </w:t>
      </w:r>
      <w:r w:rsidRPr="000B0221">
        <w:t xml:space="preserve">undertaken in older </w:t>
      </w:r>
      <w:r w:rsidR="0063591D">
        <w:t>individuals</w:t>
      </w:r>
      <w:r w:rsidRPr="000B0221">
        <w:t xml:space="preserve"> (e.g. &gt; </w:t>
      </w:r>
      <w:r w:rsidR="00EC5CC0" w:rsidRPr="000B0221">
        <w:t>65 years</w:t>
      </w:r>
      <w:r w:rsidRPr="000B0221">
        <w:t>) with signs or symptoms suggestive of the condition</w:t>
      </w:r>
      <w:r w:rsidR="00C20D9A" w:rsidRPr="000B0221">
        <w:t xml:space="preserve"> both in primary care and in specialized clinical settings</w:t>
      </w:r>
      <w:r w:rsidRPr="000B0221">
        <w:t xml:space="preserve">.  </w:t>
      </w:r>
      <w:r w:rsidR="00C20D9A" w:rsidRPr="000B0221">
        <w:t xml:space="preserve">Several </w:t>
      </w:r>
      <w:r w:rsidR="00EC5CC0" w:rsidRPr="000B0221">
        <w:t xml:space="preserve">methods can be proposed to perform a simple, rapid and inexpensive </w:t>
      </w:r>
      <w:r w:rsidRPr="000B0221">
        <w:t xml:space="preserve">identification </w:t>
      </w:r>
      <w:r w:rsidR="00EC5CC0" w:rsidRPr="000B0221">
        <w:t xml:space="preserve">of </w:t>
      </w:r>
      <w:r w:rsidRPr="000B0221">
        <w:t>those at risk</w:t>
      </w:r>
      <w:r w:rsidR="00EC5CC0" w:rsidRPr="000B0221">
        <w:t>.</w:t>
      </w:r>
      <w:r w:rsidR="00C20D9A" w:rsidRPr="000B0221">
        <w:t xml:space="preserve"> However, none of them has received an extensive validation, and therefore further research in this area is urgently needed. </w:t>
      </w:r>
    </w:p>
    <w:p w14:paraId="3E3E3E85" w14:textId="6FCCC1F0" w:rsidR="00EA224C" w:rsidRPr="000B0221" w:rsidRDefault="00EC5CC0" w:rsidP="00377240">
      <w:pPr>
        <w:pStyle w:val="ListParagraph"/>
        <w:numPr>
          <w:ilvl w:val="0"/>
          <w:numId w:val="28"/>
        </w:numPr>
        <w:spacing w:line="360" w:lineRule="auto"/>
        <w:rPr>
          <w:i/>
        </w:rPr>
      </w:pPr>
      <w:r w:rsidRPr="000B0221">
        <w:rPr>
          <w:i/>
        </w:rPr>
        <w:t xml:space="preserve">The </w:t>
      </w:r>
      <w:r w:rsidR="00EA224C" w:rsidRPr="000B0221">
        <w:rPr>
          <w:i/>
        </w:rPr>
        <w:t>R</w:t>
      </w:r>
      <w:r w:rsidRPr="000B0221">
        <w:rPr>
          <w:i/>
        </w:rPr>
        <w:t>ed F</w:t>
      </w:r>
      <w:r w:rsidR="00891EA4" w:rsidRPr="000B0221">
        <w:rPr>
          <w:i/>
        </w:rPr>
        <w:t>lag M</w:t>
      </w:r>
      <w:r w:rsidR="00EA224C" w:rsidRPr="000B0221">
        <w:rPr>
          <w:i/>
        </w:rPr>
        <w:t>ethod</w:t>
      </w:r>
    </w:p>
    <w:p w14:paraId="78667044" w14:textId="7D8D4CCB" w:rsidR="00A44A34" w:rsidRPr="00C164A3" w:rsidRDefault="00565C51" w:rsidP="00353EDE">
      <w:pPr>
        <w:spacing w:line="360" w:lineRule="auto"/>
        <w:ind w:left="360"/>
        <w:jc w:val="both"/>
      </w:pPr>
      <w:r w:rsidRPr="000B0221">
        <w:t>The purpose of the red flag method is to u</w:t>
      </w:r>
      <w:r w:rsidR="00AA57F3" w:rsidRPr="000B0221">
        <w:t>nderstand, during a standard medical</w:t>
      </w:r>
      <w:r w:rsidRPr="000B0221">
        <w:t xml:space="preserve"> consultation</w:t>
      </w:r>
      <w:r w:rsidR="00AA57F3" w:rsidRPr="000B0221">
        <w:t xml:space="preserve"> (or health assessment) the clinical presentation</w:t>
      </w:r>
      <w:r w:rsidRPr="000B0221">
        <w:t xml:space="preserve"> of </w:t>
      </w:r>
      <w:r w:rsidR="0063591D">
        <w:t>individuals</w:t>
      </w:r>
      <w:r w:rsidR="001E61F9" w:rsidRPr="000B0221">
        <w:t xml:space="preserve"> with particular regard to </w:t>
      </w:r>
      <w:r w:rsidRPr="000B0221">
        <w:t xml:space="preserve">physical manifestations of sarcopenia such as </w:t>
      </w:r>
      <w:r w:rsidR="00AA57F3" w:rsidRPr="000B0221">
        <w:t xml:space="preserve">general weakness or </w:t>
      </w:r>
      <w:r w:rsidRPr="000B0221">
        <w:t>loss of muscle mass</w:t>
      </w:r>
      <w:r w:rsidR="00C87595" w:rsidRPr="000B0221">
        <w:t xml:space="preserve">. </w:t>
      </w:r>
      <w:r w:rsidR="001E61F9" w:rsidRPr="000B0221">
        <w:t xml:space="preserve">The </w:t>
      </w:r>
      <w:r w:rsidR="00C73AF7" w:rsidRPr="000B0221">
        <w:t>subject</w:t>
      </w:r>
      <w:r w:rsidR="001E61F9" w:rsidRPr="000B0221">
        <w:t xml:space="preserve"> can also be asked about </w:t>
      </w:r>
      <w:r w:rsidR="008B6352" w:rsidRPr="000B0221">
        <w:t>symptom</w:t>
      </w:r>
      <w:r w:rsidRPr="000B0221">
        <w:t xml:space="preserve">s such as loss of weight, loss of muscle strength, loss of energy, falls, etc. </w:t>
      </w:r>
      <w:r w:rsidR="00232F2D">
        <w:t xml:space="preserve">(Table 2). </w:t>
      </w:r>
      <w:r w:rsidRPr="000B0221">
        <w:t xml:space="preserve">An assessment of nutrition </w:t>
      </w:r>
      <w:r w:rsidR="00AA57F3" w:rsidRPr="000B0221">
        <w:t xml:space="preserve">habits </w:t>
      </w:r>
      <w:r w:rsidRPr="000B0221">
        <w:t>should also be p</w:t>
      </w:r>
      <w:r w:rsidR="004A0657" w:rsidRPr="000B0221">
        <w:t>erformed</w:t>
      </w:r>
      <w:r w:rsidR="001314F8" w:rsidRPr="000B0221">
        <w:t xml:space="preserve"> to check, for example, if the </w:t>
      </w:r>
      <w:r w:rsidR="00C73AF7" w:rsidRPr="000B0221">
        <w:t>subject</w:t>
      </w:r>
      <w:r w:rsidR="001314F8" w:rsidRPr="000B0221">
        <w:t xml:space="preserve"> </w:t>
      </w:r>
      <w:r w:rsidR="000D7927">
        <w:t>has</w:t>
      </w:r>
      <w:r w:rsidR="001314F8" w:rsidRPr="000B0221">
        <w:t xml:space="preserve"> sufficient protein intake</w:t>
      </w:r>
      <w:r w:rsidR="004A0657" w:rsidRPr="000B0221">
        <w:t xml:space="preserve">. </w:t>
      </w:r>
      <w:r w:rsidR="003B7E12" w:rsidRPr="000B0221">
        <w:t xml:space="preserve">The Mini-Nutritional Assessment could also </w:t>
      </w:r>
      <w:r w:rsidR="000226C3" w:rsidRPr="000B0221">
        <w:t xml:space="preserve">be </w:t>
      </w:r>
      <w:r w:rsidR="003B7E12" w:rsidRPr="000B0221">
        <w:t>use</w:t>
      </w:r>
      <w:r w:rsidR="000226C3" w:rsidRPr="000B0221">
        <w:t>d</w:t>
      </w:r>
      <w:r w:rsidR="003B7E12" w:rsidRPr="000B0221">
        <w:t xml:space="preserve"> for a rapid and </w:t>
      </w:r>
      <w:r w:rsidR="000226C3" w:rsidRPr="000B0221">
        <w:t>easy assessment</w:t>
      </w:r>
      <w:r w:rsidR="003B7E12" w:rsidRPr="000B0221">
        <w:t xml:space="preserve"> of malnutrition or, at least, risk of malnutrition</w:t>
      </w:r>
      <w:r w:rsidR="00684736" w:rsidRPr="000B0221">
        <w:fldChar w:fldCharType="begin" w:fldLock="1"/>
      </w:r>
      <w:r w:rsidR="007E0300">
        <w:instrText>ADDIN CSL_CITATION { "citationItems" : [ { "id" : "ITEM-1", "itemData" : { "ISBN" : "0029-6643 (Print)\r0029-6643 (Linking)", "PMID" : "8919685", "author" : [ { "dropping-particle" : "", "family" : "Guigoz", "given" : "Y", "non-dropping-particle" : "", "parse-names" : false, "suffix" : "" }, { "dropping-particle" : "", "family" : "Vellas", "given" : "B", "non-dropping-particle" : "", "parse-names" : false, "suffix" : "" }, { "dropping-particle" : "", "family" : "Garry", "given" : "P J", "non-dropping-particle" : "", "parse-names" : false, "suffix" : "" } ], "container-title" : "Nutr Rev", "edition" : "1996/01/01", "id" : "ITEM-1", "issue" : "1 Pt 2", "issued" : { "date-parts" : [ [ "1996" ] ] }, "language" : "eng", "note" : "Guigoz, Y\nVellas, B\nGarry, P J\nNutr Rev. 1996 Jan;54(1 Pt 2):S59-65.", "page" : "S59-65", "title" : "Assessing the nutritional status of the elderly: The Mini Nutritional Assessment as part of the geriatric evaluation", "type" : "article-journal", "volume" : "54" }, "uris" : [ "http://www.mendeley.com/documents/?uuid=a8c81dd0-ef9a-4773-b356-c5c21ae69ded" ] } ], "mendeley" : { "formattedCitation" : "&lt;sup&gt;68&lt;/sup&gt;", "plainTextFormattedCitation" : "68", "previouslyFormattedCitation" : "&lt;sup&gt;68&lt;/sup&gt;" }, "properties" : { "noteIndex" : 0 }, "schema" : "https://github.com/citation-style-language/schema/raw/master/csl-citation.json" }</w:instrText>
      </w:r>
      <w:r w:rsidR="00684736" w:rsidRPr="000B0221">
        <w:fldChar w:fldCharType="separate"/>
      </w:r>
      <w:r w:rsidR="007E0300" w:rsidRPr="007E0300">
        <w:rPr>
          <w:noProof/>
          <w:vertAlign w:val="superscript"/>
        </w:rPr>
        <w:t>68</w:t>
      </w:r>
      <w:r w:rsidR="00684736" w:rsidRPr="000B0221">
        <w:fldChar w:fldCharType="end"/>
      </w:r>
      <w:r w:rsidR="003B7E12" w:rsidRPr="000B0221">
        <w:t xml:space="preserve">. </w:t>
      </w:r>
      <w:r w:rsidR="003B1CFB" w:rsidRPr="000B0221">
        <w:t>Finally, clinicians can also assess physical activity. Indeed physical inactivity or high levels of sedentary behavio</w:t>
      </w:r>
      <w:r w:rsidR="00724205" w:rsidRPr="000B0221">
        <w:t>u</w:t>
      </w:r>
      <w:r w:rsidR="003B1CFB" w:rsidRPr="000B0221">
        <w:t xml:space="preserve">r may be considered a red flag. </w:t>
      </w:r>
      <w:r w:rsidR="00602827" w:rsidRPr="000B0221">
        <w:t>If</w:t>
      </w:r>
      <w:r w:rsidR="00EC5CC0" w:rsidRPr="000B0221">
        <w:t xml:space="preserve"> the screening</w:t>
      </w:r>
      <w:r w:rsidR="00AA57F3" w:rsidRPr="000B0221">
        <w:t xml:space="preserve"> identifies any red flag suggesting the presence of</w:t>
      </w:r>
      <w:r w:rsidR="00EC5CC0" w:rsidRPr="000B0221">
        <w:t xml:space="preserve"> sarcopenia</w:t>
      </w:r>
      <w:r w:rsidR="00AA57F3" w:rsidRPr="000B0221">
        <w:t xml:space="preserve">, more sophisticated </w:t>
      </w:r>
      <w:r w:rsidR="000226C3" w:rsidRPr="000B0221">
        <w:t xml:space="preserve">assessment </w:t>
      </w:r>
      <w:r w:rsidR="00AA57F3" w:rsidRPr="000B0221">
        <w:t xml:space="preserve">procedures of sarcopenia </w:t>
      </w:r>
      <w:r w:rsidR="002C2F80" w:rsidRPr="000B0221">
        <w:t>can</w:t>
      </w:r>
      <w:r w:rsidR="00EC5CC0" w:rsidRPr="000B0221">
        <w:t xml:space="preserve"> be </w:t>
      </w:r>
      <w:r w:rsidR="00EC5CC0" w:rsidRPr="000B0221">
        <w:lastRenderedPageBreak/>
        <w:t>implemented.</w:t>
      </w:r>
      <w:r w:rsidR="00753175">
        <w:t xml:space="preserve"> </w:t>
      </w:r>
      <w:r w:rsidR="00753175" w:rsidRPr="00C164A3">
        <w:t>Red flags ha</w:t>
      </w:r>
      <w:r w:rsidR="00753175">
        <w:t>ve</w:t>
      </w:r>
      <w:r w:rsidR="00753175" w:rsidRPr="00C164A3">
        <w:t xml:space="preserve"> been identified </w:t>
      </w:r>
      <w:r w:rsidR="00753175">
        <w:t xml:space="preserve">through reviewed papers identified by members of the group and are presented in Table 2. </w:t>
      </w:r>
    </w:p>
    <w:p w14:paraId="74F13F64" w14:textId="59537868" w:rsidR="00EA224C" w:rsidRPr="00C164A3" w:rsidRDefault="00114ED6" w:rsidP="00377240">
      <w:pPr>
        <w:pStyle w:val="ListParagraph"/>
        <w:numPr>
          <w:ilvl w:val="0"/>
          <w:numId w:val="28"/>
        </w:numPr>
        <w:spacing w:line="360" w:lineRule="auto"/>
        <w:rPr>
          <w:i/>
        </w:rPr>
      </w:pPr>
      <w:r w:rsidRPr="00C164A3">
        <w:rPr>
          <w:i/>
        </w:rPr>
        <w:t>The SARC-F questionnaire</w:t>
      </w:r>
    </w:p>
    <w:p w14:paraId="6D2ED4DE" w14:textId="4A92C66E" w:rsidR="00114ED6" w:rsidRPr="000B0221" w:rsidRDefault="008B6352" w:rsidP="00114ED6">
      <w:pPr>
        <w:spacing w:line="360" w:lineRule="auto"/>
        <w:ind w:left="360"/>
        <w:jc w:val="both"/>
      </w:pPr>
      <w:r w:rsidRPr="00C164A3">
        <w:t>The</w:t>
      </w:r>
      <w:r w:rsidR="00114ED6" w:rsidRPr="00C164A3">
        <w:t xml:space="preserve"> SARC-F questionnaire</w:t>
      </w:r>
      <w:r w:rsidR="00114ED6" w:rsidRPr="000B0221">
        <w:fldChar w:fldCharType="begin" w:fldLock="1"/>
      </w:r>
      <w:r w:rsidR="007E0300">
        <w:instrText>ADDIN CSL_CITATION { "citationItems" : [ { "id" : "ITEM-1", "itemData" : { "DOI" : "10.1016/j.jamda.2013.05.018", "ISSN" : "1538-9375", "PMID" : "23810110", "author" : [ { "dropping-particle" : "", "family" : "Malmstrom", "given" : "Theodore K", "non-dropping-particle" : "", "parse-names" : false, "suffix" : "" }, { "dropping-particle" : "", "family" : "Morley", "given" : "John E", "non-dropping-particle" : "", "parse-names" : false, "suffix" : "" } ], "container-title" : "Journal of the American Medical Directors Association", "id" : "ITEM-1", "issue" : "8", "issued" : { "date-parts" : [ [ "2013", "8" ] ] }, "page" : "531-2", "title" : "SARC-F: a simple questionnaire to rapidly diagnose sarcopenia.", "type" : "article-journal", "volume" : "14" }, "uris" : [ "http://www.mendeley.com/documents/?uuid=bde19bac-3616-4a01-8e44-3b5fbc587074" ] } ], "mendeley" : { "formattedCitation" : "&lt;sup&gt;69&lt;/sup&gt;", "plainTextFormattedCitation" : "69", "previouslyFormattedCitation" : "&lt;sup&gt;69&lt;/sup&gt;" }, "properties" : { "noteIndex" : 0 }, "schema" : "https://github.com/citation-style-language/schema/raw/master/csl-citation.json" }</w:instrText>
      </w:r>
      <w:r w:rsidR="00114ED6" w:rsidRPr="000B0221">
        <w:fldChar w:fldCharType="separate"/>
      </w:r>
      <w:r w:rsidR="007E0300" w:rsidRPr="007E0300">
        <w:rPr>
          <w:noProof/>
          <w:vertAlign w:val="superscript"/>
        </w:rPr>
        <w:t>69</w:t>
      </w:r>
      <w:r w:rsidR="00114ED6" w:rsidRPr="000B0221">
        <w:fldChar w:fldCharType="end"/>
      </w:r>
      <w:r w:rsidR="005779B6" w:rsidRPr="000B0221">
        <w:t xml:space="preserve"> </w:t>
      </w:r>
      <w:r w:rsidR="00AA57F3" w:rsidRPr="000B0221">
        <w:t>was</w:t>
      </w:r>
      <w:r w:rsidR="00114ED6" w:rsidRPr="000B0221">
        <w:t xml:space="preserve"> developed as a possible rapid </w:t>
      </w:r>
      <w:r w:rsidR="003B1CFB" w:rsidRPr="000B0221">
        <w:t xml:space="preserve">screening </w:t>
      </w:r>
      <w:r w:rsidR="00114ED6" w:rsidRPr="000B0221">
        <w:t xml:space="preserve">test for sarcopenia. This questionnaire could enable healthcare providers to quickly and easily assess the risk of sarcopenia during a standard health consultation. </w:t>
      </w:r>
      <w:r w:rsidR="00C73AF7" w:rsidRPr="000B0221">
        <w:t>The subject</w:t>
      </w:r>
      <w:r w:rsidRPr="000B0221">
        <w:t xml:space="preserve"> is asked 5</w:t>
      </w:r>
      <w:r w:rsidR="00114ED6" w:rsidRPr="000B0221">
        <w:t xml:space="preserve"> questions </w:t>
      </w:r>
      <w:r w:rsidRPr="000B0221">
        <w:t>addressing</w:t>
      </w:r>
      <w:r w:rsidR="00114ED6" w:rsidRPr="000B0221">
        <w:t xml:space="preserve"> strength, assistance in walking, rising from a chair,</w:t>
      </w:r>
      <w:r w:rsidR="00AA57F3" w:rsidRPr="000B0221">
        <w:t xml:space="preserve"> stair</w:t>
      </w:r>
      <w:r w:rsidRPr="000B0221">
        <w:t xml:space="preserve"> climbing</w:t>
      </w:r>
      <w:r w:rsidR="00AA57F3" w:rsidRPr="000B0221">
        <w:t xml:space="preserve"> and falls. </w:t>
      </w:r>
      <w:r w:rsidRPr="000B0221">
        <w:t>Each</w:t>
      </w:r>
      <w:r w:rsidR="00035DB7" w:rsidRPr="000B0221">
        <w:t xml:space="preserve"> component</w:t>
      </w:r>
      <w:r w:rsidRPr="000B0221">
        <w:t xml:space="preserve"> is scored </w:t>
      </w:r>
      <w:r w:rsidR="00035DB7" w:rsidRPr="000B0221">
        <w:t xml:space="preserve">from 0 to 2 points, giving a global score of the SARC-F </w:t>
      </w:r>
      <w:r w:rsidR="00114ED6" w:rsidRPr="000B0221">
        <w:t>between 0 and 10 poin</w:t>
      </w:r>
      <w:r w:rsidR="00035DB7" w:rsidRPr="000B0221">
        <w:t>ts. A score ≥ 4 points is reported to</w:t>
      </w:r>
      <w:r w:rsidR="00114ED6" w:rsidRPr="000B0221">
        <w:t xml:space="preserve"> be predictive of sarcopenia and poor outcomes</w:t>
      </w:r>
      <w:r w:rsidR="00174DA8" w:rsidRPr="000B0221">
        <w:t xml:space="preserve"> and could be </w:t>
      </w:r>
      <w:r w:rsidR="000226C3" w:rsidRPr="000B0221">
        <w:t>a trigger for</w:t>
      </w:r>
      <w:r w:rsidR="00174DA8" w:rsidRPr="000B0221">
        <w:t xml:space="preserve"> a more detailed assessment of sarcopenia</w:t>
      </w:r>
      <w:r w:rsidR="00114ED6" w:rsidRPr="000B0221">
        <w:t xml:space="preserve">. </w:t>
      </w:r>
    </w:p>
    <w:p w14:paraId="345CE7BE" w14:textId="29482138" w:rsidR="00114ED6" w:rsidRPr="000B0221" w:rsidRDefault="00035DB7" w:rsidP="004969FE">
      <w:pPr>
        <w:spacing w:line="360" w:lineRule="auto"/>
        <w:ind w:left="360"/>
        <w:jc w:val="both"/>
      </w:pPr>
      <w:r w:rsidRPr="000B0221">
        <w:t>Despite a questionable</w:t>
      </w:r>
      <w:r w:rsidR="00114ED6" w:rsidRPr="000B0221">
        <w:t xml:space="preserve"> sensitivity</w:t>
      </w:r>
      <w:r w:rsidR="00F40D7E" w:rsidRPr="000B0221">
        <w:fldChar w:fldCharType="begin" w:fldLock="1"/>
      </w:r>
      <w:r w:rsidR="007E0300">
        <w:instrText>ADDIN CSL_CITATION { "citationItems" : [ { "id" : "ITEM-1", "itemData" : { "DOI" : "10.1016/j.jamda.2014.04.021", "ISSN" : "1538-9375", "PMID" : "24947762", "abstract" : "OBJECTIVES: Using data from the Hong Kong Mr and Ms Os study, we validated the SARC-F against 3 consensus definitions of sarcopenia from Europe, Asia, and an international group, and compared the ability of all 4 measures to predict 4-year physical limitation, walking speed, and repeated chair stands.\n\nDESIGN: Prospective cohort study.\n\nSETTING: Hong Kong community.\n\nPARTICIPANTS: Four thousand men and women living in the community.\n\nMEASUREMENTS: A questionnaire regarding ability to carry a heavy load, walking, rising from a chair, climbing stairs, and falls frequency was administered. These questions were used to calculate the SARC-F score. Measurements, including appendicular muscle mass, were taken using dual-energy X-ray, grip strength using a dynamometer, 6-m gait speed, and time taken for repeated chair stand. Classification using the SARC-F score was compared using consensus panel criteria from international, European, and Asian sarcopenia working groups. The performance of all 4 methods was compared by examining the predictive ability for 4-year outcomes using ROC curve.\n\nRESULTS: The SARC-F has excellent specificity but poor sensitivity for sarcopenia classification; however, all 4 methods have comparable but modest predictive power for 4-year physical limitation.\n\nCONCLUSION: The SARC-F may be considered a suitable tool for community screening for sarcopenia.", "author" : [ { "dropping-particle" : "", "family" : "Woo", "given" : "Jean", "non-dropping-particle" : "", "parse-names" : false, "suffix" : "" }, { "dropping-particle" : "", "family" : "Leung", "given" : "Jason", "non-dropping-particle" : "", "parse-names" : false, "suffix" : "" }, { "dropping-particle" : "", "family" : "Morley", "given" : "John E", "non-dropping-particle" : "", "parse-names" : false, "suffix" : "" } ], "container-title" : "Journal of the American Medical Directors Association", "id" : "ITEM-1", "issue" : "9", "issued" : { "date-parts" : [ [ "2014", "9", "9" ] ] }, "language" : "English", "page" : "630-4", "publisher" : "Elsevier", "title" : "Validating the SARC-F: a suitable community screening tool for sarcopenia?", "type" : "article-journal", "volume" : "15" }, "uris" : [ "http://www.mendeley.com/documents/?uuid=acc7285b-5dfa-4b95-8522-192766196f00" ] } ], "mendeley" : { "formattedCitation" : "&lt;sup&gt;70&lt;/sup&gt;", "plainTextFormattedCitation" : "70", "previouslyFormattedCitation" : "&lt;sup&gt;70&lt;/sup&gt;" }, "properties" : { "noteIndex" : 0 }, "schema" : "https://github.com/citation-style-language/schema/raw/master/csl-citation.json" }</w:instrText>
      </w:r>
      <w:r w:rsidR="00F40D7E" w:rsidRPr="000B0221">
        <w:fldChar w:fldCharType="separate"/>
      </w:r>
      <w:r w:rsidR="007E0300" w:rsidRPr="007E0300">
        <w:rPr>
          <w:noProof/>
          <w:vertAlign w:val="superscript"/>
        </w:rPr>
        <w:t>70</w:t>
      </w:r>
      <w:r w:rsidR="00F40D7E" w:rsidRPr="000B0221">
        <w:fldChar w:fldCharType="end"/>
      </w:r>
      <w:r w:rsidR="00114ED6" w:rsidRPr="000B0221">
        <w:t>, the</w:t>
      </w:r>
      <w:r w:rsidRPr="000B0221">
        <w:t xml:space="preserve"> SARC-F questionnaire is considered as one of the </w:t>
      </w:r>
      <w:r w:rsidR="00114ED6" w:rsidRPr="000B0221">
        <w:t xml:space="preserve">best </w:t>
      </w:r>
      <w:r w:rsidRPr="000B0221">
        <w:t xml:space="preserve">available </w:t>
      </w:r>
      <w:r w:rsidR="00114ED6" w:rsidRPr="000B0221">
        <w:t>too</w:t>
      </w:r>
      <w:r w:rsidRPr="000B0221">
        <w:t>ls to be used</w:t>
      </w:r>
      <w:r w:rsidR="00114ED6" w:rsidRPr="000B0221">
        <w:t xml:space="preserve"> in primary care for </w:t>
      </w:r>
      <w:r w:rsidRPr="000B0221">
        <w:t xml:space="preserve">raising </w:t>
      </w:r>
      <w:r w:rsidR="008B6352" w:rsidRPr="000B0221">
        <w:t xml:space="preserve">awareness </w:t>
      </w:r>
      <w:r w:rsidR="002C2F80" w:rsidRPr="000B0221">
        <w:t>of the</w:t>
      </w:r>
      <w:r w:rsidR="008B6352" w:rsidRPr="000B0221">
        <w:t xml:space="preserve"> </w:t>
      </w:r>
      <w:r w:rsidR="00114ED6" w:rsidRPr="000B0221">
        <w:t>diagn</w:t>
      </w:r>
      <w:r w:rsidR="00DB642A" w:rsidRPr="000B0221">
        <w:t>osis of sarcopenia</w:t>
      </w:r>
      <w:r w:rsidRPr="000B0221">
        <w:t>. Similarly to</w:t>
      </w:r>
      <w:r w:rsidR="00114ED6" w:rsidRPr="000B0221">
        <w:t xml:space="preserve"> the red flag method, a result ≥ 4 for the SARC-F questionnaire </w:t>
      </w:r>
      <w:r w:rsidR="004969FE" w:rsidRPr="000B0221">
        <w:t>could be</w:t>
      </w:r>
      <w:r w:rsidR="00860627" w:rsidRPr="000B0221">
        <w:t xml:space="preserve"> an incentive to send the subjec</w:t>
      </w:r>
      <w:r w:rsidR="004969FE" w:rsidRPr="000B0221">
        <w:t xml:space="preserve">t to a complete </w:t>
      </w:r>
      <w:r w:rsidR="000226C3" w:rsidRPr="000B0221">
        <w:t xml:space="preserve">assessment </w:t>
      </w:r>
      <w:r w:rsidR="004969FE" w:rsidRPr="000B0221">
        <w:t xml:space="preserve">of sarcopenia. </w:t>
      </w:r>
    </w:p>
    <w:p w14:paraId="09A6F5E6" w14:textId="02BBA955" w:rsidR="00EA224C" w:rsidRPr="000B0221" w:rsidRDefault="006A67EE" w:rsidP="00377240">
      <w:pPr>
        <w:pStyle w:val="ListParagraph"/>
        <w:numPr>
          <w:ilvl w:val="0"/>
          <w:numId w:val="28"/>
        </w:numPr>
        <w:spacing w:line="360" w:lineRule="auto"/>
        <w:rPr>
          <w:i/>
        </w:rPr>
      </w:pPr>
      <w:r w:rsidRPr="000B0221">
        <w:rPr>
          <w:i/>
        </w:rPr>
        <w:t>Prediction of low muscle mass according to age and BMI</w:t>
      </w:r>
    </w:p>
    <w:p w14:paraId="0F5C181D" w14:textId="0E23A780" w:rsidR="00114ED6" w:rsidRPr="000B0221" w:rsidRDefault="00B172F9" w:rsidP="005779B6">
      <w:pPr>
        <w:spacing w:line="360" w:lineRule="auto"/>
        <w:ind w:left="360"/>
        <w:jc w:val="both"/>
      </w:pPr>
      <w:r w:rsidRPr="000B0221">
        <w:t>Recently, a study</w:t>
      </w:r>
      <w:r w:rsidR="00D9208B" w:rsidRPr="000B0221">
        <w:fldChar w:fldCharType="begin" w:fldLock="1"/>
      </w:r>
      <w:r w:rsidR="007E0300">
        <w:instrText>ADDIN CSL_CITATION { "citationItems" : [ { "id" : "ITEM-1", "itemData" : { "DOI" : "10.1007/s13539-013-0107-9", "ISSN" : "2190-5991", "PMID" : "23673689", "abstract" : "BACKGROUND: Skeletal muscle mass declines after the age of 50. Loss of skeletal muscle mass is associated with increased morbidity and mortality.\n\nOBJECTIVE: This study aims to identify predictors of low skeletal muscle mass in older adults toward development of a practical clinical assessment tool for use by clinicians to identify patients requiring dual-energy X-ray absorptiometry (DXA) screening for muscle mass.\n\nMETHODS: Data were drawn from the National Health and Nutrition Examination Surveys (NHANES) from 1999 to 2004. Appendicular skeletal mass (ASM) was calculated based on DXA scans. Skeletal muscle mass index (SMI) was defined as the ratio of ASM divided by height in square centimeters. Elderly participants were classified as having low muscle mass if the SMI was 1 standard deviation (SD) below the mean SMI of young adults (20-40\u00a0years old). Logistic regression was conducted separately in males and females age \u226565\u00a0years of age to examine the relationship between patients identified as having low muscle mass and health behavior characteristics, adjusting for comorbid conditions. The model was validated on a separate sample of 200 patients.\n\nRESULTS: Among the NHANES study population, 551 (39.7\u00a0%) males and 374 (27.5\u00a0%) females had a SMI below the 1 SD cutoff point. NHANES study subjects with a low SMI were older (mean age, 76.2 vs. 72.7 for male; 76.0 vs. 73.7 for female; and both p\u2009&lt;\u20090.0001) and had a lower body mass index (mean BMI, 24.1 vs. 29.4 for male; 22.9 vs. 29.7 for female; p\u2009&lt;\u20090.0001). In adjusted logistic regression analyses, age (for males) and BMI (for both males and females) remained statistically significant. A parsimonious logistic regression model adjusting for age and BMI only had a C statistic of 0.89 for both males and females. The discriminatory power of the parsimonious model increased to 0.93 for males and 0.95 for females when the cutoff defining low SMI was set to 2 SD below the SMI of young adults. In the validation sample, the sensitivity was 81.6\u00a0% for males and 90.6\u00a0% for females. The specificity was 66.2\u00a0% for males and females.\n\nCONCLUSIONS: BMI was strongly associated with a low SMI and may be an informative predictor in the primary care setting. The predictive model worked well in a validation sample.", "author" : [ { "dropping-particle" : "", "family" : "Goodman", "given" : "Michael J", "non-dropping-particle" : "", "parse-names" : false, "suffix" : "" }, { "dropping-particle" : "", "family" : "Ghate", "given" : "Sameer R", "non-dropping-particle" : "", "parse-names" : false, "suffix" : "" }, { "dropping-particle" : "", "family" : "Mavros", "given" : "Panagiotis", "non-dropping-particle" : "", "parse-names" : false, "suffix" : "" }, { "dropping-particle" : "", "family" : "Sen", "given" : "Shuvayu", "non-dropping-particle" : "", "parse-names" : false, "suffix" : "" }, { "dropping-particle" : "", "family" : "Marcus", "given" : "Robin L", "non-dropping-particle" : "", "parse-names" : false, "suffix" : "" }, { "dropping-particle" : "", "family" : "Joy", "given" : "Elizabeth", "non-dropping-particle" : "", "parse-names" : false, "suffix" : "" }, { "dropping-particle" : "", "family" : "Brixner", "given" : "Diana I", "non-dropping-particle" : "", "parse-names" : false, "suffix" : "" } ], "container-title" : "Journal of cachexia, sarcopenia and muscle", "id" : "ITEM-1", "issue" : "3", "issued" : { "date-parts" : [ [ "2013", "9" ] ] }, "page" : "187-97", "title" : "Development of a practical screening tool to predict low muscle mass using NHANES 1999-2004.", "type" : "article-journal", "volume" : "4" }, "uris" : [ "http://www.mendeley.com/documents/?uuid=e540600e-0a18-404e-b356-60c364560b05" ] } ], "mendeley" : { "formattedCitation" : "&lt;sup&gt;71&lt;/sup&gt;", "plainTextFormattedCitation" : "71", "previouslyFormattedCitation" : "&lt;sup&gt;71&lt;/sup&gt;" }, "properties" : { "noteIndex" : 0 }, "schema" : "https://github.com/citation-style-language/schema/raw/master/csl-citation.json" }</w:instrText>
      </w:r>
      <w:r w:rsidR="00D9208B" w:rsidRPr="000B0221">
        <w:fldChar w:fldCharType="separate"/>
      </w:r>
      <w:r w:rsidR="007E0300" w:rsidRPr="007E0300">
        <w:rPr>
          <w:noProof/>
          <w:vertAlign w:val="superscript"/>
        </w:rPr>
        <w:t>71</w:t>
      </w:r>
      <w:r w:rsidR="00D9208B" w:rsidRPr="000B0221">
        <w:fldChar w:fldCharType="end"/>
      </w:r>
      <w:r w:rsidRPr="000B0221">
        <w:t xml:space="preserve"> has been performed with the purpose to identify predictors of low skeletal muscle mass in older adults toward development of a practical clinical assessment tool for use by clinicians to identify </w:t>
      </w:r>
      <w:r w:rsidR="0063591D">
        <w:t>individuals</w:t>
      </w:r>
      <w:r w:rsidRPr="000B0221">
        <w:t xml:space="preserve"> requiring DXA screening for muscle mass. For this purpose, </w:t>
      </w:r>
      <w:r w:rsidR="00544ECF" w:rsidRPr="000B0221">
        <w:t>ALM</w:t>
      </w:r>
      <w:r w:rsidRPr="000B0221">
        <w:t xml:space="preserve"> </w:t>
      </w:r>
      <w:r w:rsidR="000226C3" w:rsidRPr="000B0221">
        <w:t>was</w:t>
      </w:r>
      <w:r w:rsidRPr="000B0221">
        <w:t xml:space="preserve"> calculated </w:t>
      </w:r>
      <w:r w:rsidR="000226C3" w:rsidRPr="000B0221">
        <w:t xml:space="preserve">from </w:t>
      </w:r>
      <w:r w:rsidRPr="000B0221">
        <w:t>DXA scans and SMI defined as the ratio of A</w:t>
      </w:r>
      <w:r w:rsidR="00483E3E" w:rsidRPr="000B0221">
        <w:t>L</w:t>
      </w:r>
      <w:r w:rsidRPr="000B0221">
        <w:t xml:space="preserve">M divided by height in square </w:t>
      </w:r>
      <w:r w:rsidR="009A055F" w:rsidRPr="000B0221">
        <w:t>centimetres</w:t>
      </w:r>
      <w:r w:rsidRPr="000B0221">
        <w:t xml:space="preserve">. </w:t>
      </w:r>
      <w:r w:rsidR="00B11F75">
        <w:t>Older</w:t>
      </w:r>
      <w:r w:rsidR="00B11F75" w:rsidRPr="000B0221">
        <w:t xml:space="preserve"> </w:t>
      </w:r>
      <w:r w:rsidRPr="000B0221">
        <w:t xml:space="preserve">participants (from 65 years to 85 years) were classified has having low muscle mass if their SMI </w:t>
      </w:r>
      <w:r w:rsidR="00B12118" w:rsidRPr="000B0221">
        <w:t xml:space="preserve">was </w:t>
      </w:r>
      <w:r w:rsidRPr="000B0221">
        <w:t xml:space="preserve">1 standard deviation below the mean SMI of young adults. This model was validated on a sample of 200 </w:t>
      </w:r>
      <w:r w:rsidR="00860627" w:rsidRPr="000B0221">
        <w:t>subjects</w:t>
      </w:r>
      <w:r w:rsidRPr="000B0221">
        <w:t xml:space="preserve"> of the NHANES population. </w:t>
      </w:r>
      <w:r w:rsidR="00D9208B" w:rsidRPr="000B0221">
        <w:t xml:space="preserve">Results </w:t>
      </w:r>
      <w:r w:rsidR="006A67EE" w:rsidRPr="000B0221">
        <w:t>of the validation analysis revealed</w:t>
      </w:r>
      <w:r w:rsidR="00114ED6" w:rsidRPr="000B0221">
        <w:t xml:space="preserve"> that</w:t>
      </w:r>
      <w:r w:rsidR="001C635F">
        <w:t xml:space="preserve"> age and</w:t>
      </w:r>
      <w:r w:rsidR="00114ED6" w:rsidRPr="000B0221">
        <w:t xml:space="preserve"> </w:t>
      </w:r>
      <w:r w:rsidR="005D2F3C" w:rsidRPr="000B0221">
        <w:t>BMI</w:t>
      </w:r>
      <w:r w:rsidR="00114ED6" w:rsidRPr="000B0221">
        <w:t xml:space="preserve"> </w:t>
      </w:r>
      <w:r w:rsidR="001C635F" w:rsidRPr="000B0221">
        <w:t>w</w:t>
      </w:r>
      <w:r w:rsidR="001C635F">
        <w:t>ere</w:t>
      </w:r>
      <w:r w:rsidR="001C635F" w:rsidRPr="000B0221">
        <w:t xml:space="preserve"> </w:t>
      </w:r>
      <w:r w:rsidR="00114ED6" w:rsidRPr="000B0221">
        <w:t xml:space="preserve">strongly associated with a low SMI and may be an informative predictor in the primary care settings. Consequently, two models </w:t>
      </w:r>
      <w:r w:rsidR="00B12118" w:rsidRPr="000B0221">
        <w:t xml:space="preserve">were </w:t>
      </w:r>
      <w:r w:rsidR="00114ED6" w:rsidRPr="000B0221">
        <w:t>proposed, one for me</w:t>
      </w:r>
      <w:r w:rsidR="00035DB7" w:rsidRPr="000B0221">
        <w:t>n and one for women and consist of</w:t>
      </w:r>
      <w:r w:rsidR="00114ED6" w:rsidRPr="000B0221">
        <w:t xml:space="preserve"> t</w:t>
      </w:r>
      <w:r w:rsidR="00035DB7" w:rsidRPr="000B0221">
        <w:t>wo tables presenting the</w:t>
      </w:r>
      <w:r w:rsidR="002C2F80" w:rsidRPr="000B0221">
        <w:t xml:space="preserve"> probability</w:t>
      </w:r>
      <w:r w:rsidR="00114ED6" w:rsidRPr="000B0221">
        <w:t xml:space="preserve"> of l</w:t>
      </w:r>
      <w:r w:rsidR="005779B6" w:rsidRPr="000B0221">
        <w:t xml:space="preserve">ow muscle mass by age and BMI. </w:t>
      </w:r>
      <w:r w:rsidR="001C635F">
        <w:t xml:space="preserve">In a 200-person validation, the model sensitivity was 81.6% for </w:t>
      </w:r>
      <w:r w:rsidR="005C0E6D">
        <w:t>men and 90.6% for women</w:t>
      </w:r>
      <w:r w:rsidR="001C635F">
        <w:t xml:space="preserve"> and the model specificity was 66.1% for </w:t>
      </w:r>
      <w:r w:rsidR="005C0E6D">
        <w:t>men</w:t>
      </w:r>
      <w:r w:rsidR="001C635F">
        <w:t xml:space="preserve"> an</w:t>
      </w:r>
      <w:r w:rsidR="00006B11">
        <w:t>d</w:t>
      </w:r>
      <w:r w:rsidR="001C635F">
        <w:t xml:space="preserve"> 66.2% for </w:t>
      </w:r>
      <w:r w:rsidR="005C0E6D">
        <w:t>women.</w:t>
      </w:r>
      <w:r w:rsidR="001C635F">
        <w:t xml:space="preserve"> </w:t>
      </w:r>
    </w:p>
    <w:p w14:paraId="06AFAF80" w14:textId="122DA3F7" w:rsidR="00026DED" w:rsidRPr="000B0221" w:rsidRDefault="00026DED" w:rsidP="00673028">
      <w:pPr>
        <w:pStyle w:val="ListParagraph"/>
        <w:numPr>
          <w:ilvl w:val="0"/>
          <w:numId w:val="28"/>
        </w:numPr>
        <w:spacing w:line="360" w:lineRule="auto"/>
      </w:pPr>
      <w:r w:rsidRPr="000B0221">
        <w:rPr>
          <w:i/>
        </w:rPr>
        <w:t>Anthropometric prediction equation in combination with a measure of muscle function</w:t>
      </w:r>
    </w:p>
    <w:p w14:paraId="44781319" w14:textId="08DD894F" w:rsidR="00026DED" w:rsidRPr="000B0221" w:rsidRDefault="00026DED" w:rsidP="00026DED">
      <w:pPr>
        <w:spacing w:line="360" w:lineRule="auto"/>
        <w:ind w:left="360"/>
        <w:jc w:val="both"/>
      </w:pPr>
      <w:r w:rsidRPr="000B0221">
        <w:t>Other authors developed gender specific anthropometric equations, based on age, weight, BMI values, to estimate appendicular skeletal muscle mass</w:t>
      </w:r>
      <w:r w:rsidR="000D0863">
        <w:fldChar w:fldCharType="begin" w:fldLock="1"/>
      </w:r>
      <w:r w:rsidR="007E0300">
        <w:instrText>ADDIN CSL_CITATION { "citationItems" : [ { "id" : "ITEM-1", "itemData" : { "ISSN" : "2260-1341", "abstract" : "R. Visvanathan, S. Yu, J. Field, I. Chapman, R. Adams, G. Wittert and T. Visvanathan", "author" : [ { "dropping-particle" : "", "family" : "Visvanathan", "given" : "R.", "non-dropping-particle" : "", "parse-names" : false, "suffix" : "" }, { "dropping-particle" : "", "family" : "Yu", "given" : "S.", "non-dropping-particle" : "", "parse-names" : false, "suffix" : "" }, { "dropping-particle" : "", "family" : "Field", "given" : "J.", "non-dropping-particle" : "", "parse-names" : false, "suffix" : "" }, { "dropping-particle" : "", "family" : "Chapman", "given" : "I.", "non-dropping-particle" : "", "parse-names" : false, "suffix" : "" }, { "dropping-particle" : "", "family" : "Adams", "given" : "R.", "non-dropping-particle" : "", "parse-names" : false, "suffix" : "" }, { "dropping-particle" : "", "family" : "Wittert", "given" : "G.", "non-dropping-particle" : "", "parse-names" : false, "suffix" : "" }, { "dropping-particle" : "", "family" : "Visvanathan", "given" : "T.", "non-dropping-particle" : "", "parse-names" : false, "suffix" : "" } ], "id" : "ITEM-1", "issued" : { "date-parts" : [ [ "2012" ] ] }, "language" : "en", "publisher" : "International Association of Gerontology and Geriatrics - Global Aging Research", "title" : "Appendicular skeletal muscle mass: development and validation of anthropometric prediction equations", "type" : "article-journal" }, "uris" : [ "http://www.mendeley.com/documents/?uuid=3c2d6271-52cf-4234-8ba2-370293a7cc77" ] } ], "mendeley" : { "formattedCitation" : "&lt;sup&gt;72&lt;/sup&gt;", "plainTextFormattedCitation" : "72", "previouslyFormattedCitation" : "&lt;sup&gt;72&lt;/sup&gt;" }, "properties" : { "noteIndex" : 0 }, "schema" : "https://github.com/citation-style-language/schema/raw/master/csl-citation.json" }</w:instrText>
      </w:r>
      <w:r w:rsidR="000D0863">
        <w:fldChar w:fldCharType="separate"/>
      </w:r>
      <w:r w:rsidR="007E0300" w:rsidRPr="007E0300">
        <w:rPr>
          <w:noProof/>
          <w:vertAlign w:val="superscript"/>
        </w:rPr>
        <w:t>72</w:t>
      </w:r>
      <w:r w:rsidR="000D0863">
        <w:fldChar w:fldCharType="end"/>
      </w:r>
      <w:r w:rsidRPr="000B0221">
        <w:t>. To validate these prediction equations, muscle mass was assessed using DXA in three cohorts of older Australian subjects</w:t>
      </w:r>
      <w:r w:rsidR="00CA4A11" w:rsidRPr="000B0221">
        <w:fldChar w:fldCharType="begin" w:fldLock="1"/>
      </w:r>
      <w:r w:rsidR="007E0300">
        <w:instrText>ADDIN CSL_CITATION { "citationItems" : [ { "id" : "ITEM-1", "itemData" : { "ISSN" : "2260-1341", "abstract" : "R. Visvanathan, S. Yu, J. Field, I. Chapman, R. Adams, G. Wittert and T. Visvanathan", "author" : [ { "dropping-particle" : "", "family" : "Visvanathan", "given" : "R.", "non-dropping-particle" : "", "parse-names" : false, "suffix" : "" }, { "dropping-particle" : "", "family" : "Yu", "given" : "S.", "non-dropping-particle" : "", "parse-names" : false, "suffix" : "" }, { "dropping-particle" : "", "family" : "Field", "given" : "J.", "non-dropping-particle" : "", "parse-names" : false, "suffix" : "" }, { "dropping-particle" : "", "family" : "Chapman", "given" : "I.", "non-dropping-particle" : "", "parse-names" : false, "suffix" : "" }, { "dropping-particle" : "", "family" : "Adams", "given" : "R.", "non-dropping-particle" : "", "parse-names" : false, "suffix" : "" }, { "dropping-particle" : "", "family" : "Wittert", "given" : "G.", "non-dropping-particle" : "", "parse-names" : false, "suffix" : "" }, { "dropping-particle" : "", "family" : "Visvanathan", "given" : "T.", "non-dropping-particle" : "", "parse-names" : false, "suffix" : "" } ], "id" : "ITEM-1", "issued" : { "date-parts" : [ [ "2012" ] ] }, "language" : "en", "publisher" : "International Association of Gerontology and Geriatrics - Global Aging Research", "title" : "Appendicular skeletal muscle mass: development and validation of anthropometric prediction equations", "type" : "article-journal" }, "uris" : [ "http://www.mendeley.com/documents/?uuid=3c2d6271-52cf-4234-8ba2-370293a7cc77" ] } ], "mendeley" : { "formattedCitation" : "&lt;sup&gt;72&lt;/sup&gt;", "plainTextFormattedCitation" : "72", "previouslyFormattedCitation" : "&lt;sup&gt;72&lt;/sup&gt;" }, "properties" : { "noteIndex" : 0 }, "schema" : "https://github.com/citation-style-language/schema/raw/master/csl-citation.json" }</w:instrText>
      </w:r>
      <w:r w:rsidR="00CA4A11" w:rsidRPr="000B0221">
        <w:fldChar w:fldCharType="separate"/>
      </w:r>
      <w:r w:rsidR="007E0300" w:rsidRPr="007E0300">
        <w:rPr>
          <w:noProof/>
          <w:vertAlign w:val="superscript"/>
        </w:rPr>
        <w:t>72</w:t>
      </w:r>
      <w:r w:rsidR="00CA4A11" w:rsidRPr="000B0221">
        <w:fldChar w:fldCharType="end"/>
      </w:r>
      <w:r w:rsidR="000D0863">
        <w:t xml:space="preserve"> (a</w:t>
      </w:r>
      <w:r w:rsidR="000D0863" w:rsidRPr="000D0863">
        <w:t xml:space="preserve">ppendicular skeletal muscle mass prediction equation: 10.05 + 0.35(weight) − 0.62(BMI) − 0.02(age) + 5.10 (if </w:t>
      </w:r>
      <w:r w:rsidR="000D0863" w:rsidRPr="000D0863">
        <w:lastRenderedPageBreak/>
        <w:t xml:space="preserve">male)). </w:t>
      </w:r>
      <w:r w:rsidRPr="000B0221">
        <w:t>The results showed a strong correlation between the equations and the muscle mass measured using DXA, with an adjusted R</w:t>
      </w:r>
      <w:r w:rsidRPr="000B0221">
        <w:rPr>
          <w:vertAlign w:val="superscript"/>
        </w:rPr>
        <w:t>2</w:t>
      </w:r>
      <w:r w:rsidRPr="000B0221">
        <w:t xml:space="preserve"> of 0.869. In a subsequent research the prediction equation</w:t>
      </w:r>
      <w:r w:rsidR="009A055F" w:rsidRPr="000B0221">
        <w:t>s</w:t>
      </w:r>
      <w:r w:rsidRPr="000B0221">
        <w:t xml:space="preserve"> </w:t>
      </w:r>
      <w:r w:rsidR="009A055F" w:rsidRPr="000B0221">
        <w:t xml:space="preserve">were </w:t>
      </w:r>
      <w:r w:rsidRPr="000B0221">
        <w:t xml:space="preserve">evaluated in combination with assessment of hand grip strength as a screening method to identify older </w:t>
      </w:r>
      <w:r w:rsidR="0063591D">
        <w:t>patients</w:t>
      </w:r>
      <w:r w:rsidRPr="000B0221">
        <w:t xml:space="preserve"> who should </w:t>
      </w:r>
      <w:r w:rsidR="00232F2D" w:rsidRPr="000B0221">
        <w:t>under</w:t>
      </w:r>
      <w:r w:rsidR="00232F2D">
        <w:t>g</w:t>
      </w:r>
      <w:r w:rsidR="00232F2D" w:rsidRPr="000B0221">
        <w:t xml:space="preserve">o </w:t>
      </w:r>
      <w:r w:rsidRPr="000B0221">
        <w:t xml:space="preserve">DXA evaluation for sarcopenia. The best strategy to reduce the number of DXA was to apply the equation first, to assess hand grip strength in those with low estimated muscle mass and to proceed to DXA only in </w:t>
      </w:r>
      <w:r w:rsidR="0063591D">
        <w:t>individuals</w:t>
      </w:r>
      <w:r w:rsidRPr="000B0221">
        <w:t xml:space="preserve"> with low grip strength</w:t>
      </w:r>
      <w:r w:rsidR="00CA4A11" w:rsidRPr="000B0221">
        <w:fldChar w:fldCharType="begin" w:fldLock="1"/>
      </w:r>
      <w:r w:rsidR="007E0300">
        <w:instrText>ADDIN CSL_CITATION { "citationItems" : [ { "id" : "ITEM-1", "itemData" : { "DOI" : "10.1016/j.jamda.2014.06.018", "ISSN" : "1538-9375", "PMID" : "25239016", "abstract" : "OBJECTIVES: Sarcopenia is the presence of low muscle mass and poor physical function. We have developed an anthropometric prediction equation (PE). We compared the accuracy of our previously developed anthropometric prediction equation (PE) to dual absorptiometry x-ray (DXA) in predicting low muscle mass and sarcopenia.\n\nDESIGN: Cross-sectional study design.\n\nSETTING: Community dwelling.\n\nPARTICIPANTS: Men and women aged 65 years and older.\n\nMEASUREMENTS: Gender-specific low muscle mass cutoffs were identified using the lowest 20% of the skeletal muscle index (SMI) where muscle mass was determined using PE in 611 men and 375 women aged 65 years and older. The sensitivity, specificity, positive predictive value (PPV) and negative predictive value (NPV) of PE derived low muscle mass were compared with DXA-derived low muscle mass. The cohort was randomized into a development and validation group to identify various cutoffs for low muscle mass via the PE method and test its performance against the DXA method.\n\nRESULTS: The PE cutoff for low muscle mass was less than 8.05 kg/m(2) in men and less than 5.35 kg/m(2) in women. On validation of various cutoffs with improving sensitivity values from 70% to 97%, specificity increased from 45.5% to 85.7%, PPV increased from 31.3% to 56.9%, and NPV increased from 93.0% to 98.6% in men. In women, specificity improved from 42% to 72%, PPV reduced from 56.9% to 31.3%, and NPV improved from 93.0% to 98.6%. When the PE method was combined with a measure of muscle performance, a similar pattern of performance was observed.\n\nCONCLUSION: The PE when combined with a measure of muscle function to create a screening tool performs as a \"rule-out\" test with high sensitivity values and NPVs.", "author" : [ { "dropping-particle" : "", "family" : "Yu", "given" : "Solomon", "non-dropping-particle" : "", "parse-names" : false, "suffix" : "" }, { "dropping-particle" : "", "family" : "Appleton", "given" : "Sarah", "non-dropping-particle" : "", "parse-names" : false, "suffix" : "" }, { "dropping-particle" : "", "family" : "Chapman", "given" : "Ian", "non-dropping-particle" : "", "parse-names" : false, "suffix" : "" }, { "dropping-particle" : "", "family" : "Adams", "given" : "Robert", "non-dropping-particle" : "", "parse-names" : false, "suffix" : "" }, { "dropping-particle" : "", "family" : "Wittert", "given" : "Gary", "non-dropping-particle" : "", "parse-names" : false, "suffix" : "" }, { "dropping-particle" : "", "family" : "Visvanathan", "given" : "Thavarajah", "non-dropping-particle" : "", "parse-names" : false, "suffix" : "" }, { "dropping-particle" : "", "family" : "Visvanathan", "given" : "Renuka", "non-dropping-particle" : "", "parse-names" : false, "suffix" : "" } ], "container-title" : "Journal of the American Medical Directors Association", "id" : "ITEM-1", "issue" : "1", "issued" : { "date-parts" : [ [ "2015", "1" ] ] }, "page" : "25-30", "title" : "An anthropometric prediction equation for appendicular skeletal muscle mass in combination with a measure of muscle function to screen for sarcopenia in primary and aged care.", "type" : "article-journal", "volume" : "16" }, "uris" : [ "http://www.mendeley.com/documents/?uuid=f59f3d41-5b09-47b0-b73a-c6cd092134b8" ] } ], "mendeley" : { "formattedCitation" : "&lt;sup&gt;50&lt;/sup&gt;", "plainTextFormattedCitation" : "50", "previouslyFormattedCitation" : "&lt;sup&gt;50&lt;/sup&gt;" }, "properties" : { "noteIndex" : 0 }, "schema" : "https://github.com/citation-style-language/schema/raw/master/csl-citation.json" }</w:instrText>
      </w:r>
      <w:r w:rsidR="00CA4A11" w:rsidRPr="000B0221">
        <w:fldChar w:fldCharType="separate"/>
      </w:r>
      <w:r w:rsidR="007E0300" w:rsidRPr="007E0300">
        <w:rPr>
          <w:noProof/>
          <w:vertAlign w:val="superscript"/>
        </w:rPr>
        <w:t>50</w:t>
      </w:r>
      <w:r w:rsidR="00CA4A11" w:rsidRPr="000B0221">
        <w:fldChar w:fldCharType="end"/>
      </w:r>
      <w:r w:rsidR="00CA4A11" w:rsidRPr="000B0221">
        <w:t>.</w:t>
      </w:r>
    </w:p>
    <w:p w14:paraId="4D818D2F" w14:textId="457F56EB" w:rsidR="00026DED" w:rsidRPr="000B0221" w:rsidRDefault="00026DED" w:rsidP="00CA4A11">
      <w:pPr>
        <w:pStyle w:val="ListParagraph"/>
        <w:numPr>
          <w:ilvl w:val="0"/>
          <w:numId w:val="28"/>
        </w:numPr>
        <w:spacing w:line="360" w:lineRule="auto"/>
        <w:rPr>
          <w:i/>
        </w:rPr>
      </w:pPr>
      <w:r w:rsidRPr="000B0221">
        <w:rPr>
          <w:i/>
        </w:rPr>
        <w:t xml:space="preserve"> Prediction of sarcopenia using age, handgrip strength and calf circumference</w:t>
      </w:r>
    </w:p>
    <w:p w14:paraId="7E121B83" w14:textId="35E94AD4" w:rsidR="00026DED" w:rsidRPr="000B0221" w:rsidRDefault="00CA4A11" w:rsidP="00CA4A11">
      <w:pPr>
        <w:spacing w:line="360" w:lineRule="auto"/>
        <w:ind w:left="360"/>
        <w:jc w:val="both"/>
      </w:pPr>
      <w:r w:rsidRPr="00877962">
        <w:rPr>
          <w:lang w:val="nl-BE"/>
        </w:rPr>
        <w:t xml:space="preserve">In 2014, </w:t>
      </w:r>
      <w:r w:rsidR="00026DED" w:rsidRPr="00877962">
        <w:rPr>
          <w:lang w:val="nl-BE"/>
        </w:rPr>
        <w:t xml:space="preserve">Ishii </w:t>
      </w:r>
      <w:r w:rsidRPr="00877962">
        <w:rPr>
          <w:lang w:val="nl-BE"/>
        </w:rPr>
        <w:t>et al.</w:t>
      </w:r>
      <w:r w:rsidRPr="000B0221">
        <w:fldChar w:fldCharType="begin" w:fldLock="1"/>
      </w:r>
      <w:r w:rsidR="007E0300">
        <w:rPr>
          <w:lang w:val="nl-BE"/>
        </w:rPr>
        <w:instrText>ADDIN CSL_CITATION { "citationItems" : [ { "id" : "ITEM-1", "itemData" : { "DOI" : "10.1111/ggi.12197", "ISSN" : "1447-0594", "PMID" : "24450566", "abstract" : "AIM: To develop a simple screening test to identify older adults at high risk for sarcopenia.\n\nMETHODS: We studied 1971 functionally independent, community-dwelling adults aged 65 years or older randomly selected from the resident register of Kashiwa city, Chiba, Japan. Data collection was carried out between September and November 2012. Sarcopenia was defined based on low muscle mass measured by bioimpedance analysis and either low muscle strength characterized by handgrip or low physical performance characterized by slow gait speed.\n\nRESULTS: The prevalence of sarcopenia was 14.2% in men and 22.1% in women. After the variable selection procedure, the final model to estimate the probability of sarcopenia included three variables: age, grip strength and calf circumference. The area under the receiver operating characteristic curve, a measure of discrimination, of the final model was 0.939 with 95% confidence interval (CI) of 0.918-0.958 for men, and 0.909 with 95% CI of 0.887-0.931 for women. We created a score chart for each sex based on the final model. When the sum of sensitivity and specificity was maximized, sensitivity, specificity, and positive and negative predictive values for sarcopenia were 84.9%, 88.2%, 54.4%, and 97.2% for men, 75.5%, 92.0%, 72.8%, and 93.0% for women, respectively.\n\nCONCLUSIONS: The presence of sarcopenia could be detected using three easily obtainable variables with high accuracy. The screening test we developed could help identify functionally independent older adults with sarcopenia who are good candidates for intervention.", "author" : [ { "dropping-particle" : "", "family" : "Ishii", "given" : "Shinya", "non-dropping-particle" : "", "parse-names" : false, "suffix" : "" }, { "dropping-particle" : "", "family" : "Tanaka", "given" : "Tomoki", "non-dropping-particle" : "", "parse-names" : false, "suffix" : "" }, { "dropping-particle" : "", "family" : "Shibasaki", "given" : "Koji", "non-dropping-particle" : "", "parse-names" : false, "suffix" : "" }, { "dropping-particle" : "", "family" : "Ouchi", "given" : "Yasuyoshi", "non-dropping-particle" : "", "parse-names" : false, "suffix" : "" }, { "dropping-particle" : "", "family" : "Kikutani", "given" : "Takeshi", "non-dropping-particle" : "", "parse-names" : false, "suffix" : "" }, { "dropping-particle" : "", "family" : "Higashiguchi", "given" : "Takashi", "non-dropping-particle" : "", "parse-names" : false, "suffix" : "" }, { "dropping-particle" : "", "family" : "Obuchi", "given" : "Shuichi P", "non-dropping-particle" : "", "parse-names" : false, "suffix" : "" }, { "dropping-particle" : "", "family" : "Ishikawa-Takata", "given" : "Kazuko", "non-dropping-particle" : "", "parse-names" : false, "suffix" : "" }, { "dropping-particle" : "", "family" : "Hirano", "given" : "Hirohiko", "non-dropping-particle" : "", "parse-names" : false, "suffix" : "" }, { "dropping-particle" : "", "family" : "Kawai", "given" : "Hisashi", "non-dropping-particle" : "", "parse-names" : false, "suffix" : "" }, { "dropping-particle" : "", "family" : "Tsuji", "given" : "Tetsuo", "non-dropping-particle" : "", "parse-names" : false, "suffix" : "" }, { "dropping-particle" : "", "family" : "Iijima", "given" : "Katsuya", "non-dropping-particle" : "", "parse-names" : false, "suffix" : "" } ], "container-title" : "Geriatrics &amp; gerontology international", "id" : "ITEM-1", "issued" : { "date-parts" : [ [ "2014", "2" ] ] }, "page" : "93-101", "title" : "Development of a simple screening test for sarcopenia in older adults.", "type" : "article-journal", "volume" : "14 Suppl 1" }, "uris" : [ "http://www.mendeley.com/documents/?uuid=1ccf7a36-0c80-4ca0-97af-43286c44c62d" ] } ], "mendeley" : { "formattedCitation" : "&lt;sup&gt;73&lt;/sup&gt;", "plainTextFormattedCitation" : "73", "previouslyFormattedCitation" : "&lt;sup&gt;73&lt;/sup&gt;" }, "properties" : { "noteIndex" : 0 }, "schema" : "https://github.com/citation-style-language/schema/raw/master/csl-citation.json" }</w:instrText>
      </w:r>
      <w:r w:rsidRPr="000B0221">
        <w:fldChar w:fldCharType="separate"/>
      </w:r>
      <w:r w:rsidR="007E0300" w:rsidRPr="007E0300">
        <w:rPr>
          <w:noProof/>
          <w:vertAlign w:val="superscript"/>
          <w:lang w:val="nl-BE"/>
        </w:rPr>
        <w:t>73</w:t>
      </w:r>
      <w:r w:rsidRPr="000B0221">
        <w:fldChar w:fldCharType="end"/>
      </w:r>
      <w:r w:rsidR="00026DED" w:rsidRPr="00877962">
        <w:rPr>
          <w:lang w:val="nl-BE"/>
        </w:rPr>
        <w:t xml:space="preserve"> developed a new screening tool for sarcopenia in a sample of almost 2000 autonomous community-dwelling older subjects in Japan. </w:t>
      </w:r>
      <w:r w:rsidR="00026DED" w:rsidRPr="000B0221">
        <w:t xml:space="preserve">Sarcopenia </w:t>
      </w:r>
      <w:r w:rsidR="000D7927">
        <w:t>was defined on the basis</w:t>
      </w:r>
      <w:r w:rsidR="00026DED" w:rsidRPr="000B0221">
        <w:t xml:space="preserve"> </w:t>
      </w:r>
      <w:r w:rsidR="00232F2D" w:rsidRPr="000B0221">
        <w:t>o</w:t>
      </w:r>
      <w:r w:rsidR="00232F2D">
        <w:t>f</w:t>
      </w:r>
      <w:r w:rsidR="00232F2D" w:rsidRPr="000B0221">
        <w:t xml:space="preserve"> </w:t>
      </w:r>
      <w:r w:rsidR="00026DED" w:rsidRPr="000B0221">
        <w:t xml:space="preserve">low muscle mass measured by </w:t>
      </w:r>
      <w:r w:rsidR="005119B3" w:rsidRPr="000B0221">
        <w:t>BIA</w:t>
      </w:r>
      <w:r w:rsidR="00026DED" w:rsidRPr="000B0221">
        <w:t xml:space="preserve"> and either low muscle strength characterized by handgrip or low physical performance characterized by slow gait speed. Using a database including demographic variables, albumin, chronic diseases, physical activity information and ant</w:t>
      </w:r>
      <w:r w:rsidR="009A055F" w:rsidRPr="000B0221">
        <w:t>h</w:t>
      </w:r>
      <w:r w:rsidR="00026DED" w:rsidRPr="000B0221">
        <w:t xml:space="preserve">ropometric measurements, the authors developed a gender specific model including three variables, i.e. age, handgrip strength and calf circumference. Based on the model, the authors constructed a gender specific score chart that had an excellent discrimination ability, with an area under the curve of 0.939 for men and 0.909 for women. </w:t>
      </w:r>
      <w:r w:rsidR="00CB507F">
        <w:t>The formula to calculate the scores are as follow</w:t>
      </w:r>
      <w:r w:rsidR="00232F2D">
        <w:t>s</w:t>
      </w:r>
      <w:r w:rsidR="00CB507F">
        <w:t>: score in men, 0.62 x (age-64) – 3.09 x (grip strength -50) – 4.64 x (calf ci</w:t>
      </w:r>
      <w:r w:rsidR="00232F2D">
        <w:t>rcumference -42)</w:t>
      </w:r>
      <w:r w:rsidR="00CB507F">
        <w:t xml:space="preserve">; score in women, 0.80 x (age-64) – 5.09 (grip strength -34) – 3.28 x (calf circumference – 42). The corresponding probabilities of sarcopenia </w:t>
      </w:r>
      <w:r w:rsidR="00232F2D">
        <w:t>were</w:t>
      </w:r>
      <w:r w:rsidR="00CB507F">
        <w:t xml:space="preserve"> calculated </w:t>
      </w:r>
      <w:r w:rsidR="00232F2D">
        <w:t>as</w:t>
      </w:r>
      <w:r w:rsidR="00CB507F">
        <w:t>: probability in men, 1 / [1 + e</w:t>
      </w:r>
      <w:r w:rsidR="00CB507F" w:rsidRPr="00CB507F">
        <w:rPr>
          <w:vertAlign w:val="superscript"/>
        </w:rPr>
        <w:t>-(sum score / 10-11.9)</w:t>
      </w:r>
      <w:r w:rsidR="00CB507F">
        <w:t xml:space="preserve">]; probability in women, 1/[1+e </w:t>
      </w:r>
      <w:r w:rsidR="00CB507F">
        <w:rPr>
          <w:vertAlign w:val="superscript"/>
        </w:rPr>
        <w:noBreakHyphen/>
      </w:r>
      <w:r w:rsidR="00CB507F" w:rsidRPr="00CB507F">
        <w:rPr>
          <w:vertAlign w:val="superscript"/>
        </w:rPr>
        <w:t>(sum score/10-12.5)</w:t>
      </w:r>
      <w:r w:rsidR="00CB507F">
        <w:t xml:space="preserve">]. </w:t>
      </w:r>
      <w:r w:rsidR="00026DED" w:rsidRPr="000B0221">
        <w:t xml:space="preserve">This model still requires further validation in </w:t>
      </w:r>
      <w:r w:rsidR="000D7927">
        <w:t>independen</w:t>
      </w:r>
      <w:r w:rsidR="00026DED" w:rsidRPr="000B0221">
        <w:t xml:space="preserve">t cohorts, before its use in clinical practice can be promoted. </w:t>
      </w:r>
    </w:p>
    <w:p w14:paraId="6D7E1443" w14:textId="27F2B5E9" w:rsidR="00A44A34" w:rsidRPr="000B0221" w:rsidRDefault="00A44A34"/>
    <w:p w14:paraId="3997B076" w14:textId="0CEDDA17" w:rsidR="00EA224C" w:rsidRPr="000B0221" w:rsidRDefault="00EA224C" w:rsidP="004B0C0A">
      <w:pPr>
        <w:pStyle w:val="ListParagraph"/>
        <w:numPr>
          <w:ilvl w:val="0"/>
          <w:numId w:val="26"/>
        </w:numPr>
        <w:tabs>
          <w:tab w:val="left" w:pos="284"/>
        </w:tabs>
        <w:spacing w:line="360" w:lineRule="auto"/>
        <w:ind w:hanging="720"/>
      </w:pPr>
      <w:r w:rsidRPr="000B0221">
        <w:t>How to manage sarcopenia in daily practice</w:t>
      </w:r>
      <w:r w:rsidR="00114ED6" w:rsidRPr="000B0221">
        <w:t>?</w:t>
      </w:r>
    </w:p>
    <w:p w14:paraId="1D889D2B" w14:textId="77777777" w:rsidR="00377240" w:rsidRPr="000B0221" w:rsidRDefault="00377240" w:rsidP="00377240">
      <w:pPr>
        <w:pStyle w:val="ListParagraph"/>
        <w:spacing w:line="360" w:lineRule="auto"/>
      </w:pPr>
    </w:p>
    <w:p w14:paraId="4837A4E4" w14:textId="55AE1037" w:rsidR="00EA224C" w:rsidRPr="000B0221" w:rsidRDefault="00EA224C" w:rsidP="00377240">
      <w:pPr>
        <w:pStyle w:val="ListParagraph"/>
        <w:numPr>
          <w:ilvl w:val="0"/>
          <w:numId w:val="29"/>
        </w:numPr>
        <w:spacing w:line="360" w:lineRule="auto"/>
        <w:rPr>
          <w:i/>
        </w:rPr>
      </w:pPr>
      <w:r w:rsidRPr="000B0221">
        <w:rPr>
          <w:i/>
        </w:rPr>
        <w:t>Identification of comorbidities</w:t>
      </w:r>
    </w:p>
    <w:p w14:paraId="3075DF9F" w14:textId="58C605DC" w:rsidR="00266743" w:rsidRPr="000B0221" w:rsidRDefault="00035DB7" w:rsidP="00C21BC7">
      <w:pPr>
        <w:tabs>
          <w:tab w:val="left" w:pos="426"/>
        </w:tabs>
        <w:spacing w:line="360" w:lineRule="auto"/>
        <w:ind w:left="360"/>
        <w:jc w:val="both"/>
      </w:pPr>
      <w:r w:rsidRPr="000B0221">
        <w:t xml:space="preserve">Sarcopenia is </w:t>
      </w:r>
      <w:r w:rsidR="00D7787B" w:rsidRPr="000B0221">
        <w:t xml:space="preserve">frequently found in </w:t>
      </w:r>
      <w:r w:rsidRPr="000B0221">
        <w:t>associat</w:t>
      </w:r>
      <w:r w:rsidR="00D7787B" w:rsidRPr="000B0221">
        <w:t>ion</w:t>
      </w:r>
      <w:r w:rsidRPr="000B0221">
        <w:t xml:space="preserve"> </w:t>
      </w:r>
      <w:r w:rsidR="00D7787B" w:rsidRPr="000B0221">
        <w:t>with</w:t>
      </w:r>
      <w:r w:rsidRPr="000B0221">
        <w:t xml:space="preserve"> comorbidities, e.g. </w:t>
      </w:r>
      <w:r w:rsidR="00266743" w:rsidRPr="000B0221">
        <w:t>osteoporosis, osteopenia, obesity, type II diabetes mellitus, breast cancer, etc</w:t>
      </w:r>
      <w:r w:rsidR="00F8167C" w:rsidRPr="000B0221">
        <w:t>.</w:t>
      </w:r>
      <w:r w:rsidR="00F8167C" w:rsidRPr="000B0221">
        <w:fldChar w:fldCharType="begin" w:fldLock="1"/>
      </w:r>
      <w:r w:rsidR="007E0300">
        <w:instrText>ADDIN CSL_CITATION { "citationItems" : [ { "id" : "ITEM-1", "itemData" : { "DOI" : "10.2337/diacare.28.10.2541", "ISSN" : "0149-5992", "author" : [ { "dropping-particle" : "", "family" : "Sayer", "given" : "A. A.", "non-dropping-particle" : "", "parse-names" : false, "suffix" : "" }, { "dropping-particle" : "", "family" : "Dennison", "given" : "E. M.", "non-dropping-particle" : "", "parse-names" : false, "suffix" : "" }, { "dropping-particle" : "", "family" : "Syddall", "given" : "H. E.", "non-dropping-particle" : "", "parse-names" : false, "suffix" : "" }, { "dropping-particle" : "", "family" : "Gilbody", "given" : "H. J.", "non-dropping-particle" : "", "parse-names" : false, "suffix" : "" }, { "dropping-particle" : "", "family" : "Phillips", "given" : "D. I.W.", "non-dropping-particle" : "", "parse-names" : false, "suffix" : "" }, { "dropping-particle" : "", "family" : "Cooper", "given" : "C.", "non-dropping-particle" : "", "parse-names" : false, "suffix" : "" } ], "container-title" : "Diabetes Care", "id" : "ITEM-1", "issue" : "10", "issued" : { "date-parts" : [ [ "2005", "9", "26" ] ] }, "page" : "2541-2542", "title" : "Type 2 Diabetes, Muscle Strength, and Impaired Physical Function: The tip of the iceberg?", "type" : "article-journal", "volume" : "28" }, "uris" : [ "http://www.mendeley.com/documents/?uuid=aaa72eb0-fd07-4fa8-a97d-81548432599e" ] }, { "id" : "ITEM-2", "itemData" : { "DOI" : "10.1097/MCO.0000000000000230", "ISSN" : "1473-6519", "PMID" : "26418824", "abstract" : "PURPOSE OF REVIEW: This article reviews recently published evidence for common pathways explaining bone and muscle wasting in normal ageing and pathological conditions.\n\nRECENT FINDINGS: Numerous studies support the concept of a bone-muscle unit, where constant cross-talking between the two tissues takes place, involving molecules released by the skeletal muscle secretome, which affects bone, and osteokines secreted by the osteoblasts and osteocytes, which, in turn, impact muscle cells.\n\nSUMMARY: New chemical entities aiming at concomitantly treating osteoporosis and sarcopenia could be developed by targeting pathways that centrally regulate bone and muscle or emerging pathways that facilitate the communication between the two tissues.This is an open-access article distributed under the terms of the Creative Commons Attribution-NonCommercial-NoDerivatives 4.0 License, where it is permissible to download and share the work provided it is properly cited. The work cannot be changed in any way or used commercially. http://creativecommons.org/licenses/by-nc-nd/4.0.", "author" : [ { "dropping-particle" : "", "family" : "Reginster", "given" : "Jean-Yves", "non-dropping-particle" : "", "parse-names" : false, "suffix" : "" }, { "dropping-particle" : "", "family" : "Beaudart", "given" : "Charlotte", "non-dropping-particle" : "", "parse-names" : false, "suffix" : "" }, { "dropping-particle" : "", "family" : "Buckinx", "given" : "Fanny", "non-dropping-particle" : "", "parse-names" : false, "suffix" : "" }, { "dropping-particle" : "", "family" : "Bruy\u00e8re", "given" : "Olivier", "non-dropping-particle" : "", "parse-names" : false, "suffix" : "" } ], "container-title" : "Current opinion in clinical nutrition and metabolic care", "id" : "ITEM-2", "issued" : { "date-parts" : [ [ "2015", "9", "28" ] ] }, "title" : "Osteoporosis and sarcopenia: two diseases or one?", "type" : "article-journal" }, "uris" : [ "http://www.mendeley.com/documents/?uuid=a66729a6-619e-48ce-a769-dda413228a90" ] } ], "mendeley" : { "formattedCitation" : "&lt;sup&gt;74,75&lt;/sup&gt;", "plainTextFormattedCitation" : "74,75", "previouslyFormattedCitation" : "&lt;sup&gt;74,75&lt;/sup&gt;" }, "properties" : { "noteIndex" : 0 }, "schema" : "https://github.com/citation-style-language/schema/raw/master/csl-citation.json" }</w:instrText>
      </w:r>
      <w:r w:rsidR="00F8167C" w:rsidRPr="000B0221">
        <w:fldChar w:fldCharType="separate"/>
      </w:r>
      <w:r w:rsidR="007E0300" w:rsidRPr="007E0300">
        <w:rPr>
          <w:noProof/>
          <w:vertAlign w:val="superscript"/>
        </w:rPr>
        <w:t>74,75</w:t>
      </w:r>
      <w:r w:rsidR="00F8167C" w:rsidRPr="000B0221">
        <w:fldChar w:fldCharType="end"/>
      </w:r>
      <w:r w:rsidR="00266743" w:rsidRPr="000B0221">
        <w:t xml:space="preserve">. </w:t>
      </w:r>
      <w:r w:rsidR="00D7787B" w:rsidRPr="000B0221">
        <w:t>In such cases, s</w:t>
      </w:r>
      <w:r w:rsidRPr="000B0221">
        <w:t>arcopenia may</w:t>
      </w:r>
      <w:r w:rsidR="00266743" w:rsidRPr="000B0221">
        <w:t xml:space="preserve"> be considered as</w:t>
      </w:r>
      <w:r w:rsidRPr="000B0221">
        <w:t xml:space="preserve"> a</w:t>
      </w:r>
      <w:r w:rsidR="00266743" w:rsidRPr="000B0221">
        <w:t xml:space="preserve"> </w:t>
      </w:r>
      <w:r w:rsidR="00D7787B" w:rsidRPr="000B0221">
        <w:t xml:space="preserve">secondary </w:t>
      </w:r>
      <w:r w:rsidR="00266743" w:rsidRPr="000B0221">
        <w:t xml:space="preserve">consequence of </w:t>
      </w:r>
      <w:r w:rsidR="00D7787B" w:rsidRPr="000B0221">
        <w:t>the co-existing</w:t>
      </w:r>
      <w:r w:rsidRPr="000B0221">
        <w:t xml:space="preserve"> pathologic</w:t>
      </w:r>
      <w:r w:rsidR="00D7787B" w:rsidRPr="000B0221">
        <w:t>al</w:t>
      </w:r>
      <w:r w:rsidRPr="000B0221">
        <w:t xml:space="preserve"> condition</w:t>
      </w:r>
      <w:r w:rsidR="00266743" w:rsidRPr="000B0221">
        <w:t>.</w:t>
      </w:r>
      <w:r w:rsidR="00D7787B" w:rsidRPr="000B0221">
        <w:t xml:space="preserve">  The impact of management of these conditions (e.g. better diabetic control</w:t>
      </w:r>
      <w:r w:rsidR="003B1CFB" w:rsidRPr="000B0221">
        <w:t>, reduction of inflammatory status,</w:t>
      </w:r>
      <w:r w:rsidR="00D7787B" w:rsidRPr="000B0221">
        <w:t xml:space="preserve"> or weight loss in obesity</w:t>
      </w:r>
      <w:r w:rsidR="003B1CFB" w:rsidRPr="000B0221">
        <w:t xml:space="preserve"> due to an energy-restricted diet</w:t>
      </w:r>
      <w:r w:rsidR="00D7787B" w:rsidRPr="000B0221">
        <w:t>) on the accompanying sarcopenia is unclear</w:t>
      </w:r>
      <w:r w:rsidR="00DB591F" w:rsidRPr="000B0221">
        <w:fldChar w:fldCharType="begin" w:fldLock="1"/>
      </w:r>
      <w:r w:rsidR="007E0300">
        <w:instrText>ADDIN CSL_CITATION { "citationItems" : [ { "id" : "ITEM-1", "itemData" : { "DOI" : "10.1016/S2213-8587(14)70034-8", "ISSN" : "2213-8595", "PMID" : "24731660", "abstract" : "The term sarcopenia refers to the loss of muscle mass that occurs with ageing. On the basis of study results showing that muscle mass is only moderately related to functional outcomes, international working groups have proposed that loss of muscle strength or physical function should also be included in the definition. Irrespective of how sarcopenia is defined, both low muscle mass and poor muscle strength are clearly highly prevalent and important risk factors for disability and potentially mortality in individuals as they age. Many chronic diseases, in addition to ageing, could also accelerate decrease of muscle mass and strength, and this effect could be a main underlying mechanism by which chronic diseases cause physical disability. In this Review, we address both age-related and disease-related muscle loss, with a focus on diabetes and obesity but including other disease states, and potential common mechanisms and treatments. Development of treatments for age-related and disease-related muscle loss might improve active life expectancy in older people, and lead to substantial health-care savings and improved quality of life.", "author" : [ { "dropping-particle" : "", "family" : "Kalyani", "given" : "Rita Rastogi", "non-dropping-particle" : "", "parse-names" : false, "suffix" : "" }, { "dropping-particle" : "", "family" : "Corriere", "given" : "Mark", "non-dropping-particle" : "", "parse-names" : false, "suffix" : "" }, { "dropping-particle" : "", "family" : "Ferrucci", "given" : "Luigi", "non-dropping-particle" : "", "parse-names" : false, "suffix" : "" } ], "container-title" : "The lancet. Diabetes &amp; endocrinology", "id" : "ITEM-1", "issue" : "10", "issued" : { "date-parts" : [ [ "2014", "10" ] ] }, "page" : "819-29", "title" : "Age-related and disease-related muscle loss: the effect of diabetes, obesity, and other diseases.", "type" : "article-journal", "volume" : "2" }, "uris" : [ "http://www.mendeley.com/documents/?uuid=7f50b5d2-95a4-44f1-bff0-447e4a3bd3e0" ] } ], "mendeley" : { "formattedCitation" : "&lt;sup&gt;76&lt;/sup&gt;", "plainTextFormattedCitation" : "76", "previouslyFormattedCitation" : "&lt;sup&gt;76&lt;/sup&gt;" }, "properties" : { "noteIndex" : 0 }, "schema" : "https://github.com/citation-style-language/schema/raw/master/csl-citation.json" }</w:instrText>
      </w:r>
      <w:r w:rsidR="00DB591F" w:rsidRPr="000B0221">
        <w:fldChar w:fldCharType="separate"/>
      </w:r>
      <w:r w:rsidR="007E0300" w:rsidRPr="007E0300">
        <w:rPr>
          <w:noProof/>
          <w:vertAlign w:val="superscript"/>
        </w:rPr>
        <w:t>76</w:t>
      </w:r>
      <w:r w:rsidR="00DB591F" w:rsidRPr="000B0221">
        <w:fldChar w:fldCharType="end"/>
      </w:r>
      <w:r w:rsidR="00D7787B" w:rsidRPr="000B0221">
        <w:t>.</w:t>
      </w:r>
    </w:p>
    <w:p w14:paraId="77B9DA7B" w14:textId="4C2A2468" w:rsidR="00EA224C" w:rsidRPr="000B0221" w:rsidRDefault="00EA224C" w:rsidP="00377240">
      <w:pPr>
        <w:pStyle w:val="ListParagraph"/>
        <w:numPr>
          <w:ilvl w:val="0"/>
          <w:numId w:val="29"/>
        </w:numPr>
        <w:spacing w:line="360" w:lineRule="auto"/>
        <w:rPr>
          <w:i/>
        </w:rPr>
      </w:pPr>
      <w:r w:rsidRPr="000B0221">
        <w:rPr>
          <w:i/>
        </w:rPr>
        <w:lastRenderedPageBreak/>
        <w:t>Physical activity</w:t>
      </w:r>
    </w:p>
    <w:p w14:paraId="30E1E8A9" w14:textId="54DC95DF" w:rsidR="00AC73F0" w:rsidRPr="000B0221" w:rsidRDefault="00114ED6" w:rsidP="00257482">
      <w:pPr>
        <w:tabs>
          <w:tab w:val="left" w:pos="426"/>
        </w:tabs>
        <w:spacing w:line="360" w:lineRule="auto"/>
        <w:ind w:left="360"/>
        <w:jc w:val="both"/>
      </w:pPr>
      <w:r w:rsidRPr="000B0221">
        <w:t>Physical activity intervention</w:t>
      </w:r>
      <w:r w:rsidR="00C21BC7" w:rsidRPr="000B0221">
        <w:t xml:space="preserve">s and </w:t>
      </w:r>
      <w:r w:rsidR="00544ECF" w:rsidRPr="000B0221">
        <w:t xml:space="preserve">progressive </w:t>
      </w:r>
      <w:r w:rsidR="00C21BC7" w:rsidRPr="000B0221">
        <w:t>resistance training</w:t>
      </w:r>
      <w:r w:rsidR="00035DB7" w:rsidRPr="000B0221">
        <w:t xml:space="preserve"> </w:t>
      </w:r>
      <w:r w:rsidR="000D7927">
        <w:t>have been</w:t>
      </w:r>
      <w:r w:rsidRPr="000B0221">
        <w:t xml:space="preserve"> </w:t>
      </w:r>
      <w:r w:rsidR="00C21BC7" w:rsidRPr="000B0221">
        <w:t xml:space="preserve">suggested </w:t>
      </w:r>
      <w:r w:rsidR="00035DB7" w:rsidRPr="000B0221">
        <w:t>to have a predominant</w:t>
      </w:r>
      <w:r w:rsidRPr="000B0221">
        <w:t xml:space="preserve"> effect on muscle strength</w:t>
      </w:r>
      <w:r w:rsidR="00032F85">
        <w:t>, muscle mass</w:t>
      </w:r>
      <w:r w:rsidRPr="000B0221">
        <w:t xml:space="preserve"> and physical perfor</w:t>
      </w:r>
      <w:r w:rsidR="00035DB7" w:rsidRPr="000B0221">
        <w:t>mance in older people</w:t>
      </w:r>
      <w:r w:rsidR="00032F85">
        <w:fldChar w:fldCharType="begin" w:fldLock="1"/>
      </w:r>
      <w:r w:rsidR="007E0300">
        <w:instrText>ADDIN CSL_CITATION { "citationItems" : [ { "id" : "ITEM-1", "itemData" : { "DOI" : "10.1249/MSS.0b013e3181eb6265", "ISBN" : "1530-0315 (Electronic)\r0195-9131 (Linking)", "PMID" : "20543750", "abstract" : "PURPOSE: sarcopenia plays a principal role in the pathogenesis of frailty and functional impairment that occur with aging. There are few published accounts that examine the overall benefit of resistance exercise (RE) for lean body mass (LBM) while considering a continuum of dosage schemes and/or age ranges. Therefore, the purpose of this meta-analysis was to determine the effects of RE on LBM in older men and women while taking these factors into consideration. METHODS: this study followed the Preferred Reporting Items for Systematic Reviews and Meta-Analyses recommendations. Randomized controlled trials and randomized or nonrandomized studies among adults &gt;/= 50 yr were included. Heterogeneity between studies was assessed using the Cochran Q and the I statistics, and publication bias was evaluated through physical inspection of funnel plots as well as formal rank-correlation statistics. Mixed-effects meta-regression was incorporated to assess the relationship between RE dosage and changes in LBM. RESULTS: data from 49 studies, representing a total of 1328 participants, were pooled using random-effect models. Results demonstrated a positive effect for LBM, and there was no evidence of publication bias. The Cochran Q statistic for heterogeneity was 497.8, which was significant (P &lt; 0.01). Likewise, I was equal to 84%, representing rejection of the null hypothesis of homogeneity. The weighted pooled estimate of mean LBM change was 1.1 kg (95% confidence interval = 0.9-1.2 kg). Meta-regression revealed that higher-volume interventions were associated (beta = 0.05, P &lt; 0.01) with significantly greater increases in LBM, whereas older individuals experienced less increase (beta = -0.03, P = 0.01). CONCLUSIONS: RE is effective for eliciting gains in LBM among aging adults, particularly with higher-volume programs. Findings suggest that RE participation earlier in life may provide superior effectiveness.", "author" : [ { "dropping-particle" : "", "family" : "Peterson", "given" : "M D", "non-dropping-particle" : "", "parse-names" : false, "suffix" : "" }, { "dropping-particle" : "", "family" : "Sen", "given" : "A", "non-dropping-particle" : "", "parse-names" : false, "suffix" : "" }, { "dropping-particle" : "", "family" : "Gordon", "given" : "P M", "non-dropping-particle" : "", "parse-names" : false, "suffix" : "" } ], "container-title" : "Med Sci Sports Exerc", "edition" : "2010/06/15", "id" : "ITEM-1", "issue" : "2", "issued" : { "date-parts" : [ [ "2011" ] ] }, "language" : "eng", "note" : "Peterson, Mark D\nSen, Ananda\nGordon, Paul M\n5-T32-HD007422/HD/NICHD NIH HHS/\nT32 HD007422-19/HD/NICHD NIH HHS/\nMed Sci Sports Exerc. 2011 Feb;43(2):249-58. doi: 10.1249/MSS.0b013e3181eb6265.", "page" : "249-258", "title" : "Influence of resistance exercise on lean body mass in aging adults: a meta-analysis", "type" : "article-journal", "volume" : "43" }, "uris" : [ "http://www.mendeley.com/documents/?uuid=7630cbc1-a5ea-4517-96d2-9e8c4c8e39b8" ] } ], "mendeley" : { "formattedCitation" : "&lt;sup&gt;77&lt;/sup&gt;", "plainTextFormattedCitation" : "77", "previouslyFormattedCitation" : "&lt;sup&gt;77&lt;/sup&gt;" }, "properties" : { "noteIndex" : 0 }, "schema" : "https://github.com/citation-style-language/schema/raw/master/csl-citation.json" }</w:instrText>
      </w:r>
      <w:r w:rsidR="00032F85">
        <w:fldChar w:fldCharType="separate"/>
      </w:r>
      <w:r w:rsidR="007E0300" w:rsidRPr="007E0300">
        <w:rPr>
          <w:noProof/>
          <w:vertAlign w:val="superscript"/>
        </w:rPr>
        <w:t>77</w:t>
      </w:r>
      <w:r w:rsidR="00032F85">
        <w:fldChar w:fldCharType="end"/>
      </w:r>
      <w:r w:rsidR="00035DB7" w:rsidRPr="000B0221">
        <w:t>.</w:t>
      </w:r>
      <w:r w:rsidR="00AC73F0" w:rsidRPr="000B0221">
        <w:t xml:space="preserve"> </w:t>
      </w:r>
    </w:p>
    <w:p w14:paraId="47ECA78C" w14:textId="4863C3B8" w:rsidR="00114ED6" w:rsidRPr="000B0221" w:rsidRDefault="00032F85" w:rsidP="00C21BC7">
      <w:pPr>
        <w:tabs>
          <w:tab w:val="left" w:pos="426"/>
        </w:tabs>
        <w:spacing w:line="360" w:lineRule="auto"/>
        <w:ind w:left="360"/>
        <w:jc w:val="both"/>
      </w:pPr>
      <w:r>
        <w:t>However, s</w:t>
      </w:r>
      <w:r w:rsidR="00035DB7" w:rsidRPr="000B0221">
        <w:t>o far</w:t>
      </w:r>
      <w:r w:rsidR="00114ED6" w:rsidRPr="000B0221">
        <w:t xml:space="preserve">, studies </w:t>
      </w:r>
      <w:r w:rsidR="00035DB7" w:rsidRPr="000B0221">
        <w:t>mainly focusing</w:t>
      </w:r>
      <w:r w:rsidR="00114ED6" w:rsidRPr="000B0221">
        <w:t xml:space="preserve"> on we</w:t>
      </w:r>
      <w:r w:rsidR="00035DB7" w:rsidRPr="000B0221">
        <w:t>ll-defined sarcopenia</w:t>
      </w:r>
      <w:r w:rsidR="00114ED6" w:rsidRPr="000B0221">
        <w:t xml:space="preserve"> with sta</w:t>
      </w:r>
      <w:r w:rsidR="00035DB7" w:rsidRPr="000B0221">
        <w:t xml:space="preserve">ndardization of the physical </w:t>
      </w:r>
      <w:r w:rsidR="00114ED6" w:rsidRPr="000B0221">
        <w:t xml:space="preserve">intervention </w:t>
      </w:r>
      <w:r w:rsidR="00035DB7" w:rsidRPr="000B0221">
        <w:t>are still missing</w:t>
      </w:r>
      <w:r w:rsidR="00114ED6" w:rsidRPr="000B0221">
        <w:t xml:space="preserve">. </w:t>
      </w:r>
      <w:r w:rsidR="00232F2D">
        <w:t>Hence, it</w:t>
      </w:r>
      <w:r w:rsidR="00232F2D" w:rsidRPr="000B0221">
        <w:t xml:space="preserve"> </w:t>
      </w:r>
      <w:r w:rsidR="00114ED6" w:rsidRPr="000B0221">
        <w:t xml:space="preserve">is still </w:t>
      </w:r>
      <w:r w:rsidR="00720521" w:rsidRPr="000B0221">
        <w:t>dif</w:t>
      </w:r>
      <w:r w:rsidR="00B5012C" w:rsidRPr="000B0221">
        <w:t>f</w:t>
      </w:r>
      <w:r w:rsidR="00720521" w:rsidRPr="000B0221">
        <w:t xml:space="preserve">icult </w:t>
      </w:r>
      <w:r w:rsidR="00114ED6" w:rsidRPr="000B0221">
        <w:t>to give a patient-specific physical activity prescription for the management of sarcopenia</w:t>
      </w:r>
      <w:r w:rsidR="00A44A34" w:rsidRPr="000B0221">
        <w:t>. However,</w:t>
      </w:r>
      <w:r w:rsidR="00114ED6" w:rsidRPr="000B0221">
        <w:t xml:space="preserve"> healthcare providers can nevertheless give some general recommendation</w:t>
      </w:r>
      <w:r w:rsidR="00035DB7" w:rsidRPr="000B0221">
        <w:t>s</w:t>
      </w:r>
      <w:r w:rsidR="00114ED6" w:rsidRPr="000B0221">
        <w:t xml:space="preserve"> in order to improve other common</w:t>
      </w:r>
      <w:r w:rsidR="00B235ED" w:rsidRPr="000B0221">
        <w:t xml:space="preserve"> conditions in older adults (WHO</w:t>
      </w:r>
      <w:r w:rsidR="00114ED6" w:rsidRPr="000B0221">
        <w:t xml:space="preserve"> recommendation: </w:t>
      </w:r>
      <w:hyperlink r:id="rId32" w:history="1">
        <w:r w:rsidR="00114ED6" w:rsidRPr="000B0221">
          <w:rPr>
            <w:rStyle w:val="Hyperlink"/>
          </w:rPr>
          <w:t>http://www.who.int/dietphysicalactivity/factsheet_olderadults/en/</w:t>
        </w:r>
      </w:hyperlink>
      <w:r w:rsidR="00114ED6" w:rsidRPr="000B0221">
        <w:t xml:space="preserve">). </w:t>
      </w:r>
      <w:r w:rsidR="00684736" w:rsidRPr="000B0221">
        <w:t>Moreover, in their review, Cruz Jentoft at al.</w:t>
      </w:r>
      <w:r w:rsidR="00684736" w:rsidRPr="000B0221">
        <w:fldChar w:fldCharType="begin" w:fldLock="1"/>
      </w:r>
      <w:r w:rsidR="007E0300">
        <w:instrText>ADDIN CSL_CITATION { "citationItems" : [ { "id" : "ITEM-1", "itemData" : { "DOI" : "10.1093/ageing/afu115", "ISBN" : "1468-2834 (Electronic)\r0002-0729 (Linking)", "PMID" : "25241753", "abstract" : "OBJECTIVE: to examine the clinical evidence reporting the prevalence of sarcopenia and the effect of nutrition and exercise interventions from studies using the consensus definition of sarcopenia proposed by the European Working Group on Sarcopenia in Older People (EWGSOP). METHODS: PubMed and Dialog databases were searched (January 2000-October 2013) using pre-defined search terms. Prevalence studies and intervention studies investigating muscle mass plus strength or function outcome measures using the EWGSOP definition of sarcopenia, in well-defined populations of adults aged &gt;/=50 years were selected. RESULTS: prevalence of sarcopenia was, with regional and age-related variations, 1-29% in community-dwelling populations, 14-33% in long-term care populations and 10% in the only acute hospital-care population examined. Moderate quality evidence suggests that exercise interventions improve muscle strength and physical performance. The results of nutrition interventions are equivocal due to the low number of studies and heterogeneous study design. Essential amino acid (EAA) supplements, including approximately 2.5 g of leucine, and beta-hydroxy beta-methylbutyric acid (HMB) supplements, show some effects in improving muscle mass and function parameters. Protein supplements have not shown consistent benefits on muscle mass and function. CONCLUSION: prevalence of sarcopenia is substantial in most geriatric settings. Well-designed, standardised studies evaluating exercise or nutrition interventions are needed before treatment guidelines can be developed. Physicians should screen for sarcopenia in both community and geriatric settings, with diagnosis based on muscle mass and function. Supervised resistance exercise is recommended for individuals with sarcopenia. EAA (with leucine) and HMB may improve muscle outcomes.", "author" : [ { "dropping-particle" : "", "family" : "Cruz-Jentoft", "given" : "A J", "non-dropping-particle" : "", "parse-names" : false, "suffix" : "" }, { "dropping-particle" : "", "family" : "Landi", "given" : "F", "non-dropping-particle" : "", "parse-names" : false, "suffix" : "" }, { "dropping-particle" : "", "family" : "Schneider", "given" : "S M", "non-dropping-particle" : "", "parse-names" : false, "suffix" : "" }, { "dropping-particle" : "", "family" : "Zuniga", "given" : "C", "non-dropping-particle" : "", "parse-names" : false, "suffix" : "" }, { "dropping-particle" : "", "family" : "Arai", "given" : "H", "non-dropping-particle" : "", "parse-names" : false, "suffix" : "" }, { "dropping-particle" : "", "family" : "Boirie", "given" : "Y", "non-dropping-particle" : "", "parse-names" : false, "suffix" : "" }, { "dropping-particle" : "", "family" : "Chen", "given" : "L K", "non-dropping-particle" : "", "parse-names" : false, "suffix" : "" }, { "dropping-particle" : "", "family" : "Fielding", "given" : "R A", "non-dropping-particle" : "", "parse-names" : false, "suffix" : "" }, { "dropping-particle" : "", "family" : "Martin", "given" : "F C", "non-dropping-particle" : "", "parse-names" : false, "suffix" : "" }, { "dropping-particle" : "", "family" : "Michel", "given" : "J P", "non-dropping-particle" : "", "parse-names" : false, "suffix" : "" }, { "dropping-particle" : "", "family" : "Sieber", "given" : "C", "non-dropping-particle" : "", "parse-names" : false, "suffix" : "" }, { "dropping-particle" : "", "family" : "Stout", "given" : "J R", "non-dropping-particle" : "", "parse-names" : false, "suffix" : "" }, { "dropping-particle" : "", "family" : "Studenski", "given" : "S A", "non-dropping-particle" : "", "parse-names" : false, "suffix" : "" }, { "dropping-particle" : "", "family" : "Vellas", "given" : "B", "non-dropping-particle" : "", "parse-names" : false, "suffix" : "" }, { "dropping-particle" : "", "family" : "Woo", "given" : "J", "non-dropping-particle" : "", "parse-names" : false, "suffix" : "" }, { "dropping-particle" : "", "family" : "Zamboni", "given" : "M", "non-dropping-particle" : "", "parse-names" : false, "suffix" : "" }, { "dropping-particle" : "", "family" : "Cederholm", "given" : "T", "non-dropping-particle" : "", "parse-names" : false, "suffix" : "" } ], "container-title" : "Age Ageing", "edition" : "2014/09/23", "id" : "ITEM-1", "issued" : { "date-parts" : [ [ "2014" ] ] }, "language" : "Eng", "note" : "Cruz-Jentoft, Alfonso J\nLandi, Francesco\nSchneider, Stephane M\nZuniga, Clemente\nArai, Hidenori\nBoirie, Yves\nChen, Liang-Kung\nFielding, Roger A\nMartin, Finbarr C\nMichel, Jean-Pierre\nSieber, Cornel\nStout, Jeffrey R\nStudenski, Stephanie A\nVellas, Bruno\nWoo, Jean\nZamboni, Mauro\nCederholm, Tommy\nAge Ageing. 2014 Sep 21. pii: afu115.", "title" : "Prevalence of and interventions for sarcopenia in ageing adults: a systematic review. Report of the International Sarcopenia Initiative (EWGSOP and IWGS)", "type" : "article-journal" }, "uris" : [ "http://www.mendeley.com/documents/?uuid=49a7d81c-efe3-4e43-b132-d9e18584453e" ] } ], "mendeley" : { "formattedCitation" : "&lt;sup&gt;11&lt;/sup&gt;", "plainTextFormattedCitation" : "11", "previouslyFormattedCitation" : "&lt;sup&gt;11&lt;/sup&gt;" }, "properties" : { "noteIndex" : 0 }, "schema" : "https://github.com/citation-style-language/schema/raw/master/csl-citation.json" }</w:instrText>
      </w:r>
      <w:r w:rsidR="00684736" w:rsidRPr="000B0221">
        <w:fldChar w:fldCharType="separate"/>
      </w:r>
      <w:r w:rsidR="008069A0" w:rsidRPr="008069A0">
        <w:rPr>
          <w:noProof/>
          <w:vertAlign w:val="superscript"/>
        </w:rPr>
        <w:t>11</w:t>
      </w:r>
      <w:r w:rsidR="00684736" w:rsidRPr="000B0221">
        <w:fldChar w:fldCharType="end"/>
      </w:r>
      <w:r w:rsidR="00684736" w:rsidRPr="000B0221">
        <w:t xml:space="preserve"> </w:t>
      </w:r>
      <w:r w:rsidR="00B12118" w:rsidRPr="000B0221">
        <w:t>forwarded</w:t>
      </w:r>
      <w:r w:rsidR="00684736" w:rsidRPr="000B0221">
        <w:t xml:space="preserve"> two recommendations regarding the management of physical activity interventions in older people. First, to obtain an impact on muscle function, </w:t>
      </w:r>
      <w:r w:rsidR="00B12118" w:rsidRPr="000B0221">
        <w:t xml:space="preserve">the duration </w:t>
      </w:r>
      <w:r w:rsidR="00684736" w:rsidRPr="000B0221">
        <w:t xml:space="preserve">of </w:t>
      </w:r>
      <w:r w:rsidR="008C1BE6" w:rsidRPr="000B0221">
        <w:t xml:space="preserve">the </w:t>
      </w:r>
      <w:r w:rsidR="00684736" w:rsidRPr="000B0221">
        <w:t xml:space="preserve">intervention should be </w:t>
      </w:r>
      <w:r w:rsidR="00B12118" w:rsidRPr="000B0221">
        <w:t xml:space="preserve">for </w:t>
      </w:r>
      <w:r w:rsidR="00684736" w:rsidRPr="000B0221">
        <w:t>at least 3 month</w:t>
      </w:r>
      <w:r w:rsidR="00DA4C14" w:rsidRPr="000B0221">
        <w:t>s</w:t>
      </w:r>
      <w:r w:rsidR="00684736" w:rsidRPr="000B0221">
        <w:t>. Second</w:t>
      </w:r>
      <w:r w:rsidR="00AC73F0" w:rsidRPr="000B0221">
        <w:t xml:space="preserve">, </w:t>
      </w:r>
      <w:r w:rsidR="00684736" w:rsidRPr="000B0221">
        <w:t xml:space="preserve">supervised resistance exercise or </w:t>
      </w:r>
      <w:r w:rsidR="00C20D9A" w:rsidRPr="000B0221">
        <w:t xml:space="preserve">multicomponent/combined </w:t>
      </w:r>
      <w:r w:rsidR="00684736" w:rsidRPr="000B0221">
        <w:t>exercise programs should be recommended for frail or sedentary community-dwelling people.</w:t>
      </w:r>
    </w:p>
    <w:p w14:paraId="11B0F16A" w14:textId="73FBECA7" w:rsidR="00EA224C" w:rsidRPr="000B0221" w:rsidRDefault="00EA224C" w:rsidP="00377240">
      <w:pPr>
        <w:pStyle w:val="ListParagraph"/>
        <w:numPr>
          <w:ilvl w:val="0"/>
          <w:numId w:val="29"/>
        </w:numPr>
        <w:spacing w:line="360" w:lineRule="auto"/>
        <w:rPr>
          <w:i/>
        </w:rPr>
      </w:pPr>
      <w:r w:rsidRPr="000B0221">
        <w:rPr>
          <w:i/>
        </w:rPr>
        <w:t>Nutrition</w:t>
      </w:r>
    </w:p>
    <w:p w14:paraId="00485B6A" w14:textId="69872D8D" w:rsidR="006D7A16" w:rsidRPr="000B0221" w:rsidRDefault="00114ED6" w:rsidP="00C21BC7">
      <w:pPr>
        <w:tabs>
          <w:tab w:val="left" w:pos="426"/>
        </w:tabs>
        <w:spacing w:line="360" w:lineRule="auto"/>
        <w:ind w:left="360"/>
        <w:jc w:val="both"/>
      </w:pPr>
      <w:r w:rsidRPr="000B0221">
        <w:t xml:space="preserve">Although nutrition is considered as a major point for the management of sarcopenia, evidence of the effect of nutrition on muscle function </w:t>
      </w:r>
      <w:r w:rsidR="000D7927">
        <w:t>is</w:t>
      </w:r>
      <w:r w:rsidRPr="000B0221">
        <w:t xml:space="preserve"> often derived from short-term studies </w:t>
      </w:r>
      <w:r w:rsidR="00DA4C14" w:rsidRPr="000B0221">
        <w:t xml:space="preserve">in specifically selected sample </w:t>
      </w:r>
      <w:r w:rsidRPr="000B0221">
        <w:t xml:space="preserve">and large clinical trials are still lacking. </w:t>
      </w:r>
      <w:r w:rsidR="00B235ED" w:rsidRPr="000B0221">
        <w:t>Currently, there is no robust evidence for nutritional</w:t>
      </w:r>
      <w:r w:rsidR="00C21BC7" w:rsidRPr="000B0221">
        <w:t xml:space="preserve"> recommendation</w:t>
      </w:r>
      <w:r w:rsidR="00DB642A" w:rsidRPr="000B0221">
        <w:t>s</w:t>
      </w:r>
      <w:r w:rsidR="00C21BC7" w:rsidRPr="000B0221">
        <w:t xml:space="preserve"> for </w:t>
      </w:r>
      <w:r w:rsidR="00860627" w:rsidRPr="000B0221">
        <w:t xml:space="preserve">subjects </w:t>
      </w:r>
      <w:r w:rsidR="00C21BC7" w:rsidRPr="000B0221">
        <w:t xml:space="preserve">with sarcopenia. </w:t>
      </w:r>
    </w:p>
    <w:p w14:paraId="1B997099" w14:textId="0F7561A3" w:rsidR="000176F8" w:rsidRPr="000B0221" w:rsidRDefault="00684736" w:rsidP="00377240">
      <w:pPr>
        <w:tabs>
          <w:tab w:val="left" w:pos="426"/>
        </w:tabs>
        <w:spacing w:line="360" w:lineRule="auto"/>
        <w:ind w:left="360"/>
        <w:jc w:val="both"/>
      </w:pPr>
      <w:r w:rsidRPr="000B0221">
        <w:t>However, even if randomized controlled trials are inconsistent regarding the effects of protein supplementation on muscle function, s</w:t>
      </w:r>
      <w:r w:rsidR="00B12118" w:rsidRPr="000B0221">
        <w:t>everal</w:t>
      </w:r>
      <w:r w:rsidRPr="000B0221">
        <w:t xml:space="preserve"> </w:t>
      </w:r>
      <w:r w:rsidR="00916EEB" w:rsidRPr="000B0221">
        <w:t xml:space="preserve">observational </w:t>
      </w:r>
      <w:r w:rsidRPr="000B0221">
        <w:t xml:space="preserve">studies have suggested that maintaining adequate protein intake may help preserve muscle mass and strength in both adults and </w:t>
      </w:r>
      <w:r w:rsidR="00B11F75">
        <w:t>older</w:t>
      </w:r>
      <w:r w:rsidR="00B11F75" w:rsidRPr="000B0221">
        <w:t xml:space="preserve"> </w:t>
      </w:r>
      <w:r w:rsidRPr="000B0221">
        <w:t>people</w:t>
      </w:r>
      <w:r w:rsidRPr="000B0221">
        <w:fldChar w:fldCharType="begin" w:fldLock="1"/>
      </w:r>
      <w:r w:rsidR="007E0300">
        <w:instrText>ADDIN CSL_CITATION { "citationItems" : [ { "id" : "ITEM-1", "itemData" : { "DOI" : "10.3945/jn.114.204925", "ISSN" : "1541-6100", "PMID" : "26019246", "abstract" : "BACKGROUND: The impact of dietary protein intake on lower extremity lean mass and strength in community-dwelling adult Americans is not fully understood.\n\nOBJECTIVES: The objective was to determine the associations between total protein (TP), animal protein (AP), and plant protein (PP) intakes and lean mass of the legs and quadriceps muscle strength. We further examined whether the associations with quadriceps strength may be explained by lean mass of the legs.\n\nMETHODS: This cross-sectional study included men (n = 1166) and women (n = 1509) from the Framingham Offspring Cohort in Massachusetts. Protein intake in grams per day was measured in either 1995-1998 or 1998-2001. Leg lean mass and isometric quadriceps strength, both in kilograms, were measured in 1996-2001. Multilinear regression models estimated adjusted least squares means of each of the muscle measures by quartile categories of protein intake, adjusting for relevant confounders and covariates.\n\nRESULTS: Mean age was 59 \u00b1 9 y (range: 29-86 y) and TP intake was 80 \u00b1 27 g/d in men and 76 \u00b1 26 g/d in women. In men and women, leg lean mass was higher in participants in the highest quartiles of TP and AP intake compared with those in the lowest quartiles of intake [least squares means (kg): TP-17.6 vs. 17.1 in men, P-trend: 0.005, and 11.7 vs. 11.4 in women, P-trend: 0.006; AP-17.6 vs. 17.1 in men, P-trend: 0.002, and 11.7 vs. 11.4 in women, P-trend: 0.003]. PP intake was not associated with lean mass in either sex. In men and women, quadriceps strength was higher in participants in the highest quartile of PP intake compared with those in the lowest quartile [least squares means (kg): 22.9 vs. 21.7 in men, P-trend: 0.01, and 19.0 vs. 18.2 in women, P-trend: 0.01]; this association was no longer significant after adjustment for fruit and vegetable intake (P-trend: 0.06 in men and 0.10 in women). Although no significant association was observed for AP intake in either sex, nonsignificant protective trends were observed for TP intake (P-trend: 0.08 in men and 0.10 in women).\n\nCONCLUSIONS: Our findings suggest that maintaining adequate protein intake with age may help preserve muscle mass and strength in adult men and women. Dietary protein types may differentially affect muscle mass and strength. Whether PP is a marker of dietary quality or has a direct effect on muscle strength (independent of lean mass) needs to be further clarified.", "author" : [ { "dropping-particle" : "", "family" : "Sahni", "given" : "Shivani", "non-dropping-particle" : "", "parse-names" : false, "suffix" : "" }, { "dropping-particle" : "", "family" : "Mangano", "given" : "Kelsey M", "non-dropping-particle" : "", "parse-names" : false, "suffix" : "" }, { "dropping-particle" : "", "family" : "Hannan", "given" : "Marian T", "non-dropping-particle" : "", "parse-names" : false, "suffix" : "" }, { "dropping-particle" : "", "family" : "Kiel", "given" : "Douglas P", "non-dropping-particle" : "", "parse-names" : false, "suffix" : "" }, { "dropping-particle" : "", "family" : "McLean", "given" : "Robert R", "non-dropping-particle" : "", "parse-names" : false, "suffix" : "" } ], "container-title" : "The Journal of nutrition", "id" : "ITEM-1", "issue" : "7", "issued" : { "date-parts" : [ [ "2015", "7" ] ] }, "page" : "1569-75", "title" : "Higher Protein Intake Is Associated with Higher Lean Mass and Quadriceps Muscle Strength in Adult Men and Women.", "type" : "article-journal", "volume" : "145" }, "uris" : [ "http://www.mendeley.com/documents/?uuid=54cdea4e-2a16-4012-953a-c01756c242df" ] }, { "id" : "ITEM-2", "itemData" : { "DOI" : "10.1177/0884533614545404", "ISSN" : "1941-2452", "PMID" : "25107954", "abstract" : "BACKGROUND: An inadequate food intake, mainly with regard to protein intake, seems to contribute to a reduction of skeletal muscle and bone mass in the elderly. This study was undertaken to evaluate differences in protein intake in women with or without sarcopenia and verify the intake level that is related to a better bone and muscle mass.\n\nMETHODS: Elderly women older than 65 years with sarcopenia (n = 35) and without sarcopenia (n = 165) participated in the study. Assessment of bone mineral density of the lumbar spine and femur was taken, body composition was evaluated by dual-energy x-ray absorptiometry, and an evaluation of protein intake was performed through 3-day dietary records.\n\nRESULTS: Muscle, bone, and fat mass was significantly higher in women who had protein intake &gt;1.2 g/kg/d. A lower intake of essential amino acids in women with sarcopenia was also observed. Protein and energy intake were significant predictors of muscle mass. The presence of osteoporosis was a predictor of muscle strength. In conclusion, the present study demonstrated that in elderly women, an adequate protein intake in terms of quality and quantity, without need of supplementation, could have a positive impact on bone mineral density, lean mass, and skeletal muscle mass.", "author" : [ { "dropping-particle" : "", "family" : "Genaro", "given" : "Patr\u00edcia de Souza", "non-dropping-particle" : "", "parse-names" : false, "suffix" : "" }, { "dropping-particle" : "", "family" : "Pinheiro", "given" : "Marcelo de Medeiros", "non-dropping-particle" : "", "parse-names" : false, "suffix" : "" }, { "dropping-particle" : "", "family" : "Szejnfeld", "given" : "Vera L\u00facia", "non-dropping-particle" : "", "parse-names" : false, "suffix" : "" }, { "dropping-particle" : "", "family" : "Martini", "given" : "L\u00edgia Ara\u00fajo", "non-dropping-particle" : "", "parse-names" : false, "suffix" : "" } ], "container-title" : "Nutrition in clinical practice : official publication of the American Society for Parenteral and Enteral Nutrition", "id" : "ITEM-2", "issue" : "2", "issued" : { "date-parts" : [ [ "2015", "4" ] ] }, "page" : "283-9", "title" : "Dietary protein intake in elderly women: association with muscle and bone mass.", "type" : "article-journal", "volume" : "30" }, "uris" : [ "http://www.mendeley.com/documents/?uuid=6207193f-d622-46a7-83a2-d72d311b5f85" ] } ], "mendeley" : { "formattedCitation" : "&lt;sup&gt;78,79&lt;/sup&gt;", "plainTextFormattedCitation" : "78,79", "previouslyFormattedCitation" : "&lt;sup&gt;78,79&lt;/sup&gt;" }, "properties" : { "noteIndex" : 0 }, "schema" : "https://github.com/citation-style-language/schema/raw/master/csl-citation.json" }</w:instrText>
      </w:r>
      <w:r w:rsidRPr="000B0221">
        <w:fldChar w:fldCharType="separate"/>
      </w:r>
      <w:r w:rsidR="007E0300" w:rsidRPr="007E0300">
        <w:rPr>
          <w:noProof/>
          <w:vertAlign w:val="superscript"/>
        </w:rPr>
        <w:t>78,79</w:t>
      </w:r>
      <w:r w:rsidRPr="000B0221">
        <w:fldChar w:fldCharType="end"/>
      </w:r>
      <w:r w:rsidRPr="000B0221">
        <w:t>. Bauer et al.</w:t>
      </w:r>
      <w:r w:rsidRPr="000B0221">
        <w:fldChar w:fldCharType="begin" w:fldLock="1"/>
      </w:r>
      <w:r w:rsidR="007E0300">
        <w:instrText>ADDIN CSL_CITATION { "citationItems" : [ { "id" : "ITEM-1", "itemData" : { "DOI" : "10.1016/j.jamda.2013.05.021", "ISSN" : "1538-9375", "PMID" : "23867520", "abstract" :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 developing updated, evidence-based recommendations for optimal protein intake by older people, the European Union Geriatric Medicine Society (EUGMS), in cooperation with other scientific organizations, appointed an international study group to review dietary protein needs with aging (PROT-AGE Study Group). To help older people (&gt;65 years) maintain and regain lean body mass and function, the PROT-AGE study group recommends average daily intake at least in the range of 1.0 to 1.2 g protein per kilogram of body weight per day. Both endurance- and resistance-type exercises are recommended at individualized levels that are safe and tolerated, and higher protein intake (ie, \u2265 1.2 g/kg body weight/d) is advised for those who are exercising and otherwise active. Most older adults who have acute or chronic diseases need even more dietary protein (ie, 1.2-1.5 g/kg body weight/d). Older people with severe kidney disease (ie, estimated GFR &lt;30 mL/min/1.73 m(2)), but who are not on dialysis, are an exception to this rule; these individuals may need to limit protein intake. Protein quality, timing of ingestion, and intake of other nutritional supplements may be relevant, but evidence is not yet sufficient to support specific recommendations. Older people are vulnerable to losses in physical function capacity, and such losses predict loss of independence, falls, and even mortality. Thus, future studies aimed at pinpointing optimal protein intake in specific populations of older people need to include measures of physical function.", "author" : [ { "dropping-particle" : "", "family" : "Bauer", "given" : "J\u00fcrgen", "non-dropping-particle" : "", "parse-names" : false, "suffix" : "" }, { "dropping-particle" : "", "family" : "Biolo", "given" : "Gianni", "non-dropping-particle" : "", "parse-names" : false, "suffix" : "" }, { "dropping-particle" : "", "family" : "Cederholm", "given" : "Tommy", "non-dropping-particle" : "", "parse-names" : false, "suffix" : "" }, { "dropping-particle" : "", "family" : "Cesari", "given" : "Matteo", "non-dropping-particle" : "", "parse-names" : false, "suffix" : "" }, { "dropping-particle" : "", "family" : "Cruz-Jentoft", "given" : "Alfonso J", "non-dropping-particle" : "", "parse-names" : false, "suffix" : "" }, { "dropping-particle" : "", "family" : "Morley", "given" : "John E", "non-dropping-particle" : "", "parse-names" : false, "suffix" : "" }, { "dropping-particle" : "", "family" : "Phillips", "given" : "Stuart", "non-dropping-particle" : "", "parse-names" : false, "suffix" : "" }, { "dropping-particle" : "", "family" : "Sieber", "given" : "Cornel", "non-dropping-particle" : "", "parse-names" : false, "suffix" : "" }, { "dropping-particle" : "", "family" : "Stehle", "given" : "Peter", "non-dropping-particle" : "", "parse-names" : false, "suffix" : "" }, { "dropping-particle" : "", "family" : "Teta", "given" : "Daniel", "non-dropping-particle" : "", "parse-names" : false, "suffix" : "" }, { "dropping-particle" : "", "family" : "Visvanathan", "given" : "Renuka", "non-dropping-particle" : "", "parse-names" : false, "suffix" : "" }, { "dropping-particle" : "", "family" : "Volpi", "given" : "Elena", "non-dropping-particle" : "", "parse-names" : false, "suffix" : "" }, { "dropping-particle" : "", "family" : "Boirie", "given" : "Yves", "non-dropping-particle" : "", "parse-names" : false, "suffix" : "" } ], "container-title" : "Journal of the American Medical Directors Association", "id" : "ITEM-1", "issue" : "8", "issued" : { "date-parts" : [ [ "2013", "8" ] ] }, "page" : "542-59", "title" : "Evidence-based recommendations for optimal dietary protein intake in older people: a position paper from the PROT-AGE Study Group.", "type" : "article-journal", "volume" : "14" }, "uris" : [ "http://www.mendeley.com/documents/?uuid=a73f002f-0348-4b6e-b3e8-cb611f2cf659" ] } ], "mendeley" : { "formattedCitation" : "&lt;sup&gt;80&lt;/sup&gt;", "plainTextFormattedCitation" : "80", "previouslyFormattedCitation" : "&lt;sup&gt;80&lt;/sup&gt;" }, "properties" : { "noteIndex" : 0 }, "schema" : "https://github.com/citation-style-language/schema/raw/master/csl-citation.json" }</w:instrText>
      </w:r>
      <w:r w:rsidRPr="000B0221">
        <w:fldChar w:fldCharType="separate"/>
      </w:r>
      <w:r w:rsidR="007E0300" w:rsidRPr="007E0300">
        <w:rPr>
          <w:noProof/>
          <w:vertAlign w:val="superscript"/>
        </w:rPr>
        <w:t>80</w:t>
      </w:r>
      <w:r w:rsidRPr="000B0221">
        <w:fldChar w:fldCharType="end"/>
      </w:r>
      <w:r w:rsidRPr="000B0221">
        <w:t xml:space="preserve"> recommended </w:t>
      </w:r>
      <w:r w:rsidR="00B12118" w:rsidRPr="000B0221">
        <w:t>increasing</w:t>
      </w:r>
      <w:r w:rsidRPr="000B0221">
        <w:t xml:space="preserve"> protein intake to 1.2g/kg body weight/day either by diet or by protein supplementation in older adults</w:t>
      </w:r>
      <w:r w:rsidR="00544ECF" w:rsidRPr="000B0221">
        <w:t xml:space="preserve"> because of blunted muscle protein synthetic response and blunted post-prandial inhibition of muscle protein breakdown (anabolic resistance)</w:t>
      </w:r>
      <w:r w:rsidRPr="000B0221">
        <w:t xml:space="preserve">. </w:t>
      </w:r>
      <w:r w:rsidR="003778D9" w:rsidRPr="000B0221">
        <w:t xml:space="preserve">Frail older adults or </w:t>
      </w:r>
      <w:r w:rsidR="00B11F75">
        <w:t>older</w:t>
      </w:r>
      <w:r w:rsidR="00B11F75" w:rsidRPr="000B0221">
        <w:t xml:space="preserve"> </w:t>
      </w:r>
      <w:r w:rsidR="003778D9" w:rsidRPr="000B0221">
        <w:t xml:space="preserve">who have acute or chronic diseases need </w:t>
      </w:r>
      <w:r w:rsidR="00232F2D">
        <w:t>higher</w:t>
      </w:r>
      <w:r w:rsidR="003778D9" w:rsidRPr="000B0221">
        <w:t xml:space="preserve"> dietary protein (i</w:t>
      </w:r>
      <w:r w:rsidR="004B4CB6" w:rsidRPr="000B0221">
        <w:t>.</w:t>
      </w:r>
      <w:r w:rsidR="003778D9" w:rsidRPr="000B0221">
        <w:t>e</w:t>
      </w:r>
      <w:r w:rsidR="004B4CB6" w:rsidRPr="000B0221">
        <w:t>.</w:t>
      </w:r>
      <w:r w:rsidR="003778D9" w:rsidRPr="000B0221">
        <w:t xml:space="preserve"> 1.2–1.5 g/kg body weight/d)</w:t>
      </w:r>
      <w:r w:rsidR="003778D9" w:rsidRPr="000B0221">
        <w:fldChar w:fldCharType="begin" w:fldLock="1"/>
      </w:r>
      <w:r w:rsidR="007E0300">
        <w:instrText>ADDIN CSL_CITATION { "citationItems" : [ { "id" : "ITEM-1", "itemData" : { "DOI" : "10.1016/j.jamda.2013.05.021", "ISSN" : "1538-9375", "PMID" : "23867520", "abstract" : "New evidence shows that older adults need more dietary protein than do younger adults to support good health, promote recovery from illness, and maintain functionality. Older people need to make up for age-related changes in protein metabolism, such as high splanchnic extraction and declining anabolic responses to ingested protein. They also need more protein to offset inflammatory and catabolic conditions associated with chronic and acute diseases that occur commonly with aging. With the goal of developing updated, evidence-based recommendations for optimal protein intake by older people, the European Union Geriatric Medicine Society (EUGMS), in cooperation with other scientific organizations, appointed an international study group to review dietary protein needs with aging (PROT-AGE Study Group). To help older people (&gt;65 years) maintain and regain lean body mass and function, the PROT-AGE study group recommends average daily intake at least in the range of 1.0 to 1.2 g protein per kilogram of body weight per day. Both endurance- and resistance-type exercises are recommended at individualized levels that are safe and tolerated, and higher protein intake (ie, \u2265 1.2 g/kg body weight/d) is advised for those who are exercising and otherwise active. Most older adults who have acute or chronic diseases need even more dietary protein (ie, 1.2-1.5 g/kg body weight/d). Older people with severe kidney disease (ie, estimated GFR &lt;30 mL/min/1.73 m(2)), but who are not on dialysis, are an exception to this rule; these individuals may need to limit protein intake. Protein quality, timing of ingestion, and intake of other nutritional supplements may be relevant, but evidence is not yet sufficient to support specific recommendations. Older people are vulnerable to losses in physical function capacity, and such losses predict loss of independence, falls, and even mortality. Thus, future studies aimed at pinpointing optimal protein intake in specific populations of older people need to include measures of physical function.", "author" : [ { "dropping-particle" : "", "family" : "Bauer", "given" : "J\u00fcrgen", "non-dropping-particle" : "", "parse-names" : false, "suffix" : "" }, { "dropping-particle" : "", "family" : "Biolo", "given" : "Gianni", "non-dropping-particle" : "", "parse-names" : false, "suffix" : "" }, { "dropping-particle" : "", "family" : "Cederholm", "given" : "Tommy", "non-dropping-particle" : "", "parse-names" : false, "suffix" : "" }, { "dropping-particle" : "", "family" : "Cesari", "given" : "Matteo", "non-dropping-particle" : "", "parse-names" : false, "suffix" : "" }, { "dropping-particle" : "", "family" : "Cruz-Jentoft", "given" : "Alfonso J", "non-dropping-particle" : "", "parse-names" : false, "suffix" : "" }, { "dropping-particle" : "", "family" : "Morley", "given" : "John E", "non-dropping-particle" : "", "parse-names" : false, "suffix" : "" }, { "dropping-particle" : "", "family" : "Phillips", "given" : "Stuart", "non-dropping-particle" : "", "parse-names" : false, "suffix" : "" }, { "dropping-particle" : "", "family" : "Sieber", "given" : "Cornel", "non-dropping-particle" : "", "parse-names" : false, "suffix" : "" }, { "dropping-particle" : "", "family" : "Stehle", "given" : "Peter", "non-dropping-particle" : "", "parse-names" : false, "suffix" : "" }, { "dropping-particle" : "", "family" : "Teta", "given" : "Daniel", "non-dropping-particle" : "", "parse-names" : false, "suffix" : "" }, { "dropping-particle" : "", "family" : "Visvanathan", "given" : "Renuka", "non-dropping-particle" : "", "parse-names" : false, "suffix" : "" }, { "dropping-particle" : "", "family" : "Volpi", "given" : "Elena", "non-dropping-particle" : "", "parse-names" : false, "suffix" : "" }, { "dropping-particle" : "", "family" : "Boirie", "given" : "Yves", "non-dropping-particle" : "", "parse-names" : false, "suffix" : "" } ], "container-title" : "Journal of the American Medical Directors Association", "id" : "ITEM-1", "issue" : "8", "issued" : { "date-parts" : [ [ "2013", "8" ] ] }, "page" : "542-59", "title" : "Evidence-based recommendations for optimal dietary protein intake in older people: a position paper from the PROT-AGE Study Group.", "type" : "article-journal", "volume" : "14" }, "uris" : [ "http://www.mendeley.com/documents/?uuid=a73f002f-0348-4b6e-b3e8-cb611f2cf659" ] } ], "mendeley" : { "formattedCitation" : "&lt;sup&gt;80&lt;/sup&gt;", "plainTextFormattedCitation" : "80", "previouslyFormattedCitation" : "&lt;sup&gt;80&lt;/sup&gt;" }, "properties" : { "noteIndex" : 0 }, "schema" : "https://github.com/citation-style-language/schema/raw/master/csl-citation.json" }</w:instrText>
      </w:r>
      <w:r w:rsidR="003778D9" w:rsidRPr="000B0221">
        <w:fldChar w:fldCharType="separate"/>
      </w:r>
      <w:r w:rsidR="007E0300" w:rsidRPr="007E0300">
        <w:rPr>
          <w:noProof/>
          <w:vertAlign w:val="superscript"/>
        </w:rPr>
        <w:t>80</w:t>
      </w:r>
      <w:r w:rsidR="003778D9" w:rsidRPr="000B0221">
        <w:fldChar w:fldCharType="end"/>
      </w:r>
      <w:r w:rsidR="003778D9" w:rsidRPr="000B0221">
        <w:t xml:space="preserve">. </w:t>
      </w:r>
      <w:r w:rsidR="00DA4C14" w:rsidRPr="000B0221">
        <w:t>R</w:t>
      </w:r>
      <w:r w:rsidRPr="000B0221">
        <w:t xml:space="preserve">ecent evidence suggests that the </w:t>
      </w:r>
      <w:r w:rsidR="00B12118" w:rsidRPr="000B0221">
        <w:t xml:space="preserve">recommended </w:t>
      </w:r>
      <w:r w:rsidRPr="000B0221">
        <w:t>dietary allowance for protein is inadequate in older people</w:t>
      </w:r>
      <w:r w:rsidRPr="000B0221">
        <w:fldChar w:fldCharType="begin" w:fldLock="1"/>
      </w:r>
      <w:r w:rsidR="007E0300">
        <w:instrText>ADDIN CSL_CITATION { "citationItems" : [ { "id" : "ITEM-1", "itemData" : { "DOI" : "10.1097/MCO.0000000000000162", "ISSN" : "1473-6519", "PMID" : "25807346", "abstract" : "PURPOSE OF REVIEW: We provide an update on the recent advances in nutrition research regarding the role of protein intake in the development and treatment of sarcopenia of aging.\n\nRECENT FINDINGS: Specific muscle mass, strength and function cut-points for the diagnosis of sarcopenia have been identified. There is mounting evidence, as highlighted by multiple consensus statements, that the Recommended Dietary Allowance (0.8\u200ag/kg body weight) may be inadequate to promote optimal health in older adults. Recent research indicates that in addition to total daily protein intake the timing of protein intake is also important to best stimulate muscle protein synthesis, and maintain muscle mass and function in older adults.\n\nSUMMARY: Recent evidence suggests that the Recommended Dietary Allowance for protein is inadequate, and that the timing and distribution of protein consumption throughout daily meals may be as important as the total quantity. Research has continued to advance our understanding of protein's effects on muscle metabolism; however, there remains a need for large, long-term, randomized clinical trials examining whether the positive effects of dietary protein on muscle metabolism seen in acute studies will translate over the long term into gains of muscle mass, function, and the overall health of older adults.", "author" : [ { "dropping-particle" : "", "family" : "Deer", "given" : "Rachel R", "non-dropping-particle" : "", "parse-names" : false, "suffix" : "" }, { "dropping-particle" : "", "family" : "Volpi", "given" : "Elena", "non-dropping-particle" : "", "parse-names" : false, "suffix" : "" } ], "container-title" : "Current opinion in clinical nutrition and metabolic care", "id" : "ITEM-1", "issue" : "3", "issued" : { "date-parts" : [ [ "2015", "5" ] ] }, "page" : "248-53", "title" : "Protein intake and muscle function in older adults.", "type" : "article-journal", "volume" : "18" }, "uris" : [ "http://www.mendeley.com/documents/?uuid=6dfd5de6-98ee-4d57-9edb-7da8bdbfdce1" ] } ], "mendeley" : { "formattedCitation" : "&lt;sup&gt;81&lt;/sup&gt;", "plainTextFormattedCitation" : "81", "previouslyFormattedCitation" : "&lt;sup&gt;81&lt;/sup&gt;" }, "properties" : { "noteIndex" : 0 }, "schema" : "https://github.com/citation-style-language/schema/raw/master/csl-citation.json" }</w:instrText>
      </w:r>
      <w:r w:rsidRPr="000B0221">
        <w:fldChar w:fldCharType="separate"/>
      </w:r>
      <w:r w:rsidR="007E0300" w:rsidRPr="007E0300">
        <w:rPr>
          <w:noProof/>
          <w:vertAlign w:val="superscript"/>
        </w:rPr>
        <w:t>81</w:t>
      </w:r>
      <w:r w:rsidRPr="000B0221">
        <w:fldChar w:fldCharType="end"/>
      </w:r>
      <w:r w:rsidRPr="000B0221">
        <w:t>. Some other nutritional supplements, such as β-hydroxy β-methylbutyrate, creatine and vitamin D have been suggested to have a</w:t>
      </w:r>
      <w:r w:rsidR="00B12118" w:rsidRPr="000B0221">
        <w:t>n</w:t>
      </w:r>
      <w:r w:rsidRPr="000B0221">
        <w:t xml:space="preserve"> effect on muscle function. Indeed, β-hydroxy β-methylbutyrate supplements </w:t>
      </w:r>
      <w:r w:rsidR="00B12118" w:rsidRPr="000B0221">
        <w:t>appear</w:t>
      </w:r>
      <w:r w:rsidRPr="000B0221">
        <w:t xml:space="preserve"> to increase muscle mass </w:t>
      </w:r>
      <w:r w:rsidR="00B12118" w:rsidRPr="000B0221">
        <w:t xml:space="preserve">whilst </w:t>
      </w:r>
      <w:r w:rsidRPr="000B0221">
        <w:t xml:space="preserve">its effects on muscle strength and physical performance are inconsistent </w:t>
      </w:r>
      <w:r w:rsidRPr="000B0221">
        <w:fldChar w:fldCharType="begin" w:fldLock="1"/>
      </w:r>
      <w:r w:rsidR="007E0300">
        <w:instrText>ADDIN CSL_CITATION { "citationItems" : [ { "id" : "ITEM-1", "itemData" : { "DOI" : "10.1093/ageing/afu115", "ISBN" : "1468-2834 (Electronic)\r0002-0729 (Linking)", "PMID" : "25241753", "abstract" : "OBJECTIVE: to examine the clinical evidence reporting the prevalence of sarcopenia and the effect of nutrition and exercise interventions from studies using the consensus definition of sarcopenia proposed by the European Working Group on Sarcopenia in Older People (EWGSOP). METHODS: PubMed and Dialog databases were searched (January 2000-October 2013) using pre-defined search terms. Prevalence studies and intervention studies investigating muscle mass plus strength or function outcome measures using the EWGSOP definition of sarcopenia, in well-defined populations of adults aged &gt;/=50 years were selected. RESULTS: prevalence of sarcopenia was, with regional and age-related variations, 1-29% in community-dwelling populations, 14-33% in long-term care populations and 10% in the only acute hospital-care population examined. Moderate quality evidence suggests that exercise interventions improve muscle strength and physical performance. The results of nutrition interventions are equivocal due to the low number of studies and heterogeneous study design. Essential amino acid (EAA) supplements, including approximately 2.5 g of leucine, and beta-hydroxy beta-methylbutyric acid (HMB) supplements, show some effects in improving muscle mass and function parameters. Protein supplements have not shown consistent benefits on muscle mass and function. CONCLUSION: prevalence of sarcopenia is substantial in most geriatric settings. Well-designed, standardised studies evaluating exercise or nutrition interventions are needed before treatment guidelines can be developed. Physicians should screen for sarcopenia in both community and geriatric settings, with diagnosis based on muscle mass and function. Supervised resistance exercise is recommended for individuals with sarcopenia. EAA (with leucine) and HMB may improve muscle outcomes.", "author" : [ { "dropping-particle" : "", "family" : "Cruz-Jentoft", "given" : "A J", "non-dropping-particle" : "", "parse-names" : false, "suffix" : "" }, { "dropping-particle" : "", "family" : "Landi", "given" : "F", "non-dropping-particle" : "", "parse-names" : false, "suffix" : "" }, { "dropping-particle" : "", "family" : "Schneider", "given" : "S M", "non-dropping-particle" : "", "parse-names" : false, "suffix" : "" }, { "dropping-particle" : "", "family" : "Zuniga", "given" : "C", "non-dropping-particle" : "", "parse-names" : false, "suffix" : "" }, { "dropping-particle" : "", "family" : "Arai", "given" : "H", "non-dropping-particle" : "", "parse-names" : false, "suffix" : "" }, { "dropping-particle" : "", "family" : "Boirie", "given" : "Y", "non-dropping-particle" : "", "parse-names" : false, "suffix" : "" }, { "dropping-particle" : "", "family" : "Chen", "given" : "L K", "non-dropping-particle" : "", "parse-names" : false, "suffix" : "" }, { "dropping-particle" : "", "family" : "Fielding", "given" : "R A", "non-dropping-particle" : "", "parse-names" : false, "suffix" : "" }, { "dropping-particle" : "", "family" : "Martin", "given" : "F C", "non-dropping-particle" : "", "parse-names" : false, "suffix" : "" }, { "dropping-particle" : "", "family" : "Michel", "given" : "J P", "non-dropping-particle" : "", "parse-names" : false, "suffix" : "" }, { "dropping-particle" : "", "family" : "Sieber", "given" : "C", "non-dropping-particle" : "", "parse-names" : false, "suffix" : "" }, { "dropping-particle" : "", "family" : "Stout", "given" : "J R", "non-dropping-particle" : "", "parse-names" : false, "suffix" : "" }, { "dropping-particle" : "", "family" : "Studenski", "given" : "S A", "non-dropping-particle" : "", "parse-names" : false, "suffix" : "" }, { "dropping-particle" : "", "family" : "Vellas", "given" : "B", "non-dropping-particle" : "", "parse-names" : false, "suffix" : "" }, { "dropping-particle" : "", "family" : "Woo", "given" : "J", "non-dropping-particle" : "", "parse-names" : false, "suffix" : "" }, { "dropping-particle" : "", "family" : "Zamboni", "given" : "M", "non-dropping-particle" : "", "parse-names" : false, "suffix" : "" }, { "dropping-particle" : "", "family" : "Cederholm", "given" : "T", "non-dropping-particle" : "", "parse-names" : false, "suffix" : "" } ], "container-title" : "Age Ageing", "edition" : "2014/09/23", "id" : "ITEM-1", "issued" : { "date-parts" : [ [ "2014" ] ] }, "language" : "Eng", "note" : "Cruz-Jentoft, Alfonso J\nLandi, Francesco\nSchneider, Stephane M\nZuniga, Clemente\nArai, Hidenori\nBoirie, Yves\nChen, Liang-Kung\nFielding, Roger A\nMartin, Finbarr C\nMichel, Jean-Pierre\nSieber, Cornel\nStout, Jeffrey R\nStudenski, Stephanie A\nVellas, Bruno\nWoo, Jean\nZamboni, Mauro\nCederholm, Tommy\nAge Ageing. 2014 Sep 21. pii: afu115.", "title" : "Prevalence of and interventions for sarcopenia in ageing adults: a systematic review. Report of the International Sarcopenia Initiative (EWGSOP and IWGS)", "type" : "article-journal" }, "uris" : [ "http://www.mendeley.com/documents/?uuid=e8c10ef6-ef79-4b42-83fd-f0488a2eb278" ] }, { "id" : "ITEM-2", "itemData" : { "DOI" : "10.2147/CIA.S55842", "ISSN" : "1178-1998", "PMID" : "25999704", "abstract" : "The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(\u226565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 "author" : [ { "dropping-particle" : "", "family" : "Denison", "given" : "Hayley J", "non-dropping-particle" : "", "parse-names" : false, "suffix" : "" }, { "dropping-particle" : "", "family" : "Cooper", "given" : "Cyrus", "non-dropping-particle" : "", "parse-names" : false, "suffix" : "" }, { "dropping-particle" : "", "family" : "Sayer", "given" : "Avan Aihie", "non-dropping-particle" : "", "parse-names" : false, "suffix" : "" }, { "dropping-particle" : "", "family" : "Robinson", "given" : "Sian M", "non-dropping-particle" : "", "parse-names" : false, "suffix" : "" } ], "container-title" : "Clinical interventions in aging", "id" : "ITEM-2", "issued" : { "date-parts" : [ [ "2015", "1" ] ] }, "page" : "859-69", "title" : "Prevention and optimal management of sarcopenia: a review of combined exercise and nutrition interventions to improve muscle outcomes in older people.", "type" : "article-journal", "volume" : "10" }, "uris" : [ "http://www.mendeley.com/documents/?uuid=8347baa6-fb8f-48ab-afdf-fd2b68ac033e" ] }, { "id" : "ITEM-3", "itemData" : { "DOI" : "10.1007/s00726-013-1592-z", "ISSN" : "1438-2199", "PMID" : "24057808", "abstract" : "Beta-hydroxy-beta-methylbutyrate (HMB), a metabolite of the branched-chain amino acid leucine, is extensively used by athletes and bodybuilders in order to increase strength, muscle mass and exercise performance. We performed a systematic review of the clinical literature on the effectiveness of HMB supplementation in healthy and pathological conditions (i.e. training programs, aging, acute and chronic diseases, and after bariatric surgery). We reviewed all clinical trials indexed in Medline that tested HMB supplementation as well as all the experimental data regarding HMB intracellular mechanisms of action. Search terms included: randomized controlled trials, controlled clinical trials, single- and double-blind method, HMB, proteolytic pathways, muscle atrophy, cachexia, and training. We found out 13 studies testing HMB in healthy young trained subjects, 11 in healthy young untrained subjects, 9 in patients affected by chronic diseases (i.e. cancer, HIV, chronic obstructive pulmonary disease), and 6 in elderly subjects. The indexed studies support that HMB is effective in preventing exercise-related muscle damage in healthy trained and untrained individuals as well as muscle loss during chronic diseases. Most of the selected studies showed the effectiveness of HMB in preventing exercise-related muscle damage in healthy trained and untrained individuals as well as muscle loss during chronic diseases. The usual dose of 3\u00a0g/day may be routinely recommended to maintain or improve muscle mass and function in health and disease. The safety profile of HMB is unequivocal. Further, well-designed clinical studies are needed to confirm effectiveness and mode of action of HMB, particularly in pathological conditions.", "author" : [ { "dropping-particle" : "", "family" : "Molfino", "given" : "Alessio", "non-dropping-particle" : "", "parse-names" : false, "suffix" : "" }, { "dropping-particle" : "", "family" : "Gioia", "given" : "Gianfranco", "non-dropping-particle" : "", "parse-names" : false, "suffix" : "" }, { "dropping-particle" : "", "family" : "Rossi Fanelli", "given" : "Filippo", "non-dropping-particle" : "", "parse-names" : false, "suffix" : "" }, { "dropping-particle" : "", "family" : "Muscaritoli", "given" : "Maurizio", "non-dropping-particle" : "", "parse-names" : false, "suffix" : "" } ], "container-title" : "Amino acids", "id" : "ITEM-3", "issue" : "6", "issued" : { "date-parts" : [ [ "2013", "12" ] ] }, "page" : "1273-92", "title" : "Beta-hydroxy-beta-methylbutyrate supplementation in health and disease: a systematic review of randomized trials.", "type" : "article-journal", "volume" : "45" }, "uris" : [ "http://www.mendeley.com/documents/?uuid=66db7897-c142-45d8-a944-093a5fa0233b" ] } ], "mendeley" : { "formattedCitation" : "&lt;sup&gt;11,20,21&lt;/sup&gt;", "plainTextFormattedCitation" : "11,20,21", "previouslyFormattedCitation" : "&lt;sup&gt;11,20,21&lt;/sup&gt;" }, "properties" : { "noteIndex" : 0 }, "schema" : "https://github.com/citation-style-language/schema/raw/master/csl-citation.json" }</w:instrText>
      </w:r>
      <w:r w:rsidRPr="000B0221">
        <w:fldChar w:fldCharType="separate"/>
      </w:r>
      <w:r w:rsidR="008069A0" w:rsidRPr="008069A0">
        <w:rPr>
          <w:noProof/>
          <w:vertAlign w:val="superscript"/>
        </w:rPr>
        <w:t>11,20,21</w:t>
      </w:r>
      <w:r w:rsidRPr="000B0221">
        <w:fldChar w:fldCharType="end"/>
      </w:r>
      <w:r w:rsidRPr="000B0221">
        <w:t xml:space="preserve">. Supplementation </w:t>
      </w:r>
      <w:r w:rsidR="00B12118" w:rsidRPr="000B0221">
        <w:t xml:space="preserve">with </w:t>
      </w:r>
      <w:r w:rsidRPr="000B0221">
        <w:t>creatine</w:t>
      </w:r>
      <w:r w:rsidR="003931AC" w:rsidRPr="000B0221">
        <w:t>, protein or leucine</w:t>
      </w:r>
      <w:r w:rsidRPr="000B0221">
        <w:t xml:space="preserve"> combined with resistance exercises seems to have a positive impact on muscle mass, muscle strength and </w:t>
      </w:r>
      <w:r w:rsidRPr="000B0221">
        <w:lastRenderedPageBreak/>
        <w:t>physical performance</w:t>
      </w:r>
      <w:r w:rsidRPr="000B0221">
        <w:fldChar w:fldCharType="begin" w:fldLock="1"/>
      </w:r>
      <w:r w:rsidR="007E0300">
        <w:instrText>ADDIN CSL_CITATION { "citationItems" : [ { "id" : "ITEM-1", "itemData" : { "DOI" : "10.1249/MSS.0000000000000220", "ISSN" : "1530-0315", "PMID" : "24576864", "abstract" : "INTRODUCTION: Age-related sarcopenia and dynapenia have negative effects on strength and the ability to perform activities of daily living. Resistance training (RT) increases muscle mass and strength in older adults and is an established countermeasure for sarcopenia and dynapenia, and creatine may enhance this effect. We aimed to determine whether the addition of Cr to RT increased gains in muscle mass, strength, and function in older adults over RT alone by conducting a systematic review and meta-analysis.\n\nMETHODS: PubMed and Healthstar databases were searched. Randomized, placebo-controlled trials that involved older adults supplemented with Cr and included RT regimens (&gt;6 wk) were included. Data were analyzed using fixed or random (if data were heterogeneous) effects meta-analysis using RevMan 5.\n\nRESULTS: The meta-analysis comprised 357 older adults (average \u00b1 SD Cr: 63.6 \u00b1 5.9 yr, Pl: 64.2 \u00b1 5.4 yr) with 12.6 \u00b1 4.9 wk of RT. Cr + RT increased total body mass (P = 0.004) and fat-free mass (P &lt; 0.0001) with no effect on fat mass as compared with RT alone. Cr + RT increased chest press (P = 0.004) and leg press (P = 0.02) one-repetition maximum to a greater extent than RT alone, with no difference in the effect on knee extension or biceps curl one-repetition maximum, isokinetic or isometric knee extension peak torque. Cr + RT had a greater effect than RT alone on the 30-s chair stand test (P = 0.03).\n\nCONCLUSION: Retention of muscle mass and strength is integral to healthy aging. The results from this meta-analysis are encouraging in supporting a role for Cr supplementation during RT in healthful aging by enhancing muscle mass gain, strength, and functional performance over RT alone; however, the limited number of studies indicates further work is needed.", "author" : [ { "dropping-particle" : "", "family" : "Devries", "given" : "Michaela C", "non-dropping-particle" : "", "parse-names" : false, "suffix" : "" }, { "dropping-particle" : "", "family" : "Phillips", "given" : "Stuart M", "non-dropping-particle" : "", "parse-names" : false, "suffix" : "" } ], "container-title" : "Medicine and science in sports and exercise", "id" : "ITEM-1", "issue" : "6", "issued" : { "date-parts" : [ [ "2014", "6" ] ] }, "page" : "1194-203", "title" : "Creatine supplementation during resistance training in older adults-a meta-analysis.", "type" : "article-journal", "volume" : "46" }, "uris" : [ "http://www.mendeley.com/documents/?uuid=edae9dd5-4fc7-4b22-a05b-f663e93d326c" ] }, { "id" : "ITEM-2", "itemData" : { "DOI" : "10.1016/j.jamda.2014.09.011", "ISSN" : "1538-9375", "PMID" : "25444576", "abstract" : "BACKGROUND: The benefit of protein supplementation on the adaptive response of muscle to exercise training in older people is controversial.\n\nOBJECTIVE: To investigate the independent and combined effects of a multicomponent exercise program with and without a milk-based nutritional supplement on muscle strength and mass, lower-extremity fatigue, and metabolic markers.\n\nDESIGN: A sample of 48 healthy sedentary men aged 60.8 \u00b1 0.4 years were randomly assigned to a 16-week multicomponent exercise training program with a milk-based supplement containing, besides proteins [total milk proteins 4 or 10 g/day or soluble milk proteins rich in leucine (PRO) 10 g/day], carbohydrates and fat. Body composition, muscle mass and strength, and time to task failure, an index of muscle fatigue, were measured. Blood lipid, fibrinogen, creatine phosphokinase, glucose, insulin, C-reactive protein, interleukin-6, tumor necrosis factor-\u03b1 soluble receptors, and endothelial markers were assessed.\n\nRESULTS: Body fat mass was reduced after the 4-month training program in groups receiving 10 g/day of protein supplementation (P &lt; .01). The training program sustained with the daily 10 g/day PRO was associated with a significant increase in dominant fat free mass (+5.4%, P &lt; .01) and in appendicular muscle mass (+4.5%, P &lt; .01). Blood cholesterol was decreased in the trained group receiving 10 g/day PRO. The index of insulin resistance (homeostasis model assessment-insulin resistance) and blood creatine phosphokinase were reduced in the groups receiving 10 g/day PRO, irrespective of exercise. The inflammatory and endothelial markers were not different between the groups. Training caused a significant improvement (+10.6% to 19.4%, P &lt; .01) in the maximal oxygen uptake. Increased maximum voluntary contraction force was seen in the trained groups receiving 10 g/day of proteins (about 3%, P &lt; .05). Time to task failure was improved in the trained participants receiving a 10 g/day supplementation with PRO (P &lt; .01).\n\nCONCLUSIONS: Soluble milk proteins rich in leucine improved time to muscle failure and increase in skeletal muscle mass and strength after prolonged multicomponent exercise training in healthy older men.", "author" : [ { "dropping-particle" : "", "family" : "Gryson", "given" : "C\u00e9line", "non-dropping-particle" : "", "parse-names" : false, "suffix" : "" }, { "dropping-particle" : "", "family" : "Ratel", "given" : "S\u00e9bastien", "non-dropping-particle" : "", "parse-names" : false, "suffix" : "" }, { "dropping-particle" : "", "family" : "Rance", "given" : "M\u00e9lanie", "non-dropping-particle" : "", "parse-names" : false, "suffix" : "" }, { "dropping-particle" : "", "family" : "Penando", "given" : "St\u00e9phane", "non-dropping-particle" : "", "parse-names" : false, "suffix" : "" }, { "dropping-particle" : "", "family" : "Bonhomme", "given" : "C\u00e9cile", "non-dropping-particle" : "", "parse-names" : false, "suffix" : "" }, { "dropping-particle" : "", "family" : "Ruyet", "given" : "Pascale", "non-dropping-particle" : "Le", "parse-names" : false, "suffix" : "" }, { "dropping-particle" : "", "family" : "Duclos", "given" : "Martine", "non-dropping-particle" : "", "parse-names" : false, "suffix" : "" }, { "dropping-particle" : "", "family" : "Boirie", "given" : "Yves", "non-dropping-particle" : "", "parse-names" : false, "suffix" : "" }, { "dropping-particle" : "", "family" : "Walrand", "given" : "St\u00e9phane", "non-dropping-particle" : "", "parse-names" : false, "suffix" : "" } ], "container-title" : "Journal of the American Medical Directors Association", "id" : "ITEM-2", "issue" : "12", "issued" : { "date-parts" : [ [ "2014", "12" ] ] }, "page" : "958.e1-9", "title" : "Four-month course of soluble milk proteins interacts with exercise to improve muscle strength and delay fatigue in elderly participants.", "type" : "article-journal", "volume" : "15" }, "uris" : [ "http://www.mendeley.com/documents/?uuid=c54f595f-1451-4d36-a319-8e4f589f3582" ] }, { "id" : "ITEM-3", "itemData" : { "DOI" : "10.1007/s40279-014-0269-4", "ISSN" : "1179-2035", "PMID" : "25355074", "abstract" : "BACKGROUND: Older individuals present reductions in muscle mass and physical function, as well as a blunted muscle protein synthesis response to amino acid administration and physical activity. Although resistance training is an effective intervention to slow down muscle impairments in the elderly, there is no consensus whether a combination with protein supplementation could offer additional benefits to an older population.\n\nOBJECTIVE: We aimed to systematically summarize and quantify whether protein supplementation could optimize the effects of resistance training on muscle mass and strength in an aged population.\n\nDESIGN: A structured literature search was conducted on MEDLINE (PubMed), Cochrane, EMBASE and LILACS databases. The search had no period or language restrictions. Inclusion criteria comprised study design (randomized controlled trials-RCTs), sample mean age (60 years and over) and intervention (a resistance training program for a period of 6 weeks or longer combined with protein or amino acids supplementation). Two independent reviewers performed the study selection and data extraction. Continuous data on fat-free mass, muscle mass and muscle strength were pooled using a random-effects model.\n\nRESULTS: Of the 540 articles reviewed, 29 eligible articles underwent full-text evaluation. Nine RCTs (462 subjects) met the inclusion criteria and were included in the study. The mean age of the participants ranged from 61 to 79 years old. Protein supplementation protocols varied widely throughout the studies. Three studies used quantities related to the body mass of the participants and the other six trials provided supplements in daily amounts, independently of subjects' body masses. Overall, protein supplementation in combination with resistance training was associated with gains in fat-free mass, resulting in a standardized mean difference (SMD) of 0.23 [95% confidence interval (CI), 0.05-0.42]. However, protein supplementation was not associated with changes in muscle mass (0.14, 95% CI -0.05 to 0.32) or muscle strength (0.13, 95% CI -0.06 to 0.32).\n\nLIMITATIONS: Studies among the very elderly population are scarce. The variation regarding the supplementation protocol, namely the different protein sources, amounts and timing of ingestion, also made it harder to compare the results. The general quality of the studies was low, reflecting increased risk of bias in some studies. Despite these limitations, this systematic review provides a general o\u2026", "author" : [ { "dropping-particle" : "", "family" : "Finger", "given" : "D\u00e9bora", "non-dropping-particle" : "", "parse-names" : false, "suffix" : "" }, { "dropping-particle" : "", "family" : "Goltz", "given" : "Fernanda Reistenbach", "non-dropping-particle" : "", "parse-names" : false, "suffix" : "" }, { "dropping-particle" : "", "family" : "Umpierre", "given" : "Daniel", "non-dropping-particle" : "", "parse-names" : false, "suffix" : "" }, { "dropping-particle" : "", "family" : "Meyer", "given" : "Elisabeth", "non-dropping-particle" : "", "parse-names" : false, "suffix" : "" }, { "dropping-particle" : "", "family" : "Rosa", "given" : "Luis Henrique Telles", "non-dropping-particle" : "", "parse-names" : false, "suffix" : "" }, { "dropping-particle" : "", "family" : "Schneider", "given" : "Cl\u00e1udia Dornelles", "non-dropping-particle" : "", "parse-names" : false, "suffix" : "" } ], "container-title" : "Sports medicine (Auckland, N.Z.)", "id" : "ITEM-3", "issue" : "2", "issued" : { "date-parts" : [ [ "2015", "2" ] ] }, "page" : "245-55", "title" : "Effects of protein supplementation in older adults undergoing resistance training: a systematic review and meta-analysis.", "type" : "article-journal", "volume" : "45" }, "uris" : [ "http://www.mendeley.com/documents/?uuid=e38e1fd8-f578-49f7-a8cf-a010a0449329" ] } ], "mendeley" : { "formattedCitation" : "&lt;sup&gt;22,82,83&lt;/sup&gt;", "plainTextFormattedCitation" : "22,82,83", "previouslyFormattedCitation" : "&lt;sup&gt;22,82,83&lt;/sup&gt;" }, "properties" : { "noteIndex" : 0 }, "schema" : "https://github.com/citation-style-language/schema/raw/master/csl-citation.json" }</w:instrText>
      </w:r>
      <w:r w:rsidRPr="000B0221">
        <w:fldChar w:fldCharType="separate"/>
      </w:r>
      <w:r w:rsidR="007E0300" w:rsidRPr="007E0300">
        <w:rPr>
          <w:noProof/>
          <w:vertAlign w:val="superscript"/>
        </w:rPr>
        <w:t>22,82,83</w:t>
      </w:r>
      <w:r w:rsidRPr="000B0221">
        <w:fldChar w:fldCharType="end"/>
      </w:r>
      <w:r w:rsidRPr="000B0221">
        <w:t xml:space="preserve">. Finally, a recent meta-analysis </w:t>
      </w:r>
      <w:r w:rsidR="00B12118" w:rsidRPr="000B0221">
        <w:t xml:space="preserve">has </w:t>
      </w:r>
      <w:r w:rsidRPr="000B0221">
        <w:t>suggested that vitamin D supplementation could increase lower limb muscle strength</w:t>
      </w:r>
      <w:r w:rsidRPr="000B0221">
        <w:fldChar w:fldCharType="begin" w:fldLock="1"/>
      </w:r>
      <w:r w:rsidR="007E0300">
        <w:instrText>ADDIN CSL_CITATION { "citationItems" : [ { "id" : "ITEM-1", "itemData" : { "DOI" : "10.1210/jc.2014-1742", "ISBN" : "1945-7197 (Electronic)\r0021-972X (Linking)", "PMID" : "25033068", "abstract" : "Context There is growing evidence that vitamin D plays a role on several tissues including skeletal muscle. Objective To summarize with a meta-analyse the effects of vitamin D supplementation on muscle function. Data sources A systematic research of randomized controlled trials, performed between 1966 and January 2014 has been conducted on Medline, Cochrane Database of Systematics Reviews, Cochrane Central Register of Controlled and completed by a manual review of the literature and congressional abstracts. Study selection All forms and doses of vitamin D supplementation, with or without calcium supplementation, compared with placebo or control were included. Out of the 225 potentially relevant articles, 30 randomized controlled trials involving 5615 individuals (mean age: 61.1 years) met the inclusion criteria. Data extraction Data were extracted by two independent reviewers. Data synthesis Results revealed a small but significant positive effect of vitamin D supplementation on global muscle strength with a standardized mean difference (SMD) of 0.17 (p=0.02). No significant effect was found on muscle mass (SMD 0.058; p=0.52) or muscle power (SMD 0.057; p=0.657). Results on muscle strength were significantly more important with people who presented a 25-hydroxyvitamin D level &lt;30 nmol/L. Supplementation seems also more effective on people aged 65 years or older compared to younger subjects (SMD 0.25; 95% CI 0.01 to 0.48 versus SMD 0.03; 95% CI -0.08 to 0.14). Conclusions Vitamin D supplementation has a small positive impact on muscle strength but additional studies are needed to define optimal treatment modalities, including dose, mode of administration and duration.", "author" : [ { "dropping-particle" : "", "family" : "Beaudart", "given" : "C", "non-dropping-particle" : "", "parse-names" : false, "suffix" : "" }, { "dropping-particle" : "", "family" : "Buckinx", "given" : "F", "non-dropping-particle" : "", "parse-names" : false, "suffix" : "" }, { "dropping-particle" : "", "family" : "Rabenda", "given" : "V", "non-dropping-particle" : "", "parse-names" : false, "suffix" : "" }, { "dropping-particle" : "", "family" : "Gillain", "given" : "S", "non-dropping-particle" : "", "parse-names" : false, "suffix" : "" }, { "dropping-particle" : "", "family" : "Cavalier", "given" : "E", "non-dropping-particle" : "", "parse-names" : false, "suffix" : "" }, { "dropping-particle" : "", "family" : "Slomian", "given" : "J", "non-dropping-particle" : "", "parse-names" : false, "suffix" : "" }, { "dropping-particle" : "", "family" : "Petermans", "given" : "J", "non-dropping-particle" : "", "parse-names" : false, "suffix" : "" }, { "dropping-particle" : "", "family" : "Reginster", "given" : "J Y", "non-dropping-particle" : "", "parse-names" : false, "suffix" : "" }, { "dropping-particle" : "", "family" : "Bruyere", "given" : "O", "non-dropping-particle" : "", "parse-names" : false, "suffix" : "" } ], "container-title" : "J Clin Endocrinol Metab", "edition" : "2014/07/18", "id" : "ITEM-1", "issued" : { "date-parts" : [ [ "2014" ] ] }, "language" : "Eng", "note" : "Beaudart, Charlotte\nBuckinx, Fanny\nRabenda, Veronique\nGillain, Sophie\nCavalier, Etienne\nSlomian, Justine\nPetermans, Jean\nReginster, Jean-Yves\nBruyere, Olivier\nJ Clin Endocrinol Metab. 2014 Jul 17:jc20141742.", "page" : "jc20141742", "title" : "The effects of vitamin D on skeletal muscle strength, muscle mass and muscle power: a systematic review and meta-analysis of randomized controlled trials", "type" : "article-journal" }, "uris" : [ "http://www.mendeley.com/documents/?uuid=6efc14c0-b0fb-42d2-9d3c-95a1a91b5fda" ] } ], "mendeley" : { "formattedCitation" : "&lt;sup&gt;84&lt;/sup&gt;", "plainTextFormattedCitation" : "84", "previouslyFormattedCitation" : "&lt;sup&gt;84&lt;/sup&gt;" }, "properties" : { "noteIndex" : 0 }, "schema" : "https://github.com/citation-style-language/schema/raw/master/csl-citation.json" }</w:instrText>
      </w:r>
      <w:r w:rsidRPr="000B0221">
        <w:fldChar w:fldCharType="separate"/>
      </w:r>
      <w:r w:rsidR="007E0300" w:rsidRPr="007E0300">
        <w:rPr>
          <w:noProof/>
          <w:vertAlign w:val="superscript"/>
        </w:rPr>
        <w:t>84</w:t>
      </w:r>
      <w:r w:rsidRPr="000B0221">
        <w:fldChar w:fldCharType="end"/>
      </w:r>
      <w:r w:rsidRPr="000B0221">
        <w:t>.</w:t>
      </w:r>
      <w:r w:rsidRPr="000B0221">
        <w:rPr>
          <w:rFonts w:ascii="Palatino Linotype" w:hAnsi="Palatino Linotype"/>
          <w:i/>
          <w:sz w:val="20"/>
        </w:rPr>
        <w:t xml:space="preserve"> </w:t>
      </w:r>
      <w:r w:rsidRPr="000B0221">
        <w:t xml:space="preserve">Based on </w:t>
      </w:r>
      <w:r w:rsidR="00B12118" w:rsidRPr="000B0221">
        <w:t xml:space="preserve">this </w:t>
      </w:r>
      <w:r w:rsidRPr="000B0221">
        <w:t xml:space="preserve">evidence, dietary protein </w:t>
      </w:r>
      <w:r w:rsidR="00B12118" w:rsidRPr="000B0221">
        <w:t xml:space="preserve">caloric </w:t>
      </w:r>
      <w:r w:rsidRPr="000B0221">
        <w:t>intake</w:t>
      </w:r>
      <w:r w:rsidR="00DA4C14" w:rsidRPr="000B0221">
        <w:t>, protein quality,</w:t>
      </w:r>
      <w:r w:rsidRPr="000B0221">
        <w:t xml:space="preserve"> as well as the vitamin D status of </w:t>
      </w:r>
      <w:r w:rsidR="00B11F75">
        <w:t>older</w:t>
      </w:r>
      <w:r w:rsidR="00B11F75" w:rsidRPr="000B0221">
        <w:t xml:space="preserve"> </w:t>
      </w:r>
      <w:r w:rsidRPr="000B0221">
        <w:t>individuals could be checked by clinicians</w:t>
      </w:r>
      <w:r w:rsidR="00DA4C14" w:rsidRPr="000B0221">
        <w:t xml:space="preserve"> and/or </w:t>
      </w:r>
      <w:r w:rsidR="004B4CB6" w:rsidRPr="000B0221">
        <w:t>dieticians</w:t>
      </w:r>
      <w:r w:rsidRPr="000B0221">
        <w:t xml:space="preserve"> and individual prescription of nutritional supplements could be considered.</w:t>
      </w:r>
    </w:p>
    <w:p w14:paraId="31229870" w14:textId="051C9D56" w:rsidR="00673377" w:rsidRPr="000B0221" w:rsidRDefault="00B235ED" w:rsidP="00377240">
      <w:pPr>
        <w:pStyle w:val="ListParagraph"/>
        <w:numPr>
          <w:ilvl w:val="0"/>
          <w:numId w:val="29"/>
        </w:numPr>
        <w:spacing w:line="360" w:lineRule="auto"/>
        <w:rPr>
          <w:i/>
        </w:rPr>
      </w:pPr>
      <w:r w:rsidRPr="000B0221">
        <w:rPr>
          <w:i/>
        </w:rPr>
        <w:t>Pharmacological management</w:t>
      </w:r>
    </w:p>
    <w:p w14:paraId="78EB6D10" w14:textId="3407F035" w:rsidR="00916EEB" w:rsidRPr="00353EDE" w:rsidRDefault="00DA4C14" w:rsidP="00353EDE">
      <w:pPr>
        <w:tabs>
          <w:tab w:val="left" w:pos="426"/>
        </w:tabs>
        <w:spacing w:line="360" w:lineRule="auto"/>
        <w:ind w:left="360"/>
        <w:jc w:val="both"/>
      </w:pPr>
      <w:r w:rsidRPr="000B0221">
        <w:t>Currently, n</w:t>
      </w:r>
      <w:r w:rsidR="000D7927">
        <w:t>o drug</w:t>
      </w:r>
      <w:r w:rsidR="00DB642A" w:rsidRPr="000B0221">
        <w:t xml:space="preserve"> </w:t>
      </w:r>
      <w:r w:rsidR="000D7927">
        <w:t>is</w:t>
      </w:r>
      <w:r w:rsidR="00DB642A" w:rsidRPr="000B0221">
        <w:t xml:space="preserve"> </w:t>
      </w:r>
      <w:r w:rsidR="00B235ED" w:rsidRPr="000B0221">
        <w:t>registered</w:t>
      </w:r>
      <w:r w:rsidR="00673377" w:rsidRPr="000B0221">
        <w:t xml:space="preserve"> for </w:t>
      </w:r>
      <w:r w:rsidR="00B235ED" w:rsidRPr="000B0221">
        <w:t xml:space="preserve">the treatment of </w:t>
      </w:r>
      <w:r w:rsidR="00673377" w:rsidRPr="000B0221">
        <w:t>s</w:t>
      </w:r>
      <w:r w:rsidR="00B235ED" w:rsidRPr="000B0221">
        <w:t>arcopenia. However, several new chemical entities are currently at various stages</w:t>
      </w:r>
      <w:r w:rsidR="00673377" w:rsidRPr="000B0221">
        <w:t xml:space="preserve"> of d</w:t>
      </w:r>
      <w:r w:rsidR="00B235ED" w:rsidRPr="000B0221">
        <w:t>evelopment. These are summariz</w:t>
      </w:r>
      <w:r w:rsidR="00673377" w:rsidRPr="000B0221">
        <w:t xml:space="preserve">ed in table 3 with their </w:t>
      </w:r>
      <w:r w:rsidR="00FF5094" w:rsidRPr="000B0221">
        <w:t xml:space="preserve">potential future </w:t>
      </w:r>
      <w:r w:rsidR="00B235ED" w:rsidRPr="000B0221">
        <w:t xml:space="preserve">indications and their current </w:t>
      </w:r>
      <w:r w:rsidR="00353EDE">
        <w:t xml:space="preserve">phase of development. </w:t>
      </w:r>
    </w:p>
    <w:p w14:paraId="623641D5" w14:textId="37A59F6B" w:rsidR="00C46900" w:rsidRPr="004B0C0A" w:rsidRDefault="00926B36" w:rsidP="008840E3">
      <w:pPr>
        <w:spacing w:line="360" w:lineRule="auto"/>
        <w:jc w:val="both"/>
        <w:rPr>
          <w:b/>
        </w:rPr>
      </w:pPr>
      <w:r w:rsidRPr="004B0C0A">
        <w:rPr>
          <w:b/>
        </w:rPr>
        <w:t>Discussion and g</w:t>
      </w:r>
      <w:r w:rsidR="00B235ED" w:rsidRPr="004B0C0A">
        <w:rPr>
          <w:b/>
        </w:rPr>
        <w:t>eneral consensus</w:t>
      </w:r>
    </w:p>
    <w:p w14:paraId="3D0D7404" w14:textId="666E088F" w:rsidR="005D150F" w:rsidRPr="000B0221" w:rsidRDefault="00B235ED" w:rsidP="008840E3">
      <w:pPr>
        <w:spacing w:line="360" w:lineRule="auto"/>
        <w:jc w:val="both"/>
      </w:pPr>
      <w:r w:rsidRPr="000B0221">
        <w:t>The ESCEO E</w:t>
      </w:r>
      <w:r w:rsidR="0019391F" w:rsidRPr="000B0221">
        <w:t>xpert</w:t>
      </w:r>
      <w:r w:rsidRPr="000B0221">
        <w:t xml:space="preserve">s group </w:t>
      </w:r>
      <w:r w:rsidR="003D0F93" w:rsidRPr="000B0221">
        <w:t xml:space="preserve">agreed </w:t>
      </w:r>
      <w:r w:rsidR="005D150F" w:rsidRPr="000B0221">
        <w:t xml:space="preserve">on </w:t>
      </w:r>
      <w:r w:rsidR="0019391F" w:rsidRPr="000B0221">
        <w:t>some general reco</w:t>
      </w:r>
      <w:r w:rsidR="005D150F" w:rsidRPr="000B0221">
        <w:t>mmendation</w:t>
      </w:r>
      <w:r w:rsidRPr="000B0221">
        <w:t>s to be implemented in</w:t>
      </w:r>
      <w:r w:rsidR="005D150F" w:rsidRPr="000B0221">
        <w:t xml:space="preserve"> clinical practice</w:t>
      </w:r>
      <w:r w:rsidR="0019391F" w:rsidRPr="000B0221">
        <w:t xml:space="preserve">: </w:t>
      </w:r>
    </w:p>
    <w:p w14:paraId="2784299A" w14:textId="5F262C49" w:rsidR="00C86E9A" w:rsidRPr="000B0221" w:rsidRDefault="00B235ED" w:rsidP="008840E3">
      <w:pPr>
        <w:spacing w:line="360" w:lineRule="auto"/>
        <w:jc w:val="both"/>
      </w:pPr>
      <w:r w:rsidRPr="000B0221">
        <w:t>- Several tools are currently available</w:t>
      </w:r>
      <w:r w:rsidR="00F92944" w:rsidRPr="000B0221">
        <w:t xml:space="preserve"> for the measurement of muscle mass, muscle strength and physi</w:t>
      </w:r>
      <w:r w:rsidRPr="000B0221">
        <w:t>cal performance, with a potential use for the diagnosis and follow-up of sarcopenia but they</w:t>
      </w:r>
      <w:r w:rsidR="00F92944" w:rsidRPr="000B0221">
        <w:t xml:space="preserve"> are not </w:t>
      </w:r>
      <w:r w:rsidRPr="000B0221">
        <w:t xml:space="preserve">fully </w:t>
      </w:r>
      <w:r w:rsidR="00F92944" w:rsidRPr="000B0221">
        <w:t xml:space="preserve">adapted </w:t>
      </w:r>
      <w:r w:rsidR="00B12118" w:rsidRPr="000B0221">
        <w:t>for</w:t>
      </w:r>
      <w:r w:rsidRPr="000B0221">
        <w:t xml:space="preserve"> widespread use in </w:t>
      </w:r>
      <w:r w:rsidR="00DB642A" w:rsidRPr="000B0221">
        <w:t>clinical daily practice</w:t>
      </w:r>
      <w:r w:rsidR="001B408D" w:rsidRPr="000B0221">
        <w:t xml:space="preserve">. </w:t>
      </w:r>
      <w:r w:rsidRPr="000B0221">
        <w:t xml:space="preserve">The recommended tools </w:t>
      </w:r>
      <w:r w:rsidR="00C86E9A" w:rsidRPr="000B0221">
        <w:t xml:space="preserve">for the diagnosis of sarcopenia in </w:t>
      </w:r>
      <w:r w:rsidR="00026DED" w:rsidRPr="000B0221">
        <w:t xml:space="preserve">specialist clinical </w:t>
      </w:r>
      <w:r w:rsidR="00C86E9A" w:rsidRPr="000B0221">
        <w:t xml:space="preserve">practice are DXA for the measurement of </w:t>
      </w:r>
      <w:r w:rsidR="00B12118" w:rsidRPr="000B0221">
        <w:t xml:space="preserve">appendicular </w:t>
      </w:r>
      <w:r w:rsidR="00C86E9A" w:rsidRPr="000B0221">
        <w:t>muscle mass</w:t>
      </w:r>
      <w:r w:rsidR="000872BA" w:rsidRPr="000B0221">
        <w:t xml:space="preserve">, </w:t>
      </w:r>
      <w:r w:rsidR="00B12118" w:rsidRPr="000B0221">
        <w:t>g</w:t>
      </w:r>
      <w:r w:rsidR="00C86E9A" w:rsidRPr="000B0221">
        <w:t>rip strength for the meas</w:t>
      </w:r>
      <w:r w:rsidR="000872BA" w:rsidRPr="000B0221">
        <w:t xml:space="preserve">urement of muscle strength and </w:t>
      </w:r>
      <w:r w:rsidR="001E077D" w:rsidRPr="000B0221">
        <w:t>g</w:t>
      </w:r>
      <w:r w:rsidR="00C86E9A" w:rsidRPr="000B0221">
        <w:t>ait speed for the measurement of</w:t>
      </w:r>
      <w:r w:rsidR="000872BA" w:rsidRPr="000B0221">
        <w:t xml:space="preserve"> physical performance. T</w:t>
      </w:r>
      <w:r w:rsidR="009D1449" w:rsidRPr="000B0221">
        <w:t>hreshold</w:t>
      </w:r>
      <w:r w:rsidR="000872BA" w:rsidRPr="000B0221">
        <w:t>s</w:t>
      </w:r>
      <w:r w:rsidR="009D1449" w:rsidRPr="000B0221">
        <w:t xml:space="preserve"> </w:t>
      </w:r>
      <w:r w:rsidR="000872BA" w:rsidRPr="000B0221">
        <w:t xml:space="preserve">previously recommended in the literature </w:t>
      </w:r>
      <w:r w:rsidR="00B12118" w:rsidRPr="000B0221">
        <w:t xml:space="preserve">can </w:t>
      </w:r>
      <w:r w:rsidR="000872BA" w:rsidRPr="000B0221">
        <w:t xml:space="preserve">be applied to </w:t>
      </w:r>
      <w:r w:rsidR="00B12118" w:rsidRPr="000B0221">
        <w:t>distinguish</w:t>
      </w:r>
      <w:r w:rsidR="000872BA" w:rsidRPr="000B0221">
        <w:t xml:space="preserve"> normal from abnormal;</w:t>
      </w:r>
    </w:p>
    <w:p w14:paraId="5FE0A2EF" w14:textId="0E7A65B2" w:rsidR="005F10A3" w:rsidRPr="000B0221" w:rsidRDefault="005D150F" w:rsidP="008840E3">
      <w:pPr>
        <w:spacing w:line="360" w:lineRule="auto"/>
        <w:jc w:val="both"/>
      </w:pPr>
      <w:r w:rsidRPr="000B0221">
        <w:t>- Healthcare providers</w:t>
      </w:r>
      <w:r w:rsidR="00026DED" w:rsidRPr="000B0221">
        <w:t>, particularly in primary care,</w:t>
      </w:r>
      <w:r w:rsidRPr="000B0221">
        <w:t xml:space="preserve"> </w:t>
      </w:r>
      <w:r w:rsidR="00BB1A5C" w:rsidRPr="000B0221">
        <w:t>should consider an assessment</w:t>
      </w:r>
      <w:r w:rsidR="000872BA" w:rsidRPr="000B0221">
        <w:t xml:space="preserve"> of sarcopenia in</w:t>
      </w:r>
      <w:r w:rsidR="00C86E9A" w:rsidRPr="000B0221">
        <w:t xml:space="preserve"> </w:t>
      </w:r>
      <w:r w:rsidR="00B12118" w:rsidRPr="000B0221">
        <w:t xml:space="preserve">individuals </w:t>
      </w:r>
      <w:r w:rsidR="005379B1" w:rsidRPr="000B0221">
        <w:t>at increased risk</w:t>
      </w:r>
      <w:r w:rsidR="00BB1A5C" w:rsidRPr="000B0221">
        <w:t xml:space="preserve">; suggested tools for assessing risk include </w:t>
      </w:r>
      <w:r w:rsidR="00C86E9A" w:rsidRPr="000B0221">
        <w:t>the SARC-F questionnaire</w:t>
      </w:r>
      <w:r w:rsidR="00026DED" w:rsidRPr="000B0221">
        <w:t>,</w:t>
      </w:r>
      <w:r w:rsidR="00C86E9A" w:rsidRPr="000B0221">
        <w:t xml:space="preserve"> the SMI method</w:t>
      </w:r>
      <w:r w:rsidR="00026DED" w:rsidRPr="000B0221">
        <w:t xml:space="preserve"> or different prediction equations based on anthropometric data associated with the measurement of handgrip strength, although all of them require further validation;</w:t>
      </w:r>
    </w:p>
    <w:p w14:paraId="766B543F" w14:textId="402CFDAA" w:rsidR="005D150F" w:rsidRPr="000B0221" w:rsidRDefault="000872BA" w:rsidP="008840E3">
      <w:pPr>
        <w:spacing w:line="360" w:lineRule="auto"/>
        <w:jc w:val="both"/>
      </w:pPr>
      <w:r w:rsidRPr="000B0221">
        <w:t xml:space="preserve">- </w:t>
      </w:r>
      <w:r w:rsidR="00B12118" w:rsidRPr="000B0221">
        <w:t xml:space="preserve">Whereas </w:t>
      </w:r>
      <w:r w:rsidR="00BB1A5C" w:rsidRPr="000B0221">
        <w:t>further s</w:t>
      </w:r>
      <w:r w:rsidR="005D150F" w:rsidRPr="000B0221">
        <w:t>tudi</w:t>
      </w:r>
      <w:r w:rsidRPr="000B0221">
        <w:t xml:space="preserve">es are </w:t>
      </w:r>
      <w:r w:rsidR="00BB1A5C" w:rsidRPr="000B0221">
        <w:t>required</w:t>
      </w:r>
      <w:r w:rsidRPr="000B0221">
        <w:t xml:space="preserve"> to provide a full evidence-based guidance to clinicians</w:t>
      </w:r>
      <w:r w:rsidR="00BB1A5C" w:rsidRPr="000B0221">
        <w:t xml:space="preserve">, current management can include </w:t>
      </w:r>
      <w:r w:rsidR="00D8180F" w:rsidRPr="000B0221">
        <w:t xml:space="preserve">physical activity advice, particularly </w:t>
      </w:r>
      <w:r w:rsidR="000D7927">
        <w:t>progressive resistance training</w:t>
      </w:r>
      <w:r w:rsidR="00D8180F">
        <w:t xml:space="preserve">, </w:t>
      </w:r>
      <w:r w:rsidR="00BB1A5C" w:rsidRPr="000B0221">
        <w:t xml:space="preserve">treatment and prevention of </w:t>
      </w:r>
      <w:r w:rsidR="005D150F" w:rsidRPr="000B0221">
        <w:t>vitamin D</w:t>
      </w:r>
      <w:r w:rsidRPr="000B0221">
        <w:t xml:space="preserve"> </w:t>
      </w:r>
      <w:r w:rsidR="00BB1A5C" w:rsidRPr="000B0221">
        <w:t>deficienc</w:t>
      </w:r>
      <w:r w:rsidR="00D8180F">
        <w:t>y and</w:t>
      </w:r>
      <w:r w:rsidR="00BB1A5C" w:rsidRPr="000B0221">
        <w:t xml:space="preserve"> </w:t>
      </w:r>
      <w:r w:rsidR="00DA4C14" w:rsidRPr="000B0221">
        <w:t xml:space="preserve">adequate energy and </w:t>
      </w:r>
      <w:r w:rsidR="00BB1A5C" w:rsidRPr="000B0221">
        <w:t xml:space="preserve">dietary </w:t>
      </w:r>
      <w:r w:rsidR="005D150F" w:rsidRPr="000B0221">
        <w:t xml:space="preserve">protein </w:t>
      </w:r>
      <w:r w:rsidRPr="000B0221">
        <w:t>intake</w:t>
      </w:r>
      <w:r w:rsidR="00D8180F">
        <w:t>.</w:t>
      </w:r>
    </w:p>
    <w:p w14:paraId="58CC164A" w14:textId="12AF354E" w:rsidR="00DB652C" w:rsidRDefault="000872BA" w:rsidP="008840E3">
      <w:pPr>
        <w:spacing w:line="360" w:lineRule="auto"/>
        <w:jc w:val="both"/>
      </w:pPr>
      <w:r w:rsidRPr="000B0221">
        <w:t>The E</w:t>
      </w:r>
      <w:r w:rsidR="005D150F" w:rsidRPr="000B0221">
        <w:t>xpert</w:t>
      </w:r>
      <w:r w:rsidRPr="000B0221">
        <w:t xml:space="preserve"> group also emphasizes</w:t>
      </w:r>
      <w:r w:rsidR="005D150F" w:rsidRPr="000B0221">
        <w:t xml:space="preserve"> the importance of e</w:t>
      </w:r>
      <w:r w:rsidR="009801E9" w:rsidRPr="000B0221">
        <w:t xml:space="preserve">ducation and </w:t>
      </w:r>
      <w:r w:rsidR="00FF5094" w:rsidRPr="000B0221">
        <w:t xml:space="preserve">increased awareness </w:t>
      </w:r>
      <w:r w:rsidR="00CC7ABB" w:rsidRPr="000B0221">
        <w:t>of clinicians</w:t>
      </w:r>
      <w:r w:rsidRPr="000B0221">
        <w:t xml:space="preserve"> </w:t>
      </w:r>
      <w:r w:rsidR="00FF5094" w:rsidRPr="000B0221">
        <w:t xml:space="preserve">to </w:t>
      </w:r>
      <w:r w:rsidRPr="000B0221">
        <w:t>the potential deleterious outcomes</w:t>
      </w:r>
      <w:r w:rsidR="009801E9" w:rsidRPr="000B0221">
        <w:t xml:space="preserve"> of sarcopenia</w:t>
      </w:r>
      <w:r w:rsidRPr="000B0221">
        <w:t xml:space="preserve">. </w:t>
      </w:r>
    </w:p>
    <w:p w14:paraId="287FF41E" w14:textId="77777777" w:rsidR="00DB652C" w:rsidRPr="00DB652C" w:rsidRDefault="00DB652C" w:rsidP="008840E3">
      <w:pPr>
        <w:spacing w:line="360" w:lineRule="auto"/>
        <w:jc w:val="both"/>
        <w:rPr>
          <w:b/>
        </w:rPr>
      </w:pPr>
      <w:r w:rsidRPr="00DB652C">
        <w:rPr>
          <w:b/>
        </w:rPr>
        <w:t>Conclusions</w:t>
      </w:r>
    </w:p>
    <w:p w14:paraId="56886AFC" w14:textId="4FC4F791" w:rsidR="000E7F6E" w:rsidRPr="000B0221" w:rsidRDefault="000872BA" w:rsidP="008840E3">
      <w:pPr>
        <w:spacing w:line="360" w:lineRule="auto"/>
        <w:jc w:val="both"/>
      </w:pPr>
      <w:r w:rsidRPr="000B0221">
        <w:lastRenderedPageBreak/>
        <w:t>Physicians and other health professionals</w:t>
      </w:r>
      <w:r w:rsidR="005D150F" w:rsidRPr="000B0221">
        <w:t xml:space="preserve"> have an important role to play in the assessment and management of sarcopenia </w:t>
      </w:r>
      <w:r w:rsidRPr="000B0221">
        <w:t xml:space="preserve">to reduce its impact on </w:t>
      </w:r>
      <w:r w:rsidR="0063591D">
        <w:t>individuals</w:t>
      </w:r>
      <w:r w:rsidR="00FF5094" w:rsidRPr="000B0221">
        <w:t>’</w:t>
      </w:r>
      <w:r w:rsidRPr="000B0221">
        <w:t xml:space="preserve"> well-being</w:t>
      </w:r>
      <w:r w:rsidR="00DA4C14" w:rsidRPr="000B0221">
        <w:t>, the development of disability,</w:t>
      </w:r>
      <w:r w:rsidRPr="000B0221">
        <w:t xml:space="preserve"> and </w:t>
      </w:r>
      <w:r w:rsidR="00DB642A" w:rsidRPr="000B0221">
        <w:t>on health resources utilization</w:t>
      </w:r>
      <w:r w:rsidR="005D150F" w:rsidRPr="000B0221">
        <w:t xml:space="preserve">. </w:t>
      </w:r>
      <w:r w:rsidR="00CC7ABB" w:rsidRPr="000B0221">
        <w:t xml:space="preserve"> </w:t>
      </w:r>
    </w:p>
    <w:p w14:paraId="740107DA" w14:textId="77777777" w:rsidR="00A37223" w:rsidRDefault="00A37223" w:rsidP="00606D70">
      <w:pPr>
        <w:spacing w:line="360" w:lineRule="auto"/>
        <w:jc w:val="both"/>
        <w:rPr>
          <w:b/>
        </w:rPr>
      </w:pPr>
    </w:p>
    <w:p w14:paraId="6AF481D8" w14:textId="77777777" w:rsidR="004B0C0A" w:rsidRPr="004B0C0A" w:rsidRDefault="004B0C0A" w:rsidP="00606D70">
      <w:pPr>
        <w:spacing w:line="360" w:lineRule="auto"/>
        <w:jc w:val="both"/>
        <w:rPr>
          <w:b/>
        </w:rPr>
      </w:pPr>
      <w:r w:rsidRPr="004B0C0A">
        <w:rPr>
          <w:b/>
        </w:rPr>
        <w:t>Declarations</w:t>
      </w:r>
    </w:p>
    <w:p w14:paraId="669CA39C" w14:textId="58488C63" w:rsidR="00DB652C" w:rsidRDefault="00DB652C" w:rsidP="00606D70">
      <w:pPr>
        <w:spacing w:line="360" w:lineRule="auto"/>
        <w:jc w:val="both"/>
        <w:rPr>
          <w:sz w:val="18"/>
        </w:rPr>
      </w:pPr>
      <w:r w:rsidRPr="00845845">
        <w:rPr>
          <w:i/>
        </w:rPr>
        <w:t xml:space="preserve">Ethical approval and consent to participate: </w:t>
      </w:r>
      <w:r w:rsidR="008D15C2" w:rsidRPr="00845845">
        <w:rPr>
          <w:sz w:val="18"/>
        </w:rPr>
        <w:t>This is a paper based on literature reviews and meetings. No participant</w:t>
      </w:r>
      <w:r w:rsidR="002D4147" w:rsidRPr="00845845">
        <w:rPr>
          <w:sz w:val="18"/>
        </w:rPr>
        <w:t>s</w:t>
      </w:r>
      <w:r w:rsidR="008D15C2" w:rsidRPr="00845845">
        <w:rPr>
          <w:sz w:val="18"/>
        </w:rPr>
        <w:t xml:space="preserve"> w</w:t>
      </w:r>
      <w:r w:rsidR="002D4147" w:rsidRPr="00845845">
        <w:rPr>
          <w:sz w:val="18"/>
        </w:rPr>
        <w:t>ere</w:t>
      </w:r>
      <w:r w:rsidR="008D15C2" w:rsidRPr="00845845">
        <w:rPr>
          <w:sz w:val="18"/>
        </w:rPr>
        <w:t xml:space="preserve"> involved and the ethical approval is therefore not applicable.</w:t>
      </w:r>
      <w:r w:rsidR="008D15C2">
        <w:rPr>
          <w:sz w:val="18"/>
        </w:rPr>
        <w:t xml:space="preserve"> </w:t>
      </w:r>
    </w:p>
    <w:p w14:paraId="34651B11" w14:textId="25CC1E17" w:rsidR="00DB652C" w:rsidRDefault="00DB652C" w:rsidP="00606D70">
      <w:pPr>
        <w:spacing w:line="360" w:lineRule="auto"/>
        <w:jc w:val="both"/>
        <w:rPr>
          <w:sz w:val="18"/>
        </w:rPr>
      </w:pPr>
      <w:r w:rsidRPr="00DB652C">
        <w:rPr>
          <w:i/>
        </w:rPr>
        <w:t>Consent to publish:</w:t>
      </w:r>
      <w:r>
        <w:rPr>
          <w:sz w:val="18"/>
        </w:rPr>
        <w:t xml:space="preserve"> Not applicable</w:t>
      </w:r>
    </w:p>
    <w:p w14:paraId="0DA986A3" w14:textId="2EB77199" w:rsidR="00DB652C" w:rsidRDefault="00DB652C" w:rsidP="00606D70">
      <w:pPr>
        <w:spacing w:line="360" w:lineRule="auto"/>
        <w:jc w:val="both"/>
        <w:rPr>
          <w:i/>
        </w:rPr>
      </w:pPr>
      <w:r w:rsidRPr="00845845">
        <w:rPr>
          <w:i/>
        </w:rPr>
        <w:t>Availability of Data and Materials</w:t>
      </w:r>
      <w:r w:rsidRPr="00845845">
        <w:rPr>
          <w:sz w:val="18"/>
        </w:rPr>
        <w:t>: Not applicable</w:t>
      </w:r>
    </w:p>
    <w:p w14:paraId="72E8C5EF" w14:textId="60A137DE" w:rsidR="004B0C0A" w:rsidRPr="00606D70" w:rsidRDefault="004B0C0A" w:rsidP="00606D70">
      <w:pPr>
        <w:spacing w:line="360" w:lineRule="auto"/>
        <w:jc w:val="both"/>
      </w:pPr>
      <w:r w:rsidRPr="00961ECE">
        <w:rPr>
          <w:i/>
          <w:lang w:val="en-US"/>
        </w:rPr>
        <w:t>Competing interests:</w:t>
      </w:r>
      <w:r w:rsidR="0086193A" w:rsidRPr="00961ECE">
        <w:rPr>
          <w:i/>
          <w:lang w:val="en-US"/>
        </w:rPr>
        <w:t xml:space="preserve"> </w:t>
      </w:r>
      <w:r w:rsidR="00AC0C2D" w:rsidRPr="00961ECE">
        <w:rPr>
          <w:b/>
          <w:sz w:val="18"/>
        </w:rPr>
        <w:t>Charlotte Beaudart</w:t>
      </w:r>
      <w:r w:rsidR="00AC0C2D" w:rsidRPr="00CE615C">
        <w:rPr>
          <w:sz w:val="18"/>
        </w:rPr>
        <w:t>: none</w:t>
      </w:r>
      <w:r w:rsidR="00961ECE">
        <w:rPr>
          <w:sz w:val="18"/>
        </w:rPr>
        <w:t xml:space="preserve">; </w:t>
      </w:r>
      <w:r w:rsidR="00CE615C" w:rsidRPr="00961ECE">
        <w:rPr>
          <w:b/>
          <w:sz w:val="18"/>
        </w:rPr>
        <w:t>Eugene McCloskey</w:t>
      </w:r>
      <w:r w:rsidR="00CE615C" w:rsidRPr="00CE615C">
        <w:rPr>
          <w:sz w:val="18"/>
        </w:rPr>
        <w:t xml:space="preserve"> has been involved with the development of the FRAX tool and with its continual update; has played a consultant/advisory role, and/or speaker and/or research funding for ActiveSignal, Amgen, ARUK, AstraZeneca, Consilient Healthcare, GSK, Hologic, i3 Innovus, Internis, IOF, Lilly, Medtronic, Merck, MRC, Novartis, Pfizer, Roche, Sanofi-Aventis, Servier, Synexus,Tethys, UCB, Unilever, and Warner Chilcott. Bruce H. Mitlak is an employee and has stock owne</w:t>
      </w:r>
      <w:r w:rsidR="00961ECE">
        <w:rPr>
          <w:sz w:val="18"/>
        </w:rPr>
        <w:t xml:space="preserve">rship in Eli Lilly and Company ; </w:t>
      </w:r>
      <w:r w:rsidR="00802DE1" w:rsidRPr="00961ECE">
        <w:rPr>
          <w:b/>
          <w:sz w:val="18"/>
        </w:rPr>
        <w:t>Olivier Bruyère</w:t>
      </w:r>
      <w:r w:rsidR="00802DE1" w:rsidRPr="00CE615C">
        <w:rPr>
          <w:sz w:val="18"/>
        </w:rPr>
        <w:t xml:space="preserve"> has received grant support from IBSA, Merck Sharp and Dohme, Nutraveris, Novartis, Pfizer, Rottapharm, Servier, and Theramex; lecture fees from IBSA</w:t>
      </w:r>
      <w:r w:rsidR="00961ECE">
        <w:rPr>
          <w:sz w:val="18"/>
        </w:rPr>
        <w:t xml:space="preserve">, Rottapharm, Servier, and SMB ; </w:t>
      </w:r>
      <w:r w:rsidR="00AC0C2D" w:rsidRPr="00961ECE">
        <w:rPr>
          <w:b/>
          <w:sz w:val="18"/>
        </w:rPr>
        <w:t>Matteo Cesari</w:t>
      </w:r>
      <w:r w:rsidR="00CE615C">
        <w:rPr>
          <w:sz w:val="18"/>
        </w:rPr>
        <w:t xml:space="preserve"> </w:t>
      </w:r>
      <w:r w:rsidR="00324FC3" w:rsidRPr="00324FC3">
        <w:rPr>
          <w:sz w:val="18"/>
        </w:rPr>
        <w:t>has received a research grant from Pfizer. Moreover, he has received honoraria for presentation at scientific meetings from Nestlé and Pfizer</w:t>
      </w:r>
      <w:r w:rsidR="00961ECE">
        <w:rPr>
          <w:sz w:val="18"/>
        </w:rPr>
        <w:t xml:space="preserve"> ; </w:t>
      </w:r>
      <w:r w:rsidR="00AC0C2D" w:rsidRPr="00961ECE">
        <w:rPr>
          <w:b/>
          <w:sz w:val="18"/>
        </w:rPr>
        <w:t>Yves Rolland</w:t>
      </w:r>
      <w:r w:rsidR="00E20DBD">
        <w:rPr>
          <w:sz w:val="18"/>
        </w:rPr>
        <w:t xml:space="preserve"> </w:t>
      </w:r>
      <w:r w:rsidR="00DB11D9">
        <w:rPr>
          <w:sz w:val="18"/>
        </w:rPr>
        <w:t xml:space="preserve">has received consulting and/or grant recipient from Amgen, Eli Lilly, Novartis and Lactalis </w:t>
      </w:r>
      <w:r w:rsidR="00961ECE">
        <w:rPr>
          <w:sz w:val="18"/>
        </w:rPr>
        <w:t xml:space="preserve">; </w:t>
      </w:r>
      <w:r w:rsidR="00961ECE">
        <w:rPr>
          <w:b/>
          <w:sz w:val="18"/>
        </w:rPr>
        <w:t>René</w:t>
      </w:r>
      <w:r w:rsidR="00961ECE" w:rsidRPr="00961ECE">
        <w:rPr>
          <w:b/>
          <w:sz w:val="18"/>
        </w:rPr>
        <w:t xml:space="preserve"> Rizzoli</w:t>
      </w:r>
      <w:r w:rsidR="00961ECE" w:rsidRPr="00CE615C">
        <w:rPr>
          <w:sz w:val="18"/>
        </w:rPr>
        <w:t xml:space="preserve"> has received consulting and lecture fees from Merck Sharp and Dohme, Eli Lilly, Amgen, Novartis, Servier, Nycomed, Nestl</w:t>
      </w:r>
      <w:r w:rsidR="00E20DBD">
        <w:rPr>
          <w:sz w:val="18"/>
        </w:rPr>
        <w:t>é</w:t>
      </w:r>
      <w:r w:rsidR="00961ECE" w:rsidRPr="00CE615C">
        <w:rPr>
          <w:sz w:val="18"/>
        </w:rPr>
        <w:t xml:space="preserve"> and Danone</w:t>
      </w:r>
      <w:r w:rsidR="00961ECE" w:rsidRPr="00961ECE">
        <w:rPr>
          <w:sz w:val="18"/>
          <w:lang w:val="en-US"/>
        </w:rPr>
        <w:t xml:space="preserve"> ; </w:t>
      </w:r>
      <w:r w:rsidR="00AC0C2D" w:rsidRPr="00961ECE">
        <w:rPr>
          <w:b/>
          <w:sz w:val="18"/>
          <w:lang w:val="en-US"/>
        </w:rPr>
        <w:t>Islène Araujo de Carvalho</w:t>
      </w:r>
      <w:r w:rsidR="00AC0C2D" w:rsidRPr="00961ECE">
        <w:rPr>
          <w:sz w:val="18"/>
          <w:lang w:val="en-US"/>
        </w:rPr>
        <w:t xml:space="preserve">: </w:t>
      </w:r>
      <w:r w:rsidR="00B47317">
        <w:rPr>
          <w:sz w:val="18"/>
          <w:lang w:val="en-US"/>
        </w:rPr>
        <w:t>none</w:t>
      </w:r>
      <w:r w:rsidR="00961ECE" w:rsidRPr="00961ECE">
        <w:rPr>
          <w:sz w:val="18"/>
          <w:lang w:val="en-US"/>
        </w:rPr>
        <w:t> ;</w:t>
      </w:r>
      <w:r w:rsidR="00961ECE">
        <w:rPr>
          <w:sz w:val="18"/>
          <w:lang w:val="en-US"/>
        </w:rPr>
        <w:t xml:space="preserve"> </w:t>
      </w:r>
      <w:r w:rsidR="00AC0C2D" w:rsidRPr="00961ECE">
        <w:rPr>
          <w:b/>
          <w:sz w:val="18"/>
        </w:rPr>
        <w:t>Jotheeswaran Amuthavalli Thiyagarajanm</w:t>
      </w:r>
      <w:r w:rsidR="00AC0C2D" w:rsidRPr="00CE615C">
        <w:rPr>
          <w:sz w:val="18"/>
        </w:rPr>
        <w:t>:</w:t>
      </w:r>
      <w:r w:rsidR="00B47317">
        <w:rPr>
          <w:sz w:val="18"/>
        </w:rPr>
        <w:t xml:space="preserve"> none</w:t>
      </w:r>
      <w:r w:rsidR="00961ECE">
        <w:rPr>
          <w:sz w:val="18"/>
        </w:rPr>
        <w:t xml:space="preserve"> </w:t>
      </w:r>
      <w:r w:rsidR="00961ECE" w:rsidRPr="00961ECE">
        <w:rPr>
          <w:b/>
          <w:sz w:val="18"/>
        </w:rPr>
        <w:t xml:space="preserve">; </w:t>
      </w:r>
      <w:r w:rsidR="00AC0C2D" w:rsidRPr="00961ECE">
        <w:rPr>
          <w:rFonts w:eastAsia="Times New Roman" w:cs="Times New Roman"/>
          <w:b/>
          <w:sz w:val="18"/>
          <w:lang w:val="en-US" w:eastAsia="fr-BE"/>
        </w:rPr>
        <w:t>Ivan Bautmans</w:t>
      </w:r>
      <w:r w:rsidR="0063591D">
        <w:rPr>
          <w:rFonts w:eastAsia="Times New Roman" w:cs="Times New Roman"/>
          <w:sz w:val="18"/>
          <w:lang w:val="en-US" w:eastAsia="fr-BE"/>
        </w:rPr>
        <w:t>: none</w:t>
      </w:r>
      <w:r w:rsidR="00961ECE">
        <w:rPr>
          <w:rFonts w:eastAsia="Times New Roman" w:cs="Times New Roman"/>
          <w:sz w:val="18"/>
          <w:lang w:val="en-US" w:eastAsia="fr-BE"/>
        </w:rPr>
        <w:t xml:space="preserve"> ; </w:t>
      </w:r>
      <w:r w:rsidR="00AC0C2D" w:rsidRPr="00961ECE">
        <w:rPr>
          <w:rFonts w:eastAsia="Times New Roman" w:cs="Times New Roman"/>
          <w:b/>
          <w:sz w:val="18"/>
          <w:lang w:eastAsia="fr-BE"/>
        </w:rPr>
        <w:t>Marie-Claude Bertière</w:t>
      </w:r>
      <w:r w:rsidR="00AC0C2D" w:rsidRPr="00CE615C">
        <w:rPr>
          <w:rFonts w:eastAsia="Times New Roman" w:cs="Times New Roman"/>
          <w:sz w:val="18"/>
          <w:lang w:eastAsia="fr-BE"/>
        </w:rPr>
        <w:t> :</w:t>
      </w:r>
      <w:r w:rsidR="00B47317">
        <w:rPr>
          <w:rFonts w:eastAsia="Times New Roman" w:cs="Times New Roman"/>
          <w:sz w:val="18"/>
          <w:lang w:eastAsia="fr-BE"/>
        </w:rPr>
        <w:t xml:space="preserve"> none</w:t>
      </w:r>
      <w:r w:rsidR="00961ECE">
        <w:rPr>
          <w:rFonts w:eastAsia="Times New Roman" w:cs="Times New Roman"/>
          <w:sz w:val="18"/>
          <w:lang w:eastAsia="fr-BE"/>
        </w:rPr>
        <w:t xml:space="preserve"> ; </w:t>
      </w:r>
      <w:r w:rsidR="00802DE1" w:rsidRPr="00961ECE">
        <w:rPr>
          <w:b/>
          <w:sz w:val="18"/>
        </w:rPr>
        <w:t xml:space="preserve">Maria </w:t>
      </w:r>
      <w:r w:rsidR="00802DE1" w:rsidRPr="00961ECE">
        <w:rPr>
          <w:rFonts w:eastAsia="Times New Roman" w:cs="Times New Roman"/>
          <w:b/>
          <w:sz w:val="18"/>
          <w:lang w:eastAsia="fr-BE"/>
        </w:rPr>
        <w:t>Luisa Brandi</w:t>
      </w:r>
      <w:r w:rsidR="00802DE1" w:rsidRPr="00535061">
        <w:rPr>
          <w:rFonts w:eastAsia="Times New Roman" w:cs="Times New Roman"/>
          <w:sz w:val="18"/>
          <w:lang w:eastAsia="fr-BE"/>
        </w:rPr>
        <w:t xml:space="preserve"> </w:t>
      </w:r>
      <w:r w:rsidR="00535061" w:rsidRPr="00535061">
        <w:rPr>
          <w:rFonts w:eastAsia="Times New Roman" w:cs="Times New Roman"/>
          <w:sz w:val="18"/>
          <w:lang w:eastAsia="fr-BE"/>
        </w:rPr>
        <w:t>has received consulting and/or grant recipient from Amgen, Eli Lilly, MSD, No</w:t>
      </w:r>
      <w:r w:rsidR="00961ECE">
        <w:rPr>
          <w:rFonts w:eastAsia="Times New Roman" w:cs="Times New Roman"/>
          <w:sz w:val="18"/>
          <w:lang w:eastAsia="fr-BE"/>
        </w:rPr>
        <w:t xml:space="preserve">vartis, NPS, Roche, and Servier ; </w:t>
      </w:r>
      <w:r w:rsidR="00A672A5">
        <w:rPr>
          <w:b/>
          <w:sz w:val="20"/>
          <w:szCs w:val="20"/>
        </w:rPr>
        <w:t xml:space="preserve">Nasser </w:t>
      </w:r>
      <w:r w:rsidR="00A672A5" w:rsidRPr="00EC292C">
        <w:rPr>
          <w:b/>
          <w:sz w:val="20"/>
          <w:szCs w:val="20"/>
        </w:rPr>
        <w:t>Al-Daghri</w:t>
      </w:r>
      <w:r w:rsidR="00A672A5">
        <w:rPr>
          <w:b/>
          <w:sz w:val="20"/>
          <w:szCs w:val="20"/>
        </w:rPr>
        <w:t xml:space="preserve">: none ; </w:t>
      </w:r>
      <w:r w:rsidR="00AC0C2D" w:rsidRPr="00961ECE">
        <w:rPr>
          <w:rFonts w:eastAsia="Times New Roman" w:cs="Times New Roman"/>
          <w:b/>
          <w:sz w:val="18"/>
          <w:lang w:val="en-US" w:eastAsia="fr-BE"/>
        </w:rPr>
        <w:t>Nansa Burlet</w:t>
      </w:r>
      <w:r w:rsidR="00AC0C2D" w:rsidRPr="00CE615C">
        <w:rPr>
          <w:rFonts w:eastAsia="Times New Roman" w:cs="Times New Roman"/>
          <w:sz w:val="18"/>
          <w:lang w:val="en-US" w:eastAsia="fr-BE"/>
        </w:rPr>
        <w:t>: none</w:t>
      </w:r>
      <w:r w:rsidR="00961ECE">
        <w:rPr>
          <w:rFonts w:eastAsia="Times New Roman" w:cs="Times New Roman"/>
          <w:sz w:val="18"/>
          <w:lang w:val="en-US" w:eastAsia="fr-BE"/>
        </w:rPr>
        <w:t xml:space="preserve"> ; </w:t>
      </w:r>
      <w:r w:rsidR="00535061" w:rsidRPr="00961ECE">
        <w:rPr>
          <w:rFonts w:eastAsia="Times New Roman" w:cs="Times New Roman"/>
          <w:b/>
          <w:sz w:val="18"/>
          <w:lang w:val="en-US" w:eastAsia="fr-BE"/>
        </w:rPr>
        <w:t>Etienne Cavalier</w:t>
      </w:r>
      <w:r w:rsidR="00535061" w:rsidRPr="00535061">
        <w:rPr>
          <w:rFonts w:eastAsia="Times New Roman" w:cs="Times New Roman"/>
          <w:sz w:val="18"/>
          <w:lang w:val="en-US" w:eastAsia="fr-BE"/>
        </w:rPr>
        <w:t xml:space="preserve"> is a consultant for DiaSorin and IDS and has received lecture fees from IDS, DiaSorin, Roche, Abbott, Pfizer and Amgen</w:t>
      </w:r>
      <w:r w:rsidR="00961ECE">
        <w:rPr>
          <w:rFonts w:eastAsia="Times New Roman" w:cs="Times New Roman"/>
          <w:sz w:val="18"/>
          <w:lang w:val="en-US" w:eastAsia="fr-BE"/>
        </w:rPr>
        <w:t xml:space="preserve"> ; </w:t>
      </w:r>
      <w:r w:rsidR="00AC0C2D" w:rsidRPr="00961ECE">
        <w:rPr>
          <w:rFonts w:cs="Arial"/>
          <w:b/>
          <w:color w:val="000000"/>
          <w:sz w:val="18"/>
          <w:shd w:val="clear" w:color="auto" w:fill="FFFFFF"/>
        </w:rPr>
        <w:t>Francesca Cerreta</w:t>
      </w:r>
      <w:r w:rsidR="00AC0C2D" w:rsidRPr="00CE615C">
        <w:rPr>
          <w:rFonts w:cs="Arial"/>
          <w:color w:val="000000"/>
          <w:sz w:val="18"/>
          <w:shd w:val="clear" w:color="auto" w:fill="FFFFFF"/>
        </w:rPr>
        <w:t xml:space="preserve">:  </w:t>
      </w:r>
      <w:r w:rsidR="00B47317">
        <w:rPr>
          <w:rFonts w:cs="Arial"/>
          <w:color w:val="000000"/>
          <w:sz w:val="18"/>
          <w:shd w:val="clear" w:color="auto" w:fill="FFFFFF"/>
        </w:rPr>
        <w:t>none</w:t>
      </w:r>
      <w:r w:rsidR="00961ECE">
        <w:rPr>
          <w:rFonts w:cs="Arial"/>
          <w:color w:val="000000"/>
          <w:sz w:val="18"/>
          <w:shd w:val="clear" w:color="auto" w:fill="FFFFFF"/>
        </w:rPr>
        <w:t xml:space="preserve"> ; </w:t>
      </w:r>
      <w:r w:rsidR="00877962" w:rsidRPr="00961ECE">
        <w:rPr>
          <w:b/>
          <w:sz w:val="18"/>
        </w:rPr>
        <w:t>Antonio Cherubini</w:t>
      </w:r>
      <w:r w:rsidR="00877962" w:rsidRPr="00CE615C">
        <w:rPr>
          <w:sz w:val="18"/>
        </w:rPr>
        <w:t xml:space="preserve"> </w:t>
      </w:r>
      <w:r w:rsidR="00877962" w:rsidRPr="00CA55A3">
        <w:rPr>
          <w:sz w:val="18"/>
        </w:rPr>
        <w:t>is a partner of the SPRINTT Consortium, which is partly funded by the European Federation of Pharmaceutical Indu</w:t>
      </w:r>
      <w:r w:rsidR="00877962">
        <w:rPr>
          <w:sz w:val="18"/>
        </w:rPr>
        <w:t>stries and Associations (EFPIA)</w:t>
      </w:r>
      <w:r w:rsidR="00877962">
        <w:rPr>
          <w:rFonts w:cs="Arial"/>
          <w:color w:val="000000"/>
          <w:sz w:val="18"/>
          <w:shd w:val="clear" w:color="auto" w:fill="FFFFFF"/>
        </w:rPr>
        <w:t xml:space="preserve"> </w:t>
      </w:r>
      <w:r w:rsidR="00961ECE">
        <w:rPr>
          <w:rFonts w:cs="Arial"/>
          <w:color w:val="000000"/>
          <w:sz w:val="18"/>
          <w:shd w:val="clear" w:color="auto" w:fill="FFFFFF"/>
        </w:rPr>
        <w:t xml:space="preserve">; </w:t>
      </w:r>
      <w:r w:rsidR="00CE615C" w:rsidRPr="00961ECE">
        <w:rPr>
          <w:b/>
          <w:sz w:val="18"/>
        </w:rPr>
        <w:t>Roger A. Fielding</w:t>
      </w:r>
      <w:r w:rsidR="00CE615C" w:rsidRPr="00CE615C">
        <w:rPr>
          <w:sz w:val="18"/>
        </w:rPr>
        <w:t xml:space="preserve"> has had remuneration, has played a consultant/advisory role, and has stock ownership of or funding from Eli Lilly, Dairy Management, Abbott, Pronutria, Segterra, Ammonett, Bristol Myers Squibb, Cytokinetics, Regeneron, Pfizer, Astellas, and Nestec</w:t>
      </w:r>
      <w:r w:rsidR="00961ECE">
        <w:rPr>
          <w:sz w:val="18"/>
          <w:lang w:val="en-US"/>
        </w:rPr>
        <w:t xml:space="preserve"> ; </w:t>
      </w:r>
      <w:r w:rsidR="00AC0C2D" w:rsidRPr="00961ECE">
        <w:rPr>
          <w:b/>
          <w:sz w:val="18"/>
        </w:rPr>
        <w:t>Evelien Gielen</w:t>
      </w:r>
      <w:r w:rsidR="00AC0C2D" w:rsidRPr="00CA55A3">
        <w:rPr>
          <w:sz w:val="18"/>
        </w:rPr>
        <w:t xml:space="preserve">: </w:t>
      </w:r>
      <w:r w:rsidR="0063591D">
        <w:rPr>
          <w:sz w:val="18"/>
        </w:rPr>
        <w:t>none</w:t>
      </w:r>
      <w:r w:rsidR="00961ECE">
        <w:rPr>
          <w:sz w:val="18"/>
        </w:rPr>
        <w:t xml:space="preserve"> ; </w:t>
      </w:r>
      <w:r w:rsidR="00AC0C2D" w:rsidRPr="00961ECE">
        <w:rPr>
          <w:b/>
          <w:sz w:val="18"/>
        </w:rPr>
        <w:t>Francesco Landi</w:t>
      </w:r>
      <w:r w:rsidR="00CA55A3" w:rsidRPr="00CA55A3">
        <w:rPr>
          <w:sz w:val="18"/>
        </w:rPr>
        <w:t xml:space="preserve"> is a partner of the SPRINTT Consortium, which is partly funded by the European Federation of Pharmaceutical Indu</w:t>
      </w:r>
      <w:r w:rsidR="00961ECE">
        <w:rPr>
          <w:sz w:val="18"/>
        </w:rPr>
        <w:t xml:space="preserve">stries and Associations (EFPIA) ; </w:t>
      </w:r>
      <w:r w:rsidR="00AC0C2D" w:rsidRPr="00961ECE">
        <w:rPr>
          <w:b/>
          <w:sz w:val="18"/>
          <w:lang w:val="en-US"/>
        </w:rPr>
        <w:t>Jean Petermans</w:t>
      </w:r>
      <w:r w:rsidR="008B4CC1">
        <w:rPr>
          <w:sz w:val="18"/>
          <w:lang w:val="en-US"/>
        </w:rPr>
        <w:t xml:space="preserve"> </w:t>
      </w:r>
      <w:r w:rsidR="008B4CC1" w:rsidRPr="008B4CC1">
        <w:rPr>
          <w:sz w:val="18"/>
        </w:rPr>
        <w:t>is the Treasurer of the EUGMS</w:t>
      </w:r>
      <w:r w:rsidR="00961ECE" w:rsidRPr="008B4CC1">
        <w:rPr>
          <w:sz w:val="18"/>
        </w:rPr>
        <w:t>;</w:t>
      </w:r>
      <w:r w:rsidR="00961ECE">
        <w:rPr>
          <w:sz w:val="18"/>
          <w:lang w:val="en-US"/>
        </w:rPr>
        <w:t xml:space="preserve"> </w:t>
      </w:r>
      <w:r w:rsidR="00AC0C2D" w:rsidRPr="00961ECE">
        <w:rPr>
          <w:b/>
          <w:sz w:val="18"/>
          <w:lang w:val="en-US"/>
        </w:rPr>
        <w:t>Jean-Yves Reginster</w:t>
      </w:r>
      <w:r w:rsidR="00802DE1" w:rsidRPr="00CE615C">
        <w:rPr>
          <w:sz w:val="18"/>
        </w:rPr>
        <w:t xml:space="preserve"> has received consulting fees or paid advisory boards for Servier, Novartis, Negma, Lilly, Wyeth, Amgen, GlaxoSmithKline, Roche, Merckle, NycomedTakeda, NPS, IBSA-Genevrier, Theramex, UCB, Asahi Kasei, Endocyte; lecture fees from Merck Sharp and Dohme, Lilly, Rottapharm, IBSA, Genevrier, Novartis, Servier, Roche, GlaxoSmithKline, Merckle, Teijin, Teva, Analis, Theramex, Nycomed, NovoNordisk, Ebewee Pharma, Zodiac, Danone, Will Pharma, Amgen.; Grant support from Bristol Myers Squibb, Merck Sharp &amp; Dohme, Rottapharm, Teva, Roche, Amgen, Lilly, Novartis, GlaxoSmithKline, Servier, Pfizer, Theramex, Danone, Organon, Therabel, B</w:t>
      </w:r>
      <w:r w:rsidR="00961ECE">
        <w:rPr>
          <w:sz w:val="18"/>
        </w:rPr>
        <w:t xml:space="preserve">oehringer, Chiltern, Galapagos ; </w:t>
      </w:r>
      <w:r w:rsidR="00AC0C2D" w:rsidRPr="00961ECE">
        <w:rPr>
          <w:b/>
          <w:sz w:val="18"/>
          <w:lang w:val="en-US"/>
        </w:rPr>
        <w:t>Marjolein Visser</w:t>
      </w:r>
      <w:r w:rsidR="00AC0C2D" w:rsidRPr="00CE615C">
        <w:rPr>
          <w:sz w:val="18"/>
          <w:lang w:val="en-US"/>
        </w:rPr>
        <w:t>:</w:t>
      </w:r>
      <w:r w:rsidR="00CE615C" w:rsidRPr="00CE615C">
        <w:rPr>
          <w:sz w:val="18"/>
          <w:lang w:val="en-US"/>
        </w:rPr>
        <w:t xml:space="preserve"> none</w:t>
      </w:r>
      <w:r w:rsidR="00B47317">
        <w:rPr>
          <w:sz w:val="18"/>
          <w:lang w:val="en-US"/>
        </w:rPr>
        <w:t xml:space="preserve"> </w:t>
      </w:r>
      <w:r w:rsidR="00961ECE">
        <w:rPr>
          <w:sz w:val="18"/>
          <w:lang w:val="en-US"/>
        </w:rPr>
        <w:t xml:space="preserve">; </w:t>
      </w:r>
      <w:r w:rsidR="00802DE1" w:rsidRPr="00961ECE">
        <w:rPr>
          <w:b/>
          <w:sz w:val="18"/>
        </w:rPr>
        <w:t>John A. Kanis</w:t>
      </w:r>
      <w:r w:rsidR="00802DE1" w:rsidRPr="00CE615C">
        <w:rPr>
          <w:sz w:val="18"/>
        </w:rPr>
        <w:t xml:space="preserve"> has worked with and received funding from many companies and non-governmental organizations dealing with skeletal metabolism including research funding from the Health Technology Assessment NHS R&amp;D HTA Programme of the UK; he has been involved with the development of the </w:t>
      </w:r>
      <w:r w:rsidR="00802DE1" w:rsidRPr="00CE615C">
        <w:rPr>
          <w:sz w:val="18"/>
        </w:rPr>
        <w:lastRenderedPageBreak/>
        <w:t>FRAX tool and with its continual update</w:t>
      </w:r>
      <w:r w:rsidR="00961ECE">
        <w:rPr>
          <w:sz w:val="18"/>
        </w:rPr>
        <w:t xml:space="preserve"> ; </w:t>
      </w:r>
      <w:r w:rsidR="00802DE1" w:rsidRPr="00961ECE">
        <w:rPr>
          <w:b/>
          <w:sz w:val="18"/>
          <w:lang w:val="en-US"/>
        </w:rPr>
        <w:t>Cyrus Cooper</w:t>
      </w:r>
      <w:r w:rsidR="00802DE1" w:rsidRPr="00CE615C">
        <w:rPr>
          <w:sz w:val="18"/>
        </w:rPr>
        <w:t xml:space="preserve"> has received honoraria and consulting fees from Amgen, Glaxo SmithKline, ABBH, Merck Sharpe and Dohme, Eli Lilly, Pfizer, Novartis, Servier, Medtronic and Roche.</w:t>
      </w:r>
    </w:p>
    <w:p w14:paraId="7A24AB41" w14:textId="77777777" w:rsidR="00151B27" w:rsidRPr="00845845" w:rsidRDefault="004B0C0A" w:rsidP="00606D70">
      <w:pPr>
        <w:spacing w:line="360" w:lineRule="auto"/>
        <w:jc w:val="both"/>
        <w:rPr>
          <w:sz w:val="18"/>
        </w:rPr>
      </w:pPr>
      <w:r w:rsidRPr="00151B27">
        <w:rPr>
          <w:i/>
          <w:lang w:val="en-US"/>
        </w:rPr>
        <w:t>Funding:</w:t>
      </w:r>
      <w:r w:rsidR="0086193A" w:rsidRPr="00151B27">
        <w:rPr>
          <w:i/>
          <w:lang w:val="en-US"/>
        </w:rPr>
        <w:t xml:space="preserve"> </w:t>
      </w:r>
      <w:r w:rsidR="00151B27" w:rsidRPr="00151B27">
        <w:rPr>
          <w:sz w:val="18"/>
        </w:rPr>
        <w:t xml:space="preserve">This meeting was founded by the European Society for Clinical and Economic Aspects of Osteoporosis and </w:t>
      </w:r>
      <w:r w:rsidR="00151B27" w:rsidRPr="00845845">
        <w:rPr>
          <w:sz w:val="18"/>
        </w:rPr>
        <w:t xml:space="preserve">Osteoarthritis, a Belgian not-for-profit organisation. </w:t>
      </w:r>
    </w:p>
    <w:p w14:paraId="7C93B6AC" w14:textId="5846342F" w:rsidR="00CE4A82" w:rsidRPr="00845845" w:rsidRDefault="004B0C0A" w:rsidP="008D15C2">
      <w:pPr>
        <w:spacing w:line="360" w:lineRule="auto"/>
        <w:rPr>
          <w:rFonts w:ascii="Calibri" w:eastAsia="Times New Roman" w:hAnsi="Calibri" w:cs="Times New Roman"/>
          <w:lang w:eastAsia="fr-BE"/>
        </w:rPr>
      </w:pPr>
      <w:r w:rsidRPr="00845845">
        <w:rPr>
          <w:i/>
          <w:lang w:val="en-US"/>
        </w:rPr>
        <w:t>Author’s contributions</w:t>
      </w:r>
      <w:r w:rsidRPr="00845845">
        <w:rPr>
          <w:sz w:val="18"/>
          <w:lang w:val="en-US"/>
        </w:rPr>
        <w:t>:</w:t>
      </w:r>
      <w:r w:rsidR="0086193A" w:rsidRPr="00845845">
        <w:rPr>
          <w:sz w:val="18"/>
          <w:lang w:val="en-US"/>
        </w:rPr>
        <w:t xml:space="preserve"> </w:t>
      </w:r>
      <w:r w:rsidR="00151B27" w:rsidRPr="00845845">
        <w:rPr>
          <w:sz w:val="18"/>
        </w:rPr>
        <w:t>Jean-Yves Reginster organised the meeting. Cyrus Cooper, Mat</w:t>
      </w:r>
      <w:r w:rsidR="00606D70" w:rsidRPr="00845845">
        <w:rPr>
          <w:sz w:val="18"/>
        </w:rPr>
        <w:t>t</w:t>
      </w:r>
      <w:r w:rsidR="00151B27" w:rsidRPr="00845845">
        <w:rPr>
          <w:sz w:val="18"/>
        </w:rPr>
        <w:t xml:space="preserve">eo Cesari, Marjolein Visser, Etienne Cavalier, Antonio Cherubini and Olivier Bruyère performed the literature review. </w:t>
      </w:r>
      <w:r w:rsidR="00606D70" w:rsidRPr="00845845">
        <w:rPr>
          <w:sz w:val="18"/>
        </w:rPr>
        <w:t>Charlotte Beaudart ha</w:t>
      </w:r>
      <w:r w:rsidR="002D4147" w:rsidRPr="00845845">
        <w:rPr>
          <w:sz w:val="18"/>
        </w:rPr>
        <w:t>s</w:t>
      </w:r>
      <w:r w:rsidR="00606D70" w:rsidRPr="00845845">
        <w:rPr>
          <w:sz w:val="18"/>
        </w:rPr>
        <w:t xml:space="preserve"> </w:t>
      </w:r>
      <w:r w:rsidR="002D4147" w:rsidRPr="00845845">
        <w:rPr>
          <w:sz w:val="18"/>
        </w:rPr>
        <w:t>drafted</w:t>
      </w:r>
      <w:r w:rsidR="00606D70" w:rsidRPr="00845845">
        <w:rPr>
          <w:sz w:val="18"/>
        </w:rPr>
        <w:t xml:space="preserve"> the manuscript. </w:t>
      </w:r>
      <w:r w:rsidR="00151B27" w:rsidRPr="00845845">
        <w:rPr>
          <w:sz w:val="18"/>
        </w:rPr>
        <w:t>All authors</w:t>
      </w:r>
      <w:r w:rsidR="008D15C2" w:rsidRPr="00845845">
        <w:rPr>
          <w:sz w:val="18"/>
        </w:rPr>
        <w:t xml:space="preserve"> (Beaudart C. , McCloskey E., Bruyère O., Cesari M., Rolland Y., Rizzoli R., Araujo de Carvalho I., Amuthavalli Thiyagarajan J., Bautmans I., Bertière MC., Brandi M.L., Al-Daghri N.M.,  Burlet N., Cavalier E., Cerreta F., Cherubini A., Fielding R., Gielen E., Landi F., Petermans J., Reginster JY., Visser M., Kanis J.A., Cooper C.) </w:t>
      </w:r>
      <w:r w:rsidR="00151B27" w:rsidRPr="00845845">
        <w:rPr>
          <w:sz w:val="18"/>
        </w:rPr>
        <w:t xml:space="preserve"> have taken part in the discussion and meeting and have critically analysed and approved the final manuscript. </w:t>
      </w:r>
    </w:p>
    <w:p w14:paraId="5EB2632E" w14:textId="1DFF89E2" w:rsidR="00CE4A82" w:rsidRPr="00151B27" w:rsidRDefault="00DB652C" w:rsidP="00606D70">
      <w:pPr>
        <w:spacing w:line="360" w:lineRule="auto"/>
        <w:jc w:val="both"/>
        <w:rPr>
          <w:lang w:val="en-US"/>
        </w:rPr>
      </w:pPr>
      <w:r w:rsidRPr="00845845">
        <w:rPr>
          <w:i/>
          <w:lang w:val="en-US"/>
        </w:rPr>
        <w:t>Acknowledgements</w:t>
      </w:r>
      <w:r w:rsidRPr="00845845">
        <w:rPr>
          <w:lang w:val="en-US"/>
        </w:rPr>
        <w:t xml:space="preserve">: </w:t>
      </w:r>
      <w:r w:rsidRPr="00845845">
        <w:rPr>
          <w:sz w:val="18"/>
        </w:rPr>
        <w:t>None</w:t>
      </w:r>
    </w:p>
    <w:p w14:paraId="62F6CD5E" w14:textId="23912AB3" w:rsidR="007E0300" w:rsidRPr="007E0300" w:rsidRDefault="00960BFC">
      <w:pPr>
        <w:widowControl w:val="0"/>
        <w:autoSpaceDE w:val="0"/>
        <w:autoSpaceDN w:val="0"/>
        <w:adjustRightInd w:val="0"/>
        <w:spacing w:after="140" w:line="288" w:lineRule="auto"/>
        <w:rPr>
          <w:rFonts w:ascii="Calibri" w:hAnsi="Calibri" w:cs="Times New Roman"/>
          <w:noProof/>
          <w:szCs w:val="24"/>
        </w:rPr>
      </w:pPr>
      <w:r w:rsidRPr="000B0221">
        <w:fldChar w:fldCharType="begin" w:fldLock="1"/>
      </w:r>
      <w:r w:rsidRPr="00A678FF">
        <w:instrText xml:space="preserve">ADDIN Mendeley Bibliography CSL_BIBLIOGRAPHY </w:instrText>
      </w:r>
      <w:r w:rsidRPr="000B0221">
        <w:fldChar w:fldCharType="separate"/>
      </w:r>
    </w:p>
    <w:p w14:paraId="31318875"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w:t>
      </w:r>
      <w:r w:rsidRPr="007E0300">
        <w:rPr>
          <w:rFonts w:ascii="Calibri" w:hAnsi="Calibri" w:cs="Times New Roman"/>
          <w:noProof/>
          <w:szCs w:val="24"/>
        </w:rPr>
        <w:tab/>
        <w:t xml:space="preserve">Rosenberg, I. H. Sarcopenia: origins and clinical relevance. </w:t>
      </w:r>
      <w:r w:rsidRPr="007E0300">
        <w:rPr>
          <w:rFonts w:ascii="Calibri" w:hAnsi="Calibri" w:cs="Times New Roman"/>
          <w:i/>
          <w:iCs/>
          <w:noProof/>
          <w:szCs w:val="24"/>
        </w:rPr>
        <w:t>J Nutr</w:t>
      </w:r>
      <w:r w:rsidRPr="007E0300">
        <w:rPr>
          <w:rFonts w:ascii="Calibri" w:hAnsi="Calibri" w:cs="Times New Roman"/>
          <w:noProof/>
          <w:szCs w:val="24"/>
        </w:rPr>
        <w:t xml:space="preserve"> </w:t>
      </w:r>
      <w:r w:rsidRPr="007E0300">
        <w:rPr>
          <w:rFonts w:ascii="Calibri" w:hAnsi="Calibri" w:cs="Times New Roman"/>
          <w:b/>
          <w:bCs/>
          <w:noProof/>
          <w:szCs w:val="24"/>
        </w:rPr>
        <w:t>127,</w:t>
      </w:r>
      <w:r w:rsidRPr="007E0300">
        <w:rPr>
          <w:rFonts w:ascii="Calibri" w:hAnsi="Calibri" w:cs="Times New Roman"/>
          <w:noProof/>
          <w:szCs w:val="24"/>
        </w:rPr>
        <w:t xml:space="preserve"> 990S–991S (1997).</w:t>
      </w:r>
    </w:p>
    <w:p w14:paraId="544CCD4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16B7E99"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w:t>
      </w:r>
      <w:r w:rsidRPr="007E0300">
        <w:rPr>
          <w:rFonts w:ascii="Calibri" w:hAnsi="Calibri" w:cs="Times New Roman"/>
          <w:noProof/>
          <w:szCs w:val="24"/>
        </w:rPr>
        <w:tab/>
        <w:t xml:space="preserve">Muscaritoli, M. </w:t>
      </w:r>
      <w:r w:rsidRPr="007E0300">
        <w:rPr>
          <w:rFonts w:ascii="Calibri" w:hAnsi="Calibri" w:cs="Times New Roman"/>
          <w:i/>
          <w:iCs/>
          <w:noProof/>
          <w:szCs w:val="24"/>
        </w:rPr>
        <w:t>et al.</w:t>
      </w:r>
      <w:r w:rsidRPr="007E0300">
        <w:rPr>
          <w:rFonts w:ascii="Calibri" w:hAnsi="Calibri" w:cs="Times New Roman"/>
          <w:noProof/>
          <w:szCs w:val="24"/>
        </w:rPr>
        <w:t xml:space="preserve"> Consensus definition of sarcopenia, cachexia and pre-cachexia: joint document elaborated by Special Interest Groups (SIG) ‘cachexia-anorexia in chronic wasting diseases’ and ‘nutrition in geriatrics’. </w:t>
      </w:r>
      <w:r w:rsidRPr="007E0300">
        <w:rPr>
          <w:rFonts w:ascii="Calibri" w:hAnsi="Calibri" w:cs="Times New Roman"/>
          <w:i/>
          <w:iCs/>
          <w:noProof/>
          <w:szCs w:val="24"/>
        </w:rPr>
        <w:t>Clin. Nutr.</w:t>
      </w:r>
      <w:r w:rsidRPr="007E0300">
        <w:rPr>
          <w:rFonts w:ascii="Calibri" w:hAnsi="Calibri" w:cs="Times New Roman"/>
          <w:noProof/>
          <w:szCs w:val="24"/>
        </w:rPr>
        <w:t xml:space="preserve"> </w:t>
      </w:r>
      <w:r w:rsidRPr="007E0300">
        <w:rPr>
          <w:rFonts w:ascii="Calibri" w:hAnsi="Calibri" w:cs="Times New Roman"/>
          <w:b/>
          <w:bCs/>
          <w:noProof/>
          <w:szCs w:val="24"/>
        </w:rPr>
        <w:t>29,</w:t>
      </w:r>
      <w:r w:rsidRPr="007E0300">
        <w:rPr>
          <w:rFonts w:ascii="Calibri" w:hAnsi="Calibri" w:cs="Times New Roman"/>
          <w:noProof/>
          <w:szCs w:val="24"/>
        </w:rPr>
        <w:t xml:space="preserve"> 154–9 (2010).</w:t>
      </w:r>
    </w:p>
    <w:p w14:paraId="33E485B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0EA273A"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w:t>
      </w:r>
      <w:r w:rsidRPr="007E0300">
        <w:rPr>
          <w:rFonts w:ascii="Calibri" w:hAnsi="Calibri" w:cs="Times New Roman"/>
          <w:noProof/>
          <w:szCs w:val="24"/>
        </w:rPr>
        <w:tab/>
        <w:t xml:space="preserve">Cruz-Jentoft, A. J. </w:t>
      </w:r>
      <w:r w:rsidRPr="007E0300">
        <w:rPr>
          <w:rFonts w:ascii="Calibri" w:hAnsi="Calibri" w:cs="Times New Roman"/>
          <w:i/>
          <w:iCs/>
          <w:noProof/>
          <w:szCs w:val="24"/>
        </w:rPr>
        <w:t>et al.</w:t>
      </w:r>
      <w:r w:rsidRPr="007E0300">
        <w:rPr>
          <w:rFonts w:ascii="Calibri" w:hAnsi="Calibri" w:cs="Times New Roman"/>
          <w:noProof/>
          <w:szCs w:val="24"/>
        </w:rPr>
        <w:t xml:space="preserve"> Sarcopenia: European consensus on definition and diagnosis: Report of the European Working Group on Sarcopenia in Older People. </w:t>
      </w:r>
      <w:r w:rsidRPr="007E0300">
        <w:rPr>
          <w:rFonts w:ascii="Calibri" w:hAnsi="Calibri" w:cs="Times New Roman"/>
          <w:i/>
          <w:iCs/>
          <w:noProof/>
          <w:szCs w:val="24"/>
        </w:rPr>
        <w:t>Age Ageing</w:t>
      </w:r>
      <w:r w:rsidRPr="007E0300">
        <w:rPr>
          <w:rFonts w:ascii="Calibri" w:hAnsi="Calibri" w:cs="Times New Roman"/>
          <w:noProof/>
          <w:szCs w:val="24"/>
        </w:rPr>
        <w:t xml:space="preserve"> </w:t>
      </w:r>
      <w:r w:rsidRPr="007E0300">
        <w:rPr>
          <w:rFonts w:ascii="Calibri" w:hAnsi="Calibri" w:cs="Times New Roman"/>
          <w:b/>
          <w:bCs/>
          <w:noProof/>
          <w:szCs w:val="24"/>
        </w:rPr>
        <w:t>39,</w:t>
      </w:r>
      <w:r w:rsidRPr="007E0300">
        <w:rPr>
          <w:rFonts w:ascii="Calibri" w:hAnsi="Calibri" w:cs="Times New Roman"/>
          <w:noProof/>
          <w:szCs w:val="24"/>
        </w:rPr>
        <w:t xml:space="preserve"> 412–423 (2010).</w:t>
      </w:r>
    </w:p>
    <w:p w14:paraId="11EFB7EF"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347019D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w:t>
      </w:r>
      <w:r w:rsidRPr="007E0300">
        <w:rPr>
          <w:rFonts w:ascii="Calibri" w:hAnsi="Calibri" w:cs="Times New Roman"/>
          <w:noProof/>
          <w:szCs w:val="24"/>
        </w:rPr>
        <w:tab/>
        <w:t xml:space="preserve">Fielding, R. A. </w:t>
      </w:r>
      <w:r w:rsidRPr="007E0300">
        <w:rPr>
          <w:rFonts w:ascii="Calibri" w:hAnsi="Calibri" w:cs="Times New Roman"/>
          <w:i/>
          <w:iCs/>
          <w:noProof/>
          <w:szCs w:val="24"/>
        </w:rPr>
        <w:t>et al.</w:t>
      </w:r>
      <w:r w:rsidRPr="007E0300">
        <w:rPr>
          <w:rFonts w:ascii="Calibri" w:hAnsi="Calibri" w:cs="Times New Roman"/>
          <w:noProof/>
          <w:szCs w:val="24"/>
        </w:rPr>
        <w:t xml:space="preserve"> Sarcopenia: an undiagnosed condition in older adults. Current consensus definition: prevalence, etiology, and consequences. International working group on sarcopenia.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12,</w:t>
      </w:r>
      <w:r w:rsidRPr="007E0300">
        <w:rPr>
          <w:rFonts w:ascii="Calibri" w:hAnsi="Calibri" w:cs="Times New Roman"/>
          <w:noProof/>
          <w:szCs w:val="24"/>
        </w:rPr>
        <w:t xml:space="preserve"> 249–56 (2011).</w:t>
      </w:r>
    </w:p>
    <w:p w14:paraId="4B9B90DD"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A1146A1"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w:t>
      </w:r>
      <w:r w:rsidRPr="007E0300">
        <w:rPr>
          <w:rFonts w:ascii="Calibri" w:hAnsi="Calibri" w:cs="Times New Roman"/>
          <w:noProof/>
          <w:szCs w:val="24"/>
        </w:rPr>
        <w:tab/>
        <w:t xml:space="preserve">Dam, T.-T. </w:t>
      </w:r>
      <w:r w:rsidRPr="007E0300">
        <w:rPr>
          <w:rFonts w:ascii="Calibri" w:hAnsi="Calibri" w:cs="Times New Roman"/>
          <w:i/>
          <w:iCs/>
          <w:noProof/>
          <w:szCs w:val="24"/>
        </w:rPr>
        <w:t>et al.</w:t>
      </w:r>
      <w:r w:rsidRPr="007E0300">
        <w:rPr>
          <w:rFonts w:ascii="Calibri" w:hAnsi="Calibri" w:cs="Times New Roman"/>
          <w:noProof/>
          <w:szCs w:val="24"/>
        </w:rPr>
        <w:t xml:space="preserve"> An evidence-based comparison of operational criteria for the presence of sarcopenia. </w:t>
      </w:r>
      <w:r w:rsidRPr="007E0300">
        <w:rPr>
          <w:rFonts w:ascii="Calibri" w:hAnsi="Calibri" w:cs="Times New Roman"/>
          <w:i/>
          <w:iCs/>
          <w:noProof/>
          <w:szCs w:val="24"/>
        </w:rPr>
        <w:t>J. Gerontol. A. Biol. Sci. Med. Sci.</w:t>
      </w:r>
      <w:r w:rsidRPr="007E0300">
        <w:rPr>
          <w:rFonts w:ascii="Calibri" w:hAnsi="Calibri" w:cs="Times New Roman"/>
          <w:noProof/>
          <w:szCs w:val="24"/>
        </w:rPr>
        <w:t xml:space="preserve"> </w:t>
      </w:r>
      <w:r w:rsidRPr="007E0300">
        <w:rPr>
          <w:rFonts w:ascii="Calibri" w:hAnsi="Calibri" w:cs="Times New Roman"/>
          <w:b/>
          <w:bCs/>
          <w:noProof/>
          <w:szCs w:val="24"/>
        </w:rPr>
        <w:t>69,</w:t>
      </w:r>
      <w:r w:rsidRPr="007E0300">
        <w:rPr>
          <w:rFonts w:ascii="Calibri" w:hAnsi="Calibri" w:cs="Times New Roman"/>
          <w:noProof/>
          <w:szCs w:val="24"/>
        </w:rPr>
        <w:t xml:space="preserve"> 584–90 (2014).</w:t>
      </w:r>
    </w:p>
    <w:p w14:paraId="73CF47E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205882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w:t>
      </w:r>
      <w:r w:rsidRPr="007E0300">
        <w:rPr>
          <w:rFonts w:ascii="Calibri" w:hAnsi="Calibri" w:cs="Times New Roman"/>
          <w:noProof/>
          <w:szCs w:val="24"/>
        </w:rPr>
        <w:tab/>
        <w:t xml:space="preserve">Morley, J. E. </w:t>
      </w:r>
      <w:r w:rsidRPr="007E0300">
        <w:rPr>
          <w:rFonts w:ascii="Calibri" w:hAnsi="Calibri" w:cs="Times New Roman"/>
          <w:i/>
          <w:iCs/>
          <w:noProof/>
          <w:szCs w:val="24"/>
        </w:rPr>
        <w:t>et al.</w:t>
      </w:r>
      <w:r w:rsidRPr="007E0300">
        <w:rPr>
          <w:rFonts w:ascii="Calibri" w:hAnsi="Calibri" w:cs="Times New Roman"/>
          <w:noProof/>
          <w:szCs w:val="24"/>
        </w:rPr>
        <w:t xml:space="preserve"> Sarcopenia With Limited Mobility: An International Consensus.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12,</w:t>
      </w:r>
      <w:r w:rsidRPr="007E0300">
        <w:rPr>
          <w:rFonts w:ascii="Calibri" w:hAnsi="Calibri" w:cs="Times New Roman"/>
          <w:noProof/>
          <w:szCs w:val="24"/>
        </w:rPr>
        <w:t xml:space="preserve"> 403–409 (2011).</w:t>
      </w:r>
    </w:p>
    <w:p w14:paraId="5946603E"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BE71D63" w14:textId="77777777" w:rsidR="007E0300" w:rsidRPr="00F13C0A" w:rsidRDefault="007E0300">
      <w:pPr>
        <w:widowControl w:val="0"/>
        <w:autoSpaceDE w:val="0"/>
        <w:autoSpaceDN w:val="0"/>
        <w:adjustRightInd w:val="0"/>
        <w:spacing w:after="0" w:line="240" w:lineRule="auto"/>
        <w:ind w:left="640" w:hanging="640"/>
        <w:rPr>
          <w:rFonts w:ascii="Calibri" w:hAnsi="Calibri" w:cs="Times New Roman"/>
          <w:noProof/>
          <w:szCs w:val="24"/>
          <w:lang w:val="nl-BE"/>
        </w:rPr>
      </w:pPr>
      <w:r w:rsidRPr="007E0300">
        <w:rPr>
          <w:rFonts w:ascii="Calibri" w:hAnsi="Calibri" w:cs="Times New Roman"/>
          <w:noProof/>
          <w:szCs w:val="24"/>
        </w:rPr>
        <w:t>7.</w:t>
      </w:r>
      <w:r w:rsidRPr="007E0300">
        <w:rPr>
          <w:rFonts w:ascii="Calibri" w:hAnsi="Calibri" w:cs="Times New Roman"/>
          <w:noProof/>
          <w:szCs w:val="24"/>
        </w:rPr>
        <w:tab/>
        <w:t xml:space="preserve">Studenski, S. A. </w:t>
      </w:r>
      <w:r w:rsidRPr="007E0300">
        <w:rPr>
          <w:rFonts w:ascii="Calibri" w:hAnsi="Calibri" w:cs="Times New Roman"/>
          <w:i/>
          <w:iCs/>
          <w:noProof/>
          <w:szCs w:val="24"/>
        </w:rPr>
        <w:t>et al.</w:t>
      </w:r>
      <w:r w:rsidRPr="007E0300">
        <w:rPr>
          <w:rFonts w:ascii="Calibri" w:hAnsi="Calibri" w:cs="Times New Roman"/>
          <w:noProof/>
          <w:szCs w:val="24"/>
        </w:rPr>
        <w:t xml:space="preserve"> The FNIH sarcopenia project: rationale, study description, conference recommendations, and final estimates. </w:t>
      </w:r>
      <w:r w:rsidRPr="00F13C0A">
        <w:rPr>
          <w:rFonts w:ascii="Calibri" w:hAnsi="Calibri" w:cs="Times New Roman"/>
          <w:i/>
          <w:iCs/>
          <w:noProof/>
          <w:szCs w:val="24"/>
          <w:lang w:val="nl-BE"/>
        </w:rPr>
        <w:t>J. Gerontol. A. Biol. Sci. Med. Sci.</w:t>
      </w:r>
      <w:r w:rsidRPr="00F13C0A">
        <w:rPr>
          <w:rFonts w:ascii="Calibri" w:hAnsi="Calibri" w:cs="Times New Roman"/>
          <w:noProof/>
          <w:szCs w:val="24"/>
          <w:lang w:val="nl-BE"/>
        </w:rPr>
        <w:t xml:space="preserve"> </w:t>
      </w:r>
      <w:r w:rsidRPr="00F13C0A">
        <w:rPr>
          <w:rFonts w:ascii="Calibri" w:hAnsi="Calibri" w:cs="Times New Roman"/>
          <w:b/>
          <w:bCs/>
          <w:noProof/>
          <w:szCs w:val="24"/>
          <w:lang w:val="nl-BE"/>
        </w:rPr>
        <w:t>69,</w:t>
      </w:r>
      <w:r w:rsidRPr="00F13C0A">
        <w:rPr>
          <w:rFonts w:ascii="Calibri" w:hAnsi="Calibri" w:cs="Times New Roman"/>
          <w:noProof/>
          <w:szCs w:val="24"/>
          <w:lang w:val="nl-BE"/>
        </w:rPr>
        <w:t xml:space="preserve"> 547–58 (2014).</w:t>
      </w:r>
    </w:p>
    <w:p w14:paraId="6C5F4A43" w14:textId="77777777" w:rsidR="007E0300" w:rsidRPr="00F13C0A" w:rsidRDefault="007E0300">
      <w:pPr>
        <w:widowControl w:val="0"/>
        <w:autoSpaceDE w:val="0"/>
        <w:autoSpaceDN w:val="0"/>
        <w:adjustRightInd w:val="0"/>
        <w:spacing w:after="140" w:line="288" w:lineRule="auto"/>
        <w:rPr>
          <w:rFonts w:ascii="Calibri" w:hAnsi="Calibri" w:cs="Times New Roman"/>
          <w:noProof/>
          <w:szCs w:val="24"/>
          <w:lang w:val="nl-BE"/>
        </w:rPr>
      </w:pPr>
    </w:p>
    <w:p w14:paraId="1EB0CA61"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F13C0A">
        <w:rPr>
          <w:rFonts w:ascii="Calibri" w:hAnsi="Calibri" w:cs="Times New Roman"/>
          <w:noProof/>
          <w:szCs w:val="24"/>
          <w:lang w:val="nl-BE"/>
        </w:rPr>
        <w:t>8.</w:t>
      </w:r>
      <w:r w:rsidRPr="00F13C0A">
        <w:rPr>
          <w:rFonts w:ascii="Calibri" w:hAnsi="Calibri" w:cs="Times New Roman"/>
          <w:noProof/>
          <w:szCs w:val="24"/>
          <w:lang w:val="nl-BE"/>
        </w:rPr>
        <w:tab/>
        <w:t xml:space="preserve">Baumgartner, R. N. </w:t>
      </w:r>
      <w:r w:rsidRPr="00F13C0A">
        <w:rPr>
          <w:rFonts w:ascii="Calibri" w:hAnsi="Calibri" w:cs="Times New Roman"/>
          <w:i/>
          <w:iCs/>
          <w:noProof/>
          <w:szCs w:val="24"/>
          <w:lang w:val="nl-BE"/>
        </w:rPr>
        <w:t>et al.</w:t>
      </w:r>
      <w:r w:rsidRPr="00F13C0A">
        <w:rPr>
          <w:rFonts w:ascii="Calibri" w:hAnsi="Calibri" w:cs="Times New Roman"/>
          <w:noProof/>
          <w:szCs w:val="24"/>
          <w:lang w:val="nl-BE"/>
        </w:rPr>
        <w:t xml:space="preserve"> </w:t>
      </w:r>
      <w:r w:rsidRPr="007E0300">
        <w:rPr>
          <w:rFonts w:ascii="Calibri" w:hAnsi="Calibri" w:cs="Times New Roman"/>
          <w:noProof/>
          <w:szCs w:val="24"/>
        </w:rPr>
        <w:t xml:space="preserve">Epidemiology of sarcopenia among the elderly in New Mexico. </w:t>
      </w:r>
      <w:r w:rsidRPr="007E0300">
        <w:rPr>
          <w:rFonts w:ascii="Calibri" w:hAnsi="Calibri" w:cs="Times New Roman"/>
          <w:i/>
          <w:iCs/>
          <w:noProof/>
          <w:szCs w:val="24"/>
        </w:rPr>
        <w:t>Am J Epidemiol</w:t>
      </w:r>
      <w:r w:rsidRPr="007E0300">
        <w:rPr>
          <w:rFonts w:ascii="Calibri" w:hAnsi="Calibri" w:cs="Times New Roman"/>
          <w:noProof/>
          <w:szCs w:val="24"/>
        </w:rPr>
        <w:t xml:space="preserve"> </w:t>
      </w:r>
      <w:r w:rsidRPr="007E0300">
        <w:rPr>
          <w:rFonts w:ascii="Calibri" w:hAnsi="Calibri" w:cs="Times New Roman"/>
          <w:b/>
          <w:bCs/>
          <w:noProof/>
          <w:szCs w:val="24"/>
        </w:rPr>
        <w:t>147,</w:t>
      </w:r>
      <w:r w:rsidRPr="007E0300">
        <w:rPr>
          <w:rFonts w:ascii="Calibri" w:hAnsi="Calibri" w:cs="Times New Roman"/>
          <w:noProof/>
          <w:szCs w:val="24"/>
        </w:rPr>
        <w:t xml:space="preserve"> 755–763 (1998).</w:t>
      </w:r>
    </w:p>
    <w:p w14:paraId="7F509D3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2AC26B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9.</w:t>
      </w:r>
      <w:r w:rsidRPr="007E0300">
        <w:rPr>
          <w:rFonts w:ascii="Calibri" w:hAnsi="Calibri" w:cs="Times New Roman"/>
          <w:noProof/>
          <w:szCs w:val="24"/>
        </w:rPr>
        <w:tab/>
        <w:t xml:space="preserve">Cooper, C. </w:t>
      </w:r>
      <w:r w:rsidRPr="007E0300">
        <w:rPr>
          <w:rFonts w:ascii="Calibri" w:hAnsi="Calibri" w:cs="Times New Roman"/>
          <w:i/>
          <w:iCs/>
          <w:noProof/>
          <w:szCs w:val="24"/>
        </w:rPr>
        <w:t>et al.</w:t>
      </w:r>
      <w:r w:rsidRPr="007E0300">
        <w:rPr>
          <w:rFonts w:ascii="Calibri" w:hAnsi="Calibri" w:cs="Times New Roman"/>
          <w:noProof/>
          <w:szCs w:val="24"/>
        </w:rPr>
        <w:t xml:space="preserve"> Frailty and sarcopenia: definitions and outcome parameters. </w:t>
      </w:r>
      <w:r w:rsidRPr="007E0300">
        <w:rPr>
          <w:rFonts w:ascii="Calibri" w:hAnsi="Calibri" w:cs="Times New Roman"/>
          <w:i/>
          <w:iCs/>
          <w:noProof/>
          <w:szCs w:val="24"/>
        </w:rPr>
        <w:t>Osteoporos Int</w:t>
      </w:r>
      <w:r w:rsidRPr="007E0300">
        <w:rPr>
          <w:rFonts w:ascii="Calibri" w:hAnsi="Calibri" w:cs="Times New Roman"/>
          <w:noProof/>
          <w:szCs w:val="24"/>
        </w:rPr>
        <w:t xml:space="preserve"> </w:t>
      </w:r>
      <w:r w:rsidRPr="007E0300">
        <w:rPr>
          <w:rFonts w:ascii="Calibri" w:hAnsi="Calibri" w:cs="Times New Roman"/>
          <w:b/>
          <w:bCs/>
          <w:noProof/>
          <w:szCs w:val="24"/>
        </w:rPr>
        <w:lastRenderedPageBreak/>
        <w:t>23,</w:t>
      </w:r>
      <w:r w:rsidRPr="007E0300">
        <w:rPr>
          <w:rFonts w:ascii="Calibri" w:hAnsi="Calibri" w:cs="Times New Roman"/>
          <w:noProof/>
          <w:szCs w:val="24"/>
        </w:rPr>
        <w:t xml:space="preserve"> 1839–1848 (2012).</w:t>
      </w:r>
    </w:p>
    <w:p w14:paraId="3156FFE5"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1A3C8DC"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10.</w:t>
      </w:r>
      <w:r w:rsidRPr="007E0300">
        <w:rPr>
          <w:rFonts w:ascii="Calibri" w:hAnsi="Calibri" w:cs="Times New Roman"/>
          <w:noProof/>
          <w:szCs w:val="24"/>
        </w:rPr>
        <w:tab/>
        <w:t xml:space="preserve">Chen, L.-K. </w:t>
      </w:r>
      <w:r w:rsidRPr="007E0300">
        <w:rPr>
          <w:rFonts w:ascii="Calibri" w:hAnsi="Calibri" w:cs="Times New Roman"/>
          <w:i/>
          <w:iCs/>
          <w:noProof/>
          <w:szCs w:val="24"/>
        </w:rPr>
        <w:t>et al.</w:t>
      </w:r>
      <w:r w:rsidRPr="007E0300">
        <w:rPr>
          <w:rFonts w:ascii="Calibri" w:hAnsi="Calibri" w:cs="Times New Roman"/>
          <w:noProof/>
          <w:szCs w:val="24"/>
        </w:rPr>
        <w:t xml:space="preserve"> Sarcopenia in Asia: Consensus Report of the Asian Working Group for Sarcopenia.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15,</w:t>
      </w:r>
      <w:r w:rsidRPr="007E0300">
        <w:rPr>
          <w:rFonts w:ascii="Calibri" w:hAnsi="Calibri" w:cs="Times New Roman"/>
          <w:noProof/>
          <w:szCs w:val="24"/>
        </w:rPr>
        <w:t xml:space="preserve"> 95–101 (2014).</w:t>
      </w:r>
    </w:p>
    <w:p w14:paraId="335D838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58AAEC7"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11.</w:t>
      </w:r>
      <w:r w:rsidRPr="007E0300">
        <w:rPr>
          <w:rFonts w:ascii="Calibri" w:hAnsi="Calibri" w:cs="Times New Roman"/>
          <w:noProof/>
          <w:szCs w:val="24"/>
        </w:rPr>
        <w:tab/>
        <w:t xml:space="preserve">Cruz-Jentoft, A. J. </w:t>
      </w:r>
      <w:r w:rsidRPr="007E0300">
        <w:rPr>
          <w:rFonts w:ascii="Calibri" w:hAnsi="Calibri" w:cs="Times New Roman"/>
          <w:i/>
          <w:iCs/>
          <w:noProof/>
          <w:szCs w:val="24"/>
        </w:rPr>
        <w:t>et al.</w:t>
      </w:r>
      <w:r w:rsidRPr="007E0300">
        <w:rPr>
          <w:rFonts w:ascii="Calibri" w:hAnsi="Calibri" w:cs="Times New Roman"/>
          <w:noProof/>
          <w:szCs w:val="24"/>
        </w:rPr>
        <w:t xml:space="preserve"> Prevalence of and interventions for sarcopenia in ageing adults: a systematic review. Report of the International Sarcopenia Initiative (EWGSOP and IWGS). </w:t>
      </w:r>
      <w:r w:rsidRPr="007E0300">
        <w:rPr>
          <w:rFonts w:ascii="Calibri" w:hAnsi="Calibri" w:cs="Times New Roman"/>
          <w:i/>
          <w:iCs/>
          <w:noProof/>
          <w:szCs w:val="24"/>
        </w:rPr>
        <w:t>Age Ageing</w:t>
      </w:r>
      <w:r w:rsidRPr="007E0300">
        <w:rPr>
          <w:rFonts w:ascii="Calibri" w:hAnsi="Calibri" w:cs="Times New Roman"/>
          <w:noProof/>
          <w:szCs w:val="24"/>
        </w:rPr>
        <w:t xml:space="preserve"> (2014). doi:10.1093/ageing/afu115</w:t>
      </w:r>
    </w:p>
    <w:p w14:paraId="545FC3A3"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8E118A8"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12.</w:t>
      </w:r>
      <w:r w:rsidRPr="007E0300">
        <w:rPr>
          <w:rFonts w:ascii="Calibri" w:hAnsi="Calibri" w:cs="Times New Roman"/>
          <w:noProof/>
          <w:szCs w:val="24"/>
        </w:rPr>
        <w:tab/>
        <w:t xml:space="preserve">Bischoff-Ferrari, H. A. </w:t>
      </w:r>
      <w:r w:rsidRPr="007E0300">
        <w:rPr>
          <w:rFonts w:ascii="Calibri" w:hAnsi="Calibri" w:cs="Times New Roman"/>
          <w:i/>
          <w:iCs/>
          <w:noProof/>
          <w:szCs w:val="24"/>
        </w:rPr>
        <w:t>et al.</w:t>
      </w:r>
      <w:r w:rsidRPr="007E0300">
        <w:rPr>
          <w:rFonts w:ascii="Calibri" w:hAnsi="Calibri" w:cs="Times New Roman"/>
          <w:noProof/>
          <w:szCs w:val="24"/>
        </w:rPr>
        <w:t xml:space="preserve"> Comparative performance of current definitions of sarcopenia against the prospective incidence of falls among community-dwelling seniors age 65 and older. </w:t>
      </w:r>
      <w:r w:rsidRPr="007E0300">
        <w:rPr>
          <w:rFonts w:ascii="Calibri" w:hAnsi="Calibri" w:cs="Times New Roman"/>
          <w:i/>
          <w:iCs/>
          <w:noProof/>
          <w:szCs w:val="24"/>
        </w:rPr>
        <w:t>Osteoporos. Int.</w:t>
      </w:r>
      <w:r w:rsidRPr="007E0300">
        <w:rPr>
          <w:rFonts w:ascii="Calibri" w:hAnsi="Calibri" w:cs="Times New Roman"/>
          <w:noProof/>
          <w:szCs w:val="24"/>
        </w:rPr>
        <w:t xml:space="preserve"> (2015). doi:10.1007/s00198-015-3194-y</w:t>
      </w:r>
    </w:p>
    <w:p w14:paraId="6E7BDA1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069B3E4"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13.</w:t>
      </w:r>
      <w:r w:rsidRPr="007E0300">
        <w:rPr>
          <w:rFonts w:ascii="Calibri" w:hAnsi="Calibri" w:cs="Times New Roman"/>
          <w:noProof/>
          <w:szCs w:val="24"/>
        </w:rPr>
        <w:tab/>
        <w:t xml:space="preserve">Beaudart, C., Rizzoli, R., Bruyere, O., Reginster, J. Y. &amp; Biver, E. Sarcopenia: Burden and challenges for Public Health. 2014. Archives of Public Health. . </w:t>
      </w:r>
      <w:r w:rsidRPr="007E0300">
        <w:rPr>
          <w:rFonts w:ascii="Calibri" w:hAnsi="Calibri" w:cs="Times New Roman"/>
          <w:i/>
          <w:iCs/>
          <w:noProof/>
          <w:szCs w:val="24"/>
        </w:rPr>
        <w:t>Arch. Public Heal.</w:t>
      </w:r>
      <w:r w:rsidRPr="007E0300">
        <w:rPr>
          <w:rFonts w:ascii="Calibri" w:hAnsi="Calibri" w:cs="Times New Roman"/>
          <w:noProof/>
          <w:szCs w:val="24"/>
        </w:rPr>
        <w:t xml:space="preserve"> </w:t>
      </w:r>
      <w:r w:rsidRPr="007E0300">
        <w:rPr>
          <w:rFonts w:ascii="Calibri" w:hAnsi="Calibri" w:cs="Times New Roman"/>
          <w:b/>
          <w:bCs/>
          <w:noProof/>
          <w:szCs w:val="24"/>
        </w:rPr>
        <w:t>72:45,</w:t>
      </w:r>
      <w:r w:rsidRPr="007E0300">
        <w:rPr>
          <w:rFonts w:ascii="Calibri" w:hAnsi="Calibri" w:cs="Times New Roman"/>
          <w:noProof/>
          <w:szCs w:val="24"/>
        </w:rPr>
        <w:t xml:space="preserve"> (2014).</w:t>
      </w:r>
    </w:p>
    <w:p w14:paraId="1226F318"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B489B35"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14.</w:t>
      </w:r>
      <w:r w:rsidRPr="007E0300">
        <w:rPr>
          <w:rFonts w:ascii="Calibri" w:hAnsi="Calibri" w:cs="Times New Roman"/>
          <w:noProof/>
          <w:szCs w:val="24"/>
        </w:rPr>
        <w:tab/>
        <w:t xml:space="preserve">Rizzoli, R. </w:t>
      </w:r>
      <w:r w:rsidRPr="007E0300">
        <w:rPr>
          <w:rFonts w:ascii="Calibri" w:hAnsi="Calibri" w:cs="Times New Roman"/>
          <w:i/>
          <w:iCs/>
          <w:noProof/>
          <w:szCs w:val="24"/>
        </w:rPr>
        <w:t>et al.</w:t>
      </w:r>
      <w:r w:rsidRPr="007E0300">
        <w:rPr>
          <w:rFonts w:ascii="Calibri" w:hAnsi="Calibri" w:cs="Times New Roman"/>
          <w:noProof/>
          <w:szCs w:val="24"/>
        </w:rPr>
        <w:t xml:space="preserve"> Quality of life in sarcopenia and frailty. </w:t>
      </w:r>
      <w:r w:rsidRPr="007E0300">
        <w:rPr>
          <w:rFonts w:ascii="Calibri" w:hAnsi="Calibri" w:cs="Times New Roman"/>
          <w:i/>
          <w:iCs/>
          <w:noProof/>
          <w:szCs w:val="24"/>
        </w:rPr>
        <w:t>Calcified Tissue International</w:t>
      </w:r>
      <w:r w:rsidRPr="007E0300">
        <w:rPr>
          <w:rFonts w:ascii="Calibri" w:hAnsi="Calibri" w:cs="Times New Roman"/>
          <w:noProof/>
          <w:szCs w:val="24"/>
        </w:rPr>
        <w:t xml:space="preserve"> </w:t>
      </w:r>
      <w:r w:rsidRPr="007E0300">
        <w:rPr>
          <w:rFonts w:ascii="Calibri" w:hAnsi="Calibri" w:cs="Times New Roman"/>
          <w:b/>
          <w:bCs/>
          <w:noProof/>
          <w:szCs w:val="24"/>
        </w:rPr>
        <w:t>93,</w:t>
      </w:r>
      <w:r w:rsidRPr="007E0300">
        <w:rPr>
          <w:rFonts w:ascii="Calibri" w:hAnsi="Calibri" w:cs="Times New Roman"/>
          <w:noProof/>
          <w:szCs w:val="24"/>
        </w:rPr>
        <w:t xml:space="preserve"> 101–120 (2013).</w:t>
      </w:r>
    </w:p>
    <w:p w14:paraId="2B774900"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A384B8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15.</w:t>
      </w:r>
      <w:r w:rsidRPr="007E0300">
        <w:rPr>
          <w:rFonts w:ascii="Calibri" w:hAnsi="Calibri" w:cs="Times New Roman"/>
          <w:noProof/>
          <w:szCs w:val="24"/>
        </w:rPr>
        <w:tab/>
        <w:t xml:space="preserve">Lauretani, F. </w:t>
      </w:r>
      <w:r w:rsidRPr="007E0300">
        <w:rPr>
          <w:rFonts w:ascii="Calibri" w:hAnsi="Calibri" w:cs="Times New Roman"/>
          <w:i/>
          <w:iCs/>
          <w:noProof/>
          <w:szCs w:val="24"/>
        </w:rPr>
        <w:t>et al.</w:t>
      </w:r>
      <w:r w:rsidRPr="007E0300">
        <w:rPr>
          <w:rFonts w:ascii="Calibri" w:hAnsi="Calibri" w:cs="Times New Roman"/>
          <w:noProof/>
          <w:szCs w:val="24"/>
        </w:rPr>
        <w:t xml:space="preserve"> Age-associated changes in skeletal muscles and their effect on mobility: an operational diagnosis of sarcopenia. </w:t>
      </w:r>
      <w:r w:rsidRPr="007E0300">
        <w:rPr>
          <w:rFonts w:ascii="Calibri" w:hAnsi="Calibri" w:cs="Times New Roman"/>
          <w:i/>
          <w:iCs/>
          <w:noProof/>
          <w:szCs w:val="24"/>
        </w:rPr>
        <w:t>J Appl Physiol</w:t>
      </w:r>
      <w:r w:rsidRPr="007E0300">
        <w:rPr>
          <w:rFonts w:ascii="Calibri" w:hAnsi="Calibri" w:cs="Times New Roman"/>
          <w:noProof/>
          <w:szCs w:val="24"/>
        </w:rPr>
        <w:t xml:space="preserve"> </w:t>
      </w:r>
      <w:r w:rsidRPr="007E0300">
        <w:rPr>
          <w:rFonts w:ascii="Calibri" w:hAnsi="Calibri" w:cs="Times New Roman"/>
          <w:b/>
          <w:bCs/>
          <w:noProof/>
          <w:szCs w:val="24"/>
        </w:rPr>
        <w:t>95,</w:t>
      </w:r>
      <w:r w:rsidRPr="007E0300">
        <w:rPr>
          <w:rFonts w:ascii="Calibri" w:hAnsi="Calibri" w:cs="Times New Roman"/>
          <w:noProof/>
          <w:szCs w:val="24"/>
        </w:rPr>
        <w:t xml:space="preserve"> 1851–1860 (2003).</w:t>
      </w:r>
    </w:p>
    <w:p w14:paraId="7CB5912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C8E06E4" w14:textId="77777777" w:rsidR="007E0300" w:rsidRPr="00F13C0A" w:rsidRDefault="007E0300">
      <w:pPr>
        <w:widowControl w:val="0"/>
        <w:autoSpaceDE w:val="0"/>
        <w:autoSpaceDN w:val="0"/>
        <w:adjustRightInd w:val="0"/>
        <w:spacing w:after="0" w:line="240" w:lineRule="auto"/>
        <w:ind w:left="640" w:hanging="640"/>
        <w:rPr>
          <w:rFonts w:ascii="Calibri" w:hAnsi="Calibri" w:cs="Times New Roman"/>
          <w:noProof/>
          <w:szCs w:val="24"/>
          <w:lang w:val="nl-BE"/>
        </w:rPr>
      </w:pPr>
      <w:r w:rsidRPr="007E0300">
        <w:rPr>
          <w:rFonts w:ascii="Calibri" w:hAnsi="Calibri" w:cs="Times New Roman"/>
          <w:noProof/>
          <w:szCs w:val="24"/>
        </w:rPr>
        <w:t>16.</w:t>
      </w:r>
      <w:r w:rsidRPr="007E0300">
        <w:rPr>
          <w:rFonts w:ascii="Calibri" w:hAnsi="Calibri" w:cs="Times New Roman"/>
          <w:noProof/>
          <w:szCs w:val="24"/>
        </w:rPr>
        <w:tab/>
        <w:t xml:space="preserve">Visser, M. &amp; Schaap, L. A. Consequences of sarcopenia. </w:t>
      </w:r>
      <w:r w:rsidRPr="00F13C0A">
        <w:rPr>
          <w:rFonts w:ascii="Calibri" w:hAnsi="Calibri" w:cs="Times New Roman"/>
          <w:i/>
          <w:iCs/>
          <w:noProof/>
          <w:szCs w:val="24"/>
          <w:lang w:val="nl-BE"/>
        </w:rPr>
        <w:t>Clin Geriatr Med</w:t>
      </w:r>
      <w:r w:rsidRPr="00F13C0A">
        <w:rPr>
          <w:rFonts w:ascii="Calibri" w:hAnsi="Calibri" w:cs="Times New Roman"/>
          <w:noProof/>
          <w:szCs w:val="24"/>
          <w:lang w:val="nl-BE"/>
        </w:rPr>
        <w:t xml:space="preserve"> </w:t>
      </w:r>
      <w:r w:rsidRPr="00F13C0A">
        <w:rPr>
          <w:rFonts w:ascii="Calibri" w:hAnsi="Calibri" w:cs="Times New Roman"/>
          <w:b/>
          <w:bCs/>
          <w:noProof/>
          <w:szCs w:val="24"/>
          <w:lang w:val="nl-BE"/>
        </w:rPr>
        <w:t>27,</w:t>
      </w:r>
      <w:r w:rsidRPr="00F13C0A">
        <w:rPr>
          <w:rFonts w:ascii="Calibri" w:hAnsi="Calibri" w:cs="Times New Roman"/>
          <w:noProof/>
          <w:szCs w:val="24"/>
          <w:lang w:val="nl-BE"/>
        </w:rPr>
        <w:t xml:space="preserve"> 387–399 (2011).</w:t>
      </w:r>
    </w:p>
    <w:p w14:paraId="4FAB398F" w14:textId="77777777" w:rsidR="007E0300" w:rsidRPr="00F13C0A" w:rsidRDefault="007E0300">
      <w:pPr>
        <w:widowControl w:val="0"/>
        <w:autoSpaceDE w:val="0"/>
        <w:autoSpaceDN w:val="0"/>
        <w:adjustRightInd w:val="0"/>
        <w:spacing w:after="140" w:line="288" w:lineRule="auto"/>
        <w:rPr>
          <w:rFonts w:ascii="Calibri" w:hAnsi="Calibri" w:cs="Times New Roman"/>
          <w:noProof/>
          <w:szCs w:val="24"/>
          <w:lang w:val="nl-BE"/>
        </w:rPr>
      </w:pPr>
    </w:p>
    <w:p w14:paraId="76CC0FE4"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F13C0A">
        <w:rPr>
          <w:rFonts w:ascii="Calibri" w:hAnsi="Calibri" w:cs="Times New Roman"/>
          <w:noProof/>
          <w:szCs w:val="24"/>
          <w:lang w:val="nl-BE"/>
        </w:rPr>
        <w:t>17.</w:t>
      </w:r>
      <w:r w:rsidRPr="00F13C0A">
        <w:rPr>
          <w:rFonts w:ascii="Calibri" w:hAnsi="Calibri" w:cs="Times New Roman"/>
          <w:noProof/>
          <w:szCs w:val="24"/>
          <w:lang w:val="nl-BE"/>
        </w:rPr>
        <w:tab/>
        <w:t xml:space="preserve">Lang, T. </w:t>
      </w:r>
      <w:r w:rsidRPr="00F13C0A">
        <w:rPr>
          <w:rFonts w:ascii="Calibri" w:hAnsi="Calibri" w:cs="Times New Roman"/>
          <w:i/>
          <w:iCs/>
          <w:noProof/>
          <w:szCs w:val="24"/>
          <w:lang w:val="nl-BE"/>
        </w:rPr>
        <w:t>et al.</w:t>
      </w:r>
      <w:r w:rsidRPr="00F13C0A">
        <w:rPr>
          <w:rFonts w:ascii="Calibri" w:hAnsi="Calibri" w:cs="Times New Roman"/>
          <w:noProof/>
          <w:szCs w:val="24"/>
          <w:lang w:val="nl-BE"/>
        </w:rPr>
        <w:t xml:space="preserve"> </w:t>
      </w:r>
      <w:r w:rsidRPr="007E0300">
        <w:rPr>
          <w:rFonts w:ascii="Calibri" w:hAnsi="Calibri" w:cs="Times New Roman"/>
          <w:noProof/>
          <w:szCs w:val="24"/>
        </w:rPr>
        <w:t xml:space="preserve">Sarcopenia: etiology, clinical consequences, intervention, and assessment. </w:t>
      </w:r>
      <w:r w:rsidRPr="007E0300">
        <w:rPr>
          <w:rFonts w:ascii="Calibri" w:hAnsi="Calibri" w:cs="Times New Roman"/>
          <w:i/>
          <w:iCs/>
          <w:noProof/>
          <w:szCs w:val="24"/>
        </w:rPr>
        <w:t>Osteoporos Int</w:t>
      </w:r>
      <w:r w:rsidRPr="007E0300">
        <w:rPr>
          <w:rFonts w:ascii="Calibri" w:hAnsi="Calibri" w:cs="Times New Roman"/>
          <w:noProof/>
          <w:szCs w:val="24"/>
        </w:rPr>
        <w:t xml:space="preserve"> </w:t>
      </w:r>
      <w:r w:rsidRPr="007E0300">
        <w:rPr>
          <w:rFonts w:ascii="Calibri" w:hAnsi="Calibri" w:cs="Times New Roman"/>
          <w:b/>
          <w:bCs/>
          <w:noProof/>
          <w:szCs w:val="24"/>
        </w:rPr>
        <w:t>21,</w:t>
      </w:r>
      <w:r w:rsidRPr="007E0300">
        <w:rPr>
          <w:rFonts w:ascii="Calibri" w:hAnsi="Calibri" w:cs="Times New Roman"/>
          <w:noProof/>
          <w:szCs w:val="24"/>
        </w:rPr>
        <w:t xml:space="preserve"> 543–559 (2010).</w:t>
      </w:r>
    </w:p>
    <w:p w14:paraId="0D8AA21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A78A3AC"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18.</w:t>
      </w:r>
      <w:r w:rsidRPr="007E0300">
        <w:rPr>
          <w:rFonts w:ascii="Calibri" w:hAnsi="Calibri" w:cs="Times New Roman"/>
          <w:noProof/>
          <w:szCs w:val="24"/>
        </w:rPr>
        <w:tab/>
        <w:t xml:space="preserve">Landi, F. </w:t>
      </w:r>
      <w:r w:rsidRPr="007E0300">
        <w:rPr>
          <w:rFonts w:ascii="Calibri" w:hAnsi="Calibri" w:cs="Times New Roman"/>
          <w:i/>
          <w:iCs/>
          <w:noProof/>
          <w:szCs w:val="24"/>
        </w:rPr>
        <w:t>et al.</w:t>
      </w:r>
      <w:r w:rsidRPr="007E0300">
        <w:rPr>
          <w:rFonts w:ascii="Calibri" w:hAnsi="Calibri" w:cs="Times New Roman"/>
          <w:noProof/>
          <w:szCs w:val="24"/>
        </w:rPr>
        <w:t xml:space="preserve"> Sarcopenia and frailty: From theoretical approach into clinical practice. (2016). at &lt;http://emvmsa1a.jouve-hdi.com/en/article/1029882&gt;</w:t>
      </w:r>
    </w:p>
    <w:p w14:paraId="212BBF20"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64FE699"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19.</w:t>
      </w:r>
      <w:r w:rsidRPr="007E0300">
        <w:rPr>
          <w:rFonts w:ascii="Calibri" w:hAnsi="Calibri" w:cs="Times New Roman"/>
          <w:noProof/>
          <w:szCs w:val="24"/>
        </w:rPr>
        <w:tab/>
        <w:t xml:space="preserve">Landi, F. </w:t>
      </w:r>
      <w:r w:rsidRPr="007E0300">
        <w:rPr>
          <w:rFonts w:ascii="Calibri" w:hAnsi="Calibri" w:cs="Times New Roman"/>
          <w:i/>
          <w:iCs/>
          <w:noProof/>
          <w:szCs w:val="24"/>
        </w:rPr>
        <w:t>et al.</w:t>
      </w:r>
      <w:r w:rsidRPr="007E0300">
        <w:rPr>
          <w:rFonts w:ascii="Calibri" w:hAnsi="Calibri" w:cs="Times New Roman"/>
          <w:noProof/>
          <w:szCs w:val="24"/>
        </w:rPr>
        <w:t xml:space="preserve"> Sarcopenia as a risk factor for falls in elderly individuals: results from the ilSIRENTE study. </w:t>
      </w:r>
      <w:r w:rsidRPr="007E0300">
        <w:rPr>
          <w:rFonts w:ascii="Calibri" w:hAnsi="Calibri" w:cs="Times New Roman"/>
          <w:i/>
          <w:iCs/>
          <w:noProof/>
          <w:szCs w:val="24"/>
        </w:rPr>
        <w:t>Clin Nutr</w:t>
      </w:r>
      <w:r w:rsidRPr="007E0300">
        <w:rPr>
          <w:rFonts w:ascii="Calibri" w:hAnsi="Calibri" w:cs="Times New Roman"/>
          <w:noProof/>
          <w:szCs w:val="24"/>
        </w:rPr>
        <w:t xml:space="preserve"> </w:t>
      </w:r>
      <w:r w:rsidRPr="007E0300">
        <w:rPr>
          <w:rFonts w:ascii="Calibri" w:hAnsi="Calibri" w:cs="Times New Roman"/>
          <w:b/>
          <w:bCs/>
          <w:noProof/>
          <w:szCs w:val="24"/>
        </w:rPr>
        <w:t>31,</w:t>
      </w:r>
      <w:r w:rsidRPr="007E0300">
        <w:rPr>
          <w:rFonts w:ascii="Calibri" w:hAnsi="Calibri" w:cs="Times New Roman"/>
          <w:noProof/>
          <w:szCs w:val="24"/>
        </w:rPr>
        <w:t xml:space="preserve"> 652–658 (2012).</w:t>
      </w:r>
    </w:p>
    <w:p w14:paraId="624E495B"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06116BA"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20.</w:t>
      </w:r>
      <w:r w:rsidRPr="007E0300">
        <w:rPr>
          <w:rFonts w:ascii="Calibri" w:hAnsi="Calibri" w:cs="Times New Roman"/>
          <w:noProof/>
          <w:szCs w:val="24"/>
        </w:rPr>
        <w:tab/>
        <w:t xml:space="preserve">Denison, H. J., Cooper, C., Sayer, A. A. &amp; Robinson, S. M. Prevention and optimal management of sarcopenia: a review of combined exercise and nutrition interventions to improve muscle outcomes in older people. </w:t>
      </w:r>
      <w:r w:rsidRPr="007E0300">
        <w:rPr>
          <w:rFonts w:ascii="Calibri" w:hAnsi="Calibri" w:cs="Times New Roman"/>
          <w:i/>
          <w:iCs/>
          <w:noProof/>
          <w:szCs w:val="24"/>
        </w:rPr>
        <w:t>Clin. Interv. Aging</w:t>
      </w:r>
      <w:r w:rsidRPr="007E0300">
        <w:rPr>
          <w:rFonts w:ascii="Calibri" w:hAnsi="Calibri" w:cs="Times New Roman"/>
          <w:noProof/>
          <w:szCs w:val="24"/>
        </w:rPr>
        <w:t xml:space="preserve"> </w:t>
      </w:r>
      <w:r w:rsidRPr="007E0300">
        <w:rPr>
          <w:rFonts w:ascii="Calibri" w:hAnsi="Calibri" w:cs="Times New Roman"/>
          <w:b/>
          <w:bCs/>
          <w:noProof/>
          <w:szCs w:val="24"/>
        </w:rPr>
        <w:t>10,</w:t>
      </w:r>
      <w:r w:rsidRPr="007E0300">
        <w:rPr>
          <w:rFonts w:ascii="Calibri" w:hAnsi="Calibri" w:cs="Times New Roman"/>
          <w:noProof/>
          <w:szCs w:val="24"/>
        </w:rPr>
        <w:t xml:space="preserve"> 859–69 (2015).</w:t>
      </w:r>
    </w:p>
    <w:p w14:paraId="57B1C24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976D610"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21.</w:t>
      </w:r>
      <w:r w:rsidRPr="007E0300">
        <w:rPr>
          <w:rFonts w:ascii="Calibri" w:hAnsi="Calibri" w:cs="Times New Roman"/>
          <w:noProof/>
          <w:szCs w:val="24"/>
        </w:rPr>
        <w:tab/>
        <w:t xml:space="preserve">Molfino, A., Gioia, G., Rossi Fanelli, F. &amp; Muscaritoli, M. Beta-hydroxy-beta-methylbutyrate supplementation in health and disease: a systematic review of randomized trials. </w:t>
      </w:r>
      <w:r w:rsidRPr="007E0300">
        <w:rPr>
          <w:rFonts w:ascii="Calibri" w:hAnsi="Calibri" w:cs="Times New Roman"/>
          <w:i/>
          <w:iCs/>
          <w:noProof/>
          <w:szCs w:val="24"/>
        </w:rPr>
        <w:t>Amino Acids</w:t>
      </w:r>
      <w:r w:rsidRPr="007E0300">
        <w:rPr>
          <w:rFonts w:ascii="Calibri" w:hAnsi="Calibri" w:cs="Times New Roman"/>
          <w:noProof/>
          <w:szCs w:val="24"/>
        </w:rPr>
        <w:t xml:space="preserve"> </w:t>
      </w:r>
      <w:r w:rsidRPr="007E0300">
        <w:rPr>
          <w:rFonts w:ascii="Calibri" w:hAnsi="Calibri" w:cs="Times New Roman"/>
          <w:b/>
          <w:bCs/>
          <w:noProof/>
          <w:szCs w:val="24"/>
        </w:rPr>
        <w:t>45,</w:t>
      </w:r>
      <w:r w:rsidRPr="007E0300">
        <w:rPr>
          <w:rFonts w:ascii="Calibri" w:hAnsi="Calibri" w:cs="Times New Roman"/>
          <w:noProof/>
          <w:szCs w:val="24"/>
        </w:rPr>
        <w:t xml:space="preserve"> 1273–92 (2013).</w:t>
      </w:r>
    </w:p>
    <w:p w14:paraId="3EFF0D7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9B4460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22.</w:t>
      </w:r>
      <w:r w:rsidRPr="007E0300">
        <w:rPr>
          <w:rFonts w:ascii="Calibri" w:hAnsi="Calibri" w:cs="Times New Roman"/>
          <w:noProof/>
          <w:szCs w:val="24"/>
        </w:rPr>
        <w:tab/>
        <w:t xml:space="preserve">Devries, M. C. &amp; Phillips, S. M. Creatine supplementation during resistance training in older </w:t>
      </w:r>
      <w:r w:rsidRPr="007E0300">
        <w:rPr>
          <w:rFonts w:ascii="Calibri" w:hAnsi="Calibri" w:cs="Times New Roman"/>
          <w:noProof/>
          <w:szCs w:val="24"/>
        </w:rPr>
        <w:lastRenderedPageBreak/>
        <w:t xml:space="preserve">adults-a meta-analysis. </w:t>
      </w:r>
      <w:r w:rsidRPr="007E0300">
        <w:rPr>
          <w:rFonts w:ascii="Calibri" w:hAnsi="Calibri" w:cs="Times New Roman"/>
          <w:i/>
          <w:iCs/>
          <w:noProof/>
          <w:szCs w:val="24"/>
        </w:rPr>
        <w:t>Med. Sci. Sports Exerc.</w:t>
      </w:r>
      <w:r w:rsidRPr="007E0300">
        <w:rPr>
          <w:rFonts w:ascii="Calibri" w:hAnsi="Calibri" w:cs="Times New Roman"/>
          <w:noProof/>
          <w:szCs w:val="24"/>
        </w:rPr>
        <w:t xml:space="preserve"> </w:t>
      </w:r>
      <w:r w:rsidRPr="007E0300">
        <w:rPr>
          <w:rFonts w:ascii="Calibri" w:hAnsi="Calibri" w:cs="Times New Roman"/>
          <w:b/>
          <w:bCs/>
          <w:noProof/>
          <w:szCs w:val="24"/>
        </w:rPr>
        <w:t>46,</w:t>
      </w:r>
      <w:r w:rsidRPr="007E0300">
        <w:rPr>
          <w:rFonts w:ascii="Calibri" w:hAnsi="Calibri" w:cs="Times New Roman"/>
          <w:noProof/>
          <w:szCs w:val="24"/>
        </w:rPr>
        <w:t xml:space="preserve"> 1194–203 (2014).</w:t>
      </w:r>
    </w:p>
    <w:p w14:paraId="73F046EC"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3DDC2A5" w14:textId="77777777" w:rsidR="007E0300" w:rsidRPr="00F13C0A" w:rsidRDefault="007E0300">
      <w:pPr>
        <w:widowControl w:val="0"/>
        <w:autoSpaceDE w:val="0"/>
        <w:autoSpaceDN w:val="0"/>
        <w:adjustRightInd w:val="0"/>
        <w:spacing w:after="0" w:line="240" w:lineRule="auto"/>
        <w:ind w:left="640" w:hanging="640"/>
        <w:rPr>
          <w:rFonts w:ascii="Calibri" w:hAnsi="Calibri" w:cs="Times New Roman"/>
          <w:noProof/>
          <w:szCs w:val="24"/>
          <w:lang w:val="fr-BE"/>
        </w:rPr>
      </w:pPr>
      <w:r w:rsidRPr="007E0300">
        <w:rPr>
          <w:rFonts w:ascii="Calibri" w:hAnsi="Calibri" w:cs="Times New Roman"/>
          <w:noProof/>
          <w:szCs w:val="24"/>
        </w:rPr>
        <w:t>23.</w:t>
      </w:r>
      <w:r w:rsidRPr="007E0300">
        <w:rPr>
          <w:rFonts w:ascii="Calibri" w:hAnsi="Calibri" w:cs="Times New Roman"/>
          <w:noProof/>
          <w:szCs w:val="24"/>
        </w:rPr>
        <w:tab/>
        <w:t xml:space="preserve">Cooper, C. </w:t>
      </w:r>
      <w:r w:rsidRPr="007E0300">
        <w:rPr>
          <w:rFonts w:ascii="Calibri" w:hAnsi="Calibri" w:cs="Times New Roman"/>
          <w:i/>
          <w:iCs/>
          <w:noProof/>
          <w:szCs w:val="24"/>
        </w:rPr>
        <w:t>et al.</w:t>
      </w:r>
      <w:r w:rsidRPr="007E0300">
        <w:rPr>
          <w:rFonts w:ascii="Calibri" w:hAnsi="Calibri" w:cs="Times New Roman"/>
          <w:noProof/>
          <w:szCs w:val="24"/>
        </w:rPr>
        <w:t xml:space="preserve"> Tools in the assessment of sarcopenia. </w:t>
      </w:r>
      <w:r w:rsidRPr="00F13C0A">
        <w:rPr>
          <w:rFonts w:ascii="Calibri" w:hAnsi="Calibri" w:cs="Times New Roman"/>
          <w:i/>
          <w:iCs/>
          <w:noProof/>
          <w:szCs w:val="24"/>
          <w:lang w:val="fr-BE"/>
        </w:rPr>
        <w:t>Calcif Tissue Int</w:t>
      </w:r>
      <w:r w:rsidRPr="00F13C0A">
        <w:rPr>
          <w:rFonts w:ascii="Calibri" w:hAnsi="Calibri" w:cs="Times New Roman"/>
          <w:noProof/>
          <w:szCs w:val="24"/>
          <w:lang w:val="fr-BE"/>
        </w:rPr>
        <w:t xml:space="preserve"> </w:t>
      </w:r>
      <w:r w:rsidRPr="00F13C0A">
        <w:rPr>
          <w:rFonts w:ascii="Calibri" w:hAnsi="Calibri" w:cs="Times New Roman"/>
          <w:b/>
          <w:bCs/>
          <w:noProof/>
          <w:szCs w:val="24"/>
          <w:lang w:val="fr-BE"/>
        </w:rPr>
        <w:t>93,</w:t>
      </w:r>
      <w:r w:rsidRPr="00F13C0A">
        <w:rPr>
          <w:rFonts w:ascii="Calibri" w:hAnsi="Calibri" w:cs="Times New Roman"/>
          <w:noProof/>
          <w:szCs w:val="24"/>
          <w:lang w:val="fr-BE"/>
        </w:rPr>
        <w:t xml:space="preserve"> 201–210 (2013).</w:t>
      </w:r>
    </w:p>
    <w:p w14:paraId="4D8117F8" w14:textId="77777777" w:rsidR="007E0300" w:rsidRPr="00F13C0A" w:rsidRDefault="007E0300">
      <w:pPr>
        <w:widowControl w:val="0"/>
        <w:autoSpaceDE w:val="0"/>
        <w:autoSpaceDN w:val="0"/>
        <w:adjustRightInd w:val="0"/>
        <w:spacing w:after="140" w:line="288" w:lineRule="auto"/>
        <w:rPr>
          <w:rFonts w:ascii="Calibri" w:hAnsi="Calibri" w:cs="Times New Roman"/>
          <w:noProof/>
          <w:szCs w:val="24"/>
          <w:lang w:val="fr-BE"/>
        </w:rPr>
      </w:pPr>
    </w:p>
    <w:p w14:paraId="6C8171B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F13C0A">
        <w:rPr>
          <w:rFonts w:ascii="Calibri" w:hAnsi="Calibri" w:cs="Times New Roman"/>
          <w:noProof/>
          <w:szCs w:val="24"/>
          <w:lang w:val="fr-BE"/>
        </w:rPr>
        <w:t>24.</w:t>
      </w:r>
      <w:r w:rsidRPr="00F13C0A">
        <w:rPr>
          <w:rFonts w:ascii="Calibri" w:hAnsi="Calibri" w:cs="Times New Roman"/>
          <w:noProof/>
          <w:szCs w:val="24"/>
          <w:lang w:val="fr-BE"/>
        </w:rPr>
        <w:tab/>
        <w:t xml:space="preserve">Mijnarends, D. M. </w:t>
      </w:r>
      <w:r w:rsidRPr="00F13C0A">
        <w:rPr>
          <w:rFonts w:ascii="Calibri" w:hAnsi="Calibri" w:cs="Times New Roman"/>
          <w:i/>
          <w:iCs/>
          <w:noProof/>
          <w:szCs w:val="24"/>
          <w:lang w:val="fr-BE"/>
        </w:rPr>
        <w:t>et al.</w:t>
      </w:r>
      <w:r w:rsidRPr="00F13C0A">
        <w:rPr>
          <w:rFonts w:ascii="Calibri" w:hAnsi="Calibri" w:cs="Times New Roman"/>
          <w:noProof/>
          <w:szCs w:val="24"/>
          <w:lang w:val="fr-BE"/>
        </w:rPr>
        <w:t xml:space="preserve"> </w:t>
      </w:r>
      <w:r w:rsidRPr="007E0300">
        <w:rPr>
          <w:rFonts w:ascii="Calibri" w:hAnsi="Calibri" w:cs="Times New Roman"/>
          <w:noProof/>
          <w:szCs w:val="24"/>
        </w:rPr>
        <w:t xml:space="preserve">Validity and reliability of tools to measure muscle mass, strength, and physical performance in community-dwelling older people: a systematic review.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14,</w:t>
      </w:r>
      <w:r w:rsidRPr="007E0300">
        <w:rPr>
          <w:rFonts w:ascii="Calibri" w:hAnsi="Calibri" w:cs="Times New Roman"/>
          <w:noProof/>
          <w:szCs w:val="24"/>
        </w:rPr>
        <w:t xml:space="preserve"> 170–178 (2013).</w:t>
      </w:r>
    </w:p>
    <w:p w14:paraId="3CF54809"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8D95C29"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25.</w:t>
      </w:r>
      <w:r w:rsidRPr="007E0300">
        <w:rPr>
          <w:rFonts w:ascii="Calibri" w:hAnsi="Calibri" w:cs="Times New Roman"/>
          <w:noProof/>
          <w:szCs w:val="24"/>
        </w:rPr>
        <w:tab/>
        <w:t xml:space="preserve">Hiligsmann, M. </w:t>
      </w:r>
      <w:r w:rsidRPr="007E0300">
        <w:rPr>
          <w:rFonts w:ascii="Calibri" w:hAnsi="Calibri" w:cs="Times New Roman"/>
          <w:i/>
          <w:iCs/>
          <w:noProof/>
          <w:szCs w:val="24"/>
        </w:rPr>
        <w:t>et al.</w:t>
      </w:r>
      <w:r w:rsidRPr="007E0300">
        <w:rPr>
          <w:rFonts w:ascii="Calibri" w:hAnsi="Calibri" w:cs="Times New Roman"/>
          <w:noProof/>
          <w:szCs w:val="24"/>
        </w:rPr>
        <w:t xml:space="preserve"> A reference case for economic evaluations in osteoarthritis: An expert consensus article from the European Society for Clinical and Economic Aspects of Osteoporosis and Osteoarthritis (ESCEO). </w:t>
      </w:r>
      <w:r w:rsidRPr="007E0300">
        <w:rPr>
          <w:rFonts w:ascii="Calibri" w:hAnsi="Calibri" w:cs="Times New Roman"/>
          <w:i/>
          <w:iCs/>
          <w:noProof/>
          <w:szCs w:val="24"/>
        </w:rPr>
        <w:t>Semin. Arthritis Rheum.</w:t>
      </w:r>
      <w:r w:rsidRPr="007E0300">
        <w:rPr>
          <w:rFonts w:ascii="Calibri" w:hAnsi="Calibri" w:cs="Times New Roman"/>
          <w:noProof/>
          <w:szCs w:val="24"/>
        </w:rPr>
        <w:t xml:space="preserve"> </w:t>
      </w:r>
      <w:r w:rsidRPr="007E0300">
        <w:rPr>
          <w:rFonts w:ascii="Calibri" w:hAnsi="Calibri" w:cs="Times New Roman"/>
          <w:b/>
          <w:bCs/>
          <w:noProof/>
          <w:szCs w:val="24"/>
        </w:rPr>
        <w:t>44,</w:t>
      </w:r>
      <w:r w:rsidRPr="007E0300">
        <w:rPr>
          <w:rFonts w:ascii="Calibri" w:hAnsi="Calibri" w:cs="Times New Roman"/>
          <w:noProof/>
          <w:szCs w:val="24"/>
        </w:rPr>
        <w:t xml:space="preserve"> 271–282 (2014).</w:t>
      </w:r>
    </w:p>
    <w:p w14:paraId="35B15109"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E7E8C5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26.</w:t>
      </w:r>
      <w:r w:rsidRPr="007E0300">
        <w:rPr>
          <w:rFonts w:ascii="Calibri" w:hAnsi="Calibri" w:cs="Times New Roman"/>
          <w:noProof/>
          <w:szCs w:val="24"/>
        </w:rPr>
        <w:tab/>
        <w:t xml:space="preserve">Rizzoli, R. </w:t>
      </w:r>
      <w:r w:rsidRPr="007E0300">
        <w:rPr>
          <w:rFonts w:ascii="Calibri" w:hAnsi="Calibri" w:cs="Times New Roman"/>
          <w:i/>
          <w:iCs/>
          <w:noProof/>
          <w:szCs w:val="24"/>
        </w:rPr>
        <w:t>et al.</w:t>
      </w:r>
      <w:r w:rsidRPr="007E0300">
        <w:rPr>
          <w:rFonts w:ascii="Calibri" w:hAnsi="Calibri" w:cs="Times New Roman"/>
          <w:noProof/>
          <w:szCs w:val="24"/>
        </w:rPr>
        <w:t xml:space="preserve"> The role of dietary protein and vitamin D in maintaining musculoskeletal health in postmenopausal women: a consensus statement from the European Society for Clinical and Economic Aspects of Osteoporosis and Osteoarthritis (ESCEO). </w:t>
      </w:r>
      <w:r w:rsidRPr="007E0300">
        <w:rPr>
          <w:rFonts w:ascii="Calibri" w:hAnsi="Calibri" w:cs="Times New Roman"/>
          <w:i/>
          <w:iCs/>
          <w:noProof/>
          <w:szCs w:val="24"/>
        </w:rPr>
        <w:t>Maturitas</w:t>
      </w:r>
      <w:r w:rsidRPr="007E0300">
        <w:rPr>
          <w:rFonts w:ascii="Calibri" w:hAnsi="Calibri" w:cs="Times New Roman"/>
          <w:noProof/>
          <w:szCs w:val="24"/>
        </w:rPr>
        <w:t xml:space="preserve"> </w:t>
      </w:r>
      <w:r w:rsidRPr="007E0300">
        <w:rPr>
          <w:rFonts w:ascii="Calibri" w:hAnsi="Calibri" w:cs="Times New Roman"/>
          <w:b/>
          <w:bCs/>
          <w:noProof/>
          <w:szCs w:val="24"/>
        </w:rPr>
        <w:t>79,</w:t>
      </w:r>
      <w:r w:rsidRPr="007E0300">
        <w:rPr>
          <w:rFonts w:ascii="Calibri" w:hAnsi="Calibri" w:cs="Times New Roman"/>
          <w:noProof/>
          <w:szCs w:val="24"/>
        </w:rPr>
        <w:t xml:space="preserve"> 122–32 (2014).</w:t>
      </w:r>
    </w:p>
    <w:p w14:paraId="07DA45FD"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BBBBBD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27.</w:t>
      </w:r>
      <w:r w:rsidRPr="007E0300">
        <w:rPr>
          <w:rFonts w:ascii="Calibri" w:hAnsi="Calibri" w:cs="Times New Roman"/>
          <w:noProof/>
          <w:szCs w:val="24"/>
        </w:rPr>
        <w:tab/>
        <w:t xml:space="preserve">Bruyère, O. </w:t>
      </w:r>
      <w:r w:rsidRPr="007E0300">
        <w:rPr>
          <w:rFonts w:ascii="Calibri" w:hAnsi="Calibri" w:cs="Times New Roman"/>
          <w:i/>
          <w:iCs/>
          <w:noProof/>
          <w:szCs w:val="24"/>
        </w:rPr>
        <w:t>et al.</w:t>
      </w:r>
      <w:r w:rsidRPr="007E0300">
        <w:rPr>
          <w:rFonts w:ascii="Calibri" w:hAnsi="Calibri" w:cs="Times New Roman"/>
          <w:noProof/>
          <w:szCs w:val="24"/>
        </w:rPr>
        <w:t xml:space="preserve"> An algorithm recommendation for the management of knee osteoarthritis in Europe and internationally: a report from a task force of the European Society for Clinical and Economic Aspects of Osteoporosis and Osteoarthritis (ESCEO). </w:t>
      </w:r>
      <w:r w:rsidRPr="007E0300">
        <w:rPr>
          <w:rFonts w:ascii="Calibri" w:hAnsi="Calibri" w:cs="Times New Roman"/>
          <w:i/>
          <w:iCs/>
          <w:noProof/>
          <w:szCs w:val="24"/>
        </w:rPr>
        <w:t>Semin. Arthritis Rheum.</w:t>
      </w:r>
      <w:r w:rsidRPr="007E0300">
        <w:rPr>
          <w:rFonts w:ascii="Calibri" w:hAnsi="Calibri" w:cs="Times New Roman"/>
          <w:noProof/>
          <w:szCs w:val="24"/>
        </w:rPr>
        <w:t xml:space="preserve"> </w:t>
      </w:r>
      <w:r w:rsidRPr="007E0300">
        <w:rPr>
          <w:rFonts w:ascii="Calibri" w:hAnsi="Calibri" w:cs="Times New Roman"/>
          <w:b/>
          <w:bCs/>
          <w:noProof/>
          <w:szCs w:val="24"/>
        </w:rPr>
        <w:t>44,</w:t>
      </w:r>
      <w:r w:rsidRPr="007E0300">
        <w:rPr>
          <w:rFonts w:ascii="Calibri" w:hAnsi="Calibri" w:cs="Times New Roman"/>
          <w:noProof/>
          <w:szCs w:val="24"/>
        </w:rPr>
        <w:t xml:space="preserve"> 253–63 (2014).</w:t>
      </w:r>
    </w:p>
    <w:p w14:paraId="4C23465C"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04F03EE"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28.</w:t>
      </w:r>
      <w:r w:rsidRPr="007E0300">
        <w:rPr>
          <w:rFonts w:ascii="Calibri" w:hAnsi="Calibri" w:cs="Times New Roman"/>
          <w:noProof/>
          <w:szCs w:val="24"/>
        </w:rPr>
        <w:tab/>
        <w:t xml:space="preserve">Rizzoli, R. </w:t>
      </w:r>
      <w:r w:rsidRPr="007E0300">
        <w:rPr>
          <w:rFonts w:ascii="Calibri" w:hAnsi="Calibri" w:cs="Times New Roman"/>
          <w:i/>
          <w:iCs/>
          <w:noProof/>
          <w:szCs w:val="24"/>
        </w:rPr>
        <w:t>et al.</w:t>
      </w:r>
      <w:r w:rsidRPr="007E0300">
        <w:rPr>
          <w:rFonts w:ascii="Calibri" w:hAnsi="Calibri" w:cs="Times New Roman"/>
          <w:noProof/>
          <w:szCs w:val="24"/>
        </w:rPr>
        <w:t xml:space="preserve"> Management of osteoporosis of the oldest old. </w:t>
      </w:r>
      <w:r w:rsidRPr="007E0300">
        <w:rPr>
          <w:rFonts w:ascii="Calibri" w:hAnsi="Calibri" w:cs="Times New Roman"/>
          <w:i/>
          <w:iCs/>
          <w:noProof/>
          <w:szCs w:val="24"/>
        </w:rPr>
        <w:t>Osteoporos. Int.</w:t>
      </w:r>
      <w:r w:rsidRPr="007E0300">
        <w:rPr>
          <w:rFonts w:ascii="Calibri" w:hAnsi="Calibri" w:cs="Times New Roman"/>
          <w:noProof/>
          <w:szCs w:val="24"/>
        </w:rPr>
        <w:t xml:space="preserve"> </w:t>
      </w:r>
      <w:r w:rsidRPr="007E0300">
        <w:rPr>
          <w:rFonts w:ascii="Calibri" w:hAnsi="Calibri" w:cs="Times New Roman"/>
          <w:b/>
          <w:bCs/>
          <w:noProof/>
          <w:szCs w:val="24"/>
        </w:rPr>
        <w:t>25,</w:t>
      </w:r>
      <w:r w:rsidRPr="007E0300">
        <w:rPr>
          <w:rFonts w:ascii="Calibri" w:hAnsi="Calibri" w:cs="Times New Roman"/>
          <w:noProof/>
          <w:szCs w:val="24"/>
        </w:rPr>
        <w:t xml:space="preserve"> 2507–29 (2014).</w:t>
      </w:r>
    </w:p>
    <w:p w14:paraId="72566007"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6AEF0F1"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29.</w:t>
      </w:r>
      <w:r w:rsidRPr="007E0300">
        <w:rPr>
          <w:rFonts w:ascii="Calibri" w:hAnsi="Calibri" w:cs="Times New Roman"/>
          <w:noProof/>
          <w:szCs w:val="24"/>
        </w:rPr>
        <w:tab/>
        <w:t xml:space="preserve">Arden, N. </w:t>
      </w:r>
      <w:r w:rsidRPr="007E0300">
        <w:rPr>
          <w:rFonts w:ascii="Calibri" w:hAnsi="Calibri" w:cs="Times New Roman"/>
          <w:i/>
          <w:iCs/>
          <w:noProof/>
          <w:szCs w:val="24"/>
        </w:rPr>
        <w:t>et al.</w:t>
      </w:r>
      <w:r w:rsidRPr="007E0300">
        <w:rPr>
          <w:rFonts w:ascii="Calibri" w:hAnsi="Calibri" w:cs="Times New Roman"/>
          <w:noProof/>
          <w:szCs w:val="24"/>
        </w:rPr>
        <w:t xml:space="preserve"> Can We Identify Patients with High Risk of Osteoarthritis Progression Who Will Respond to Treatment? A Focus on Biomarkers and Frailty. </w:t>
      </w:r>
      <w:r w:rsidRPr="007E0300">
        <w:rPr>
          <w:rFonts w:ascii="Calibri" w:hAnsi="Calibri" w:cs="Times New Roman"/>
          <w:i/>
          <w:iCs/>
          <w:noProof/>
          <w:szCs w:val="24"/>
        </w:rPr>
        <w:t>Drugs Aging</w:t>
      </w:r>
      <w:r w:rsidRPr="007E0300">
        <w:rPr>
          <w:rFonts w:ascii="Calibri" w:hAnsi="Calibri" w:cs="Times New Roman"/>
          <w:noProof/>
          <w:szCs w:val="24"/>
        </w:rPr>
        <w:t xml:space="preserve"> </w:t>
      </w:r>
      <w:r w:rsidRPr="007E0300">
        <w:rPr>
          <w:rFonts w:ascii="Calibri" w:hAnsi="Calibri" w:cs="Times New Roman"/>
          <w:b/>
          <w:bCs/>
          <w:noProof/>
          <w:szCs w:val="24"/>
        </w:rPr>
        <w:t>32,</w:t>
      </w:r>
      <w:r w:rsidRPr="007E0300">
        <w:rPr>
          <w:rFonts w:ascii="Calibri" w:hAnsi="Calibri" w:cs="Times New Roman"/>
          <w:noProof/>
          <w:szCs w:val="24"/>
        </w:rPr>
        <w:t xml:space="preserve"> 525–35 (2015).</w:t>
      </w:r>
    </w:p>
    <w:p w14:paraId="305E3447"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90862D5"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30.</w:t>
      </w:r>
      <w:r w:rsidRPr="007E0300">
        <w:rPr>
          <w:rFonts w:ascii="Calibri" w:hAnsi="Calibri" w:cs="Times New Roman"/>
          <w:noProof/>
          <w:szCs w:val="24"/>
        </w:rPr>
        <w:tab/>
        <w:t xml:space="preserve">Cooper, C. </w:t>
      </w:r>
      <w:r w:rsidRPr="007E0300">
        <w:rPr>
          <w:rFonts w:ascii="Calibri" w:hAnsi="Calibri" w:cs="Times New Roman"/>
          <w:i/>
          <w:iCs/>
          <w:noProof/>
          <w:szCs w:val="24"/>
        </w:rPr>
        <w:t>et al.</w:t>
      </w:r>
      <w:r w:rsidRPr="007E0300">
        <w:rPr>
          <w:rFonts w:ascii="Calibri" w:hAnsi="Calibri" w:cs="Times New Roman"/>
          <w:noProof/>
          <w:szCs w:val="24"/>
        </w:rPr>
        <w:t xml:space="preserve"> How to define responders in osteoarthritis. </w:t>
      </w:r>
      <w:r w:rsidRPr="007E0300">
        <w:rPr>
          <w:rFonts w:ascii="Calibri" w:hAnsi="Calibri" w:cs="Times New Roman"/>
          <w:i/>
          <w:iCs/>
          <w:noProof/>
          <w:szCs w:val="24"/>
        </w:rPr>
        <w:t>Curr. Med. Res. Opin.</w:t>
      </w:r>
      <w:r w:rsidRPr="007E0300">
        <w:rPr>
          <w:rFonts w:ascii="Calibri" w:hAnsi="Calibri" w:cs="Times New Roman"/>
          <w:noProof/>
          <w:szCs w:val="24"/>
        </w:rPr>
        <w:t xml:space="preserve"> </w:t>
      </w:r>
      <w:r w:rsidRPr="007E0300">
        <w:rPr>
          <w:rFonts w:ascii="Calibri" w:hAnsi="Calibri" w:cs="Times New Roman"/>
          <w:b/>
          <w:bCs/>
          <w:noProof/>
          <w:szCs w:val="24"/>
        </w:rPr>
        <w:t>29,</w:t>
      </w:r>
      <w:r w:rsidRPr="007E0300">
        <w:rPr>
          <w:rFonts w:ascii="Calibri" w:hAnsi="Calibri" w:cs="Times New Roman"/>
          <w:noProof/>
          <w:szCs w:val="24"/>
        </w:rPr>
        <w:t xml:space="preserve"> 719–29 (2013).</w:t>
      </w:r>
    </w:p>
    <w:p w14:paraId="41C4537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3C26D52"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31.</w:t>
      </w:r>
      <w:r w:rsidRPr="007E0300">
        <w:rPr>
          <w:rFonts w:ascii="Calibri" w:hAnsi="Calibri" w:cs="Times New Roman"/>
          <w:noProof/>
          <w:szCs w:val="24"/>
        </w:rPr>
        <w:tab/>
        <w:t xml:space="preserve">Rizzoli, R. </w:t>
      </w:r>
      <w:r w:rsidRPr="007E0300">
        <w:rPr>
          <w:rFonts w:ascii="Calibri" w:hAnsi="Calibri" w:cs="Times New Roman"/>
          <w:i/>
          <w:iCs/>
          <w:noProof/>
          <w:szCs w:val="24"/>
        </w:rPr>
        <w:t>et al.</w:t>
      </w:r>
      <w:r w:rsidRPr="007E0300">
        <w:rPr>
          <w:rFonts w:ascii="Calibri" w:hAnsi="Calibri" w:cs="Times New Roman"/>
          <w:noProof/>
          <w:szCs w:val="24"/>
        </w:rPr>
        <w:t xml:space="preserve"> Vitamin D supplementation in elderly or postmenopausal women: a 2013 update of the 2008 recommendations from the European Society for Clinical and Economic Aspects of Osteoporosis and Osteoarthritis (ESCEO). </w:t>
      </w:r>
      <w:r w:rsidRPr="007E0300">
        <w:rPr>
          <w:rFonts w:ascii="Calibri" w:hAnsi="Calibri" w:cs="Times New Roman"/>
          <w:i/>
          <w:iCs/>
          <w:noProof/>
          <w:szCs w:val="24"/>
        </w:rPr>
        <w:t>Curr. Med. Res. Opin.</w:t>
      </w:r>
      <w:r w:rsidRPr="007E0300">
        <w:rPr>
          <w:rFonts w:ascii="Calibri" w:hAnsi="Calibri" w:cs="Times New Roman"/>
          <w:noProof/>
          <w:szCs w:val="24"/>
        </w:rPr>
        <w:t xml:space="preserve"> </w:t>
      </w:r>
      <w:r w:rsidRPr="007E0300">
        <w:rPr>
          <w:rFonts w:ascii="Calibri" w:hAnsi="Calibri" w:cs="Times New Roman"/>
          <w:b/>
          <w:bCs/>
          <w:noProof/>
          <w:szCs w:val="24"/>
        </w:rPr>
        <w:t>29,</w:t>
      </w:r>
      <w:r w:rsidRPr="007E0300">
        <w:rPr>
          <w:rFonts w:ascii="Calibri" w:hAnsi="Calibri" w:cs="Times New Roman"/>
          <w:noProof/>
          <w:szCs w:val="24"/>
        </w:rPr>
        <w:t xml:space="preserve"> 305–13 (2013).</w:t>
      </w:r>
    </w:p>
    <w:p w14:paraId="74E8B70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EC1A7D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32.</w:t>
      </w:r>
      <w:r w:rsidRPr="007E0300">
        <w:rPr>
          <w:rFonts w:ascii="Calibri" w:hAnsi="Calibri" w:cs="Times New Roman"/>
          <w:noProof/>
          <w:szCs w:val="24"/>
        </w:rPr>
        <w:tab/>
        <w:t xml:space="preserve">Kaufman, J.-M. </w:t>
      </w:r>
      <w:r w:rsidRPr="007E0300">
        <w:rPr>
          <w:rFonts w:ascii="Calibri" w:hAnsi="Calibri" w:cs="Times New Roman"/>
          <w:i/>
          <w:iCs/>
          <w:noProof/>
          <w:szCs w:val="24"/>
        </w:rPr>
        <w:t>et al.</w:t>
      </w:r>
      <w:r w:rsidRPr="007E0300">
        <w:rPr>
          <w:rFonts w:ascii="Calibri" w:hAnsi="Calibri" w:cs="Times New Roman"/>
          <w:noProof/>
          <w:szCs w:val="24"/>
        </w:rPr>
        <w:t xml:space="preserve"> Treatment of osteoporosis in men. </w:t>
      </w:r>
      <w:r w:rsidRPr="007E0300">
        <w:rPr>
          <w:rFonts w:ascii="Calibri" w:hAnsi="Calibri" w:cs="Times New Roman"/>
          <w:i/>
          <w:iCs/>
          <w:noProof/>
          <w:szCs w:val="24"/>
        </w:rPr>
        <w:t>Bone</w:t>
      </w:r>
      <w:r w:rsidRPr="007E0300">
        <w:rPr>
          <w:rFonts w:ascii="Calibri" w:hAnsi="Calibri" w:cs="Times New Roman"/>
          <w:noProof/>
          <w:szCs w:val="24"/>
        </w:rPr>
        <w:t xml:space="preserve"> </w:t>
      </w:r>
      <w:r w:rsidRPr="007E0300">
        <w:rPr>
          <w:rFonts w:ascii="Calibri" w:hAnsi="Calibri" w:cs="Times New Roman"/>
          <w:b/>
          <w:bCs/>
          <w:noProof/>
          <w:szCs w:val="24"/>
        </w:rPr>
        <w:t>53,</w:t>
      </w:r>
      <w:r w:rsidRPr="007E0300">
        <w:rPr>
          <w:rFonts w:ascii="Calibri" w:hAnsi="Calibri" w:cs="Times New Roman"/>
          <w:noProof/>
          <w:szCs w:val="24"/>
        </w:rPr>
        <w:t xml:space="preserve"> 134–44 (2013).</w:t>
      </w:r>
    </w:p>
    <w:p w14:paraId="06517E90"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F711368"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33.</w:t>
      </w:r>
      <w:r w:rsidRPr="007E0300">
        <w:rPr>
          <w:rFonts w:ascii="Calibri" w:hAnsi="Calibri" w:cs="Times New Roman"/>
          <w:noProof/>
          <w:szCs w:val="24"/>
        </w:rPr>
        <w:tab/>
        <w:t xml:space="preserve">Rizzoli, R. </w:t>
      </w:r>
      <w:r w:rsidRPr="007E0300">
        <w:rPr>
          <w:rFonts w:ascii="Calibri" w:hAnsi="Calibri" w:cs="Times New Roman"/>
          <w:i/>
          <w:iCs/>
          <w:noProof/>
          <w:szCs w:val="24"/>
        </w:rPr>
        <w:t>et al.</w:t>
      </w:r>
      <w:r w:rsidRPr="007E0300">
        <w:rPr>
          <w:rFonts w:ascii="Calibri" w:hAnsi="Calibri" w:cs="Times New Roman"/>
          <w:noProof/>
          <w:szCs w:val="24"/>
        </w:rPr>
        <w:t xml:space="preserve"> Guidance for the prevention of bone loss and fractures in postmenopausal women treated with aromatase inhibitors for breast cancer: an ESCEO position paper. </w:t>
      </w:r>
      <w:r w:rsidRPr="007E0300">
        <w:rPr>
          <w:rFonts w:ascii="Calibri" w:hAnsi="Calibri" w:cs="Times New Roman"/>
          <w:i/>
          <w:iCs/>
          <w:noProof/>
          <w:szCs w:val="24"/>
        </w:rPr>
        <w:t>Osteoporos. Int.</w:t>
      </w:r>
      <w:r w:rsidRPr="007E0300">
        <w:rPr>
          <w:rFonts w:ascii="Calibri" w:hAnsi="Calibri" w:cs="Times New Roman"/>
          <w:noProof/>
          <w:szCs w:val="24"/>
        </w:rPr>
        <w:t xml:space="preserve"> </w:t>
      </w:r>
      <w:r w:rsidRPr="007E0300">
        <w:rPr>
          <w:rFonts w:ascii="Calibri" w:hAnsi="Calibri" w:cs="Times New Roman"/>
          <w:b/>
          <w:bCs/>
          <w:noProof/>
          <w:szCs w:val="24"/>
        </w:rPr>
        <w:t>23,</w:t>
      </w:r>
      <w:r w:rsidRPr="007E0300">
        <w:rPr>
          <w:rFonts w:ascii="Calibri" w:hAnsi="Calibri" w:cs="Times New Roman"/>
          <w:noProof/>
          <w:szCs w:val="24"/>
        </w:rPr>
        <w:t xml:space="preserve"> 2567–76 (2012).</w:t>
      </w:r>
    </w:p>
    <w:p w14:paraId="3002665B"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71D8859" w14:textId="77777777" w:rsidR="007E0300" w:rsidRPr="00F13C0A" w:rsidRDefault="007E0300">
      <w:pPr>
        <w:widowControl w:val="0"/>
        <w:autoSpaceDE w:val="0"/>
        <w:autoSpaceDN w:val="0"/>
        <w:adjustRightInd w:val="0"/>
        <w:spacing w:after="0" w:line="240" w:lineRule="auto"/>
        <w:ind w:left="640" w:hanging="640"/>
        <w:rPr>
          <w:rFonts w:ascii="Calibri" w:hAnsi="Calibri" w:cs="Times New Roman"/>
          <w:noProof/>
          <w:szCs w:val="24"/>
          <w:lang w:val="fr-BE"/>
        </w:rPr>
      </w:pPr>
      <w:r w:rsidRPr="007E0300">
        <w:rPr>
          <w:rFonts w:ascii="Calibri" w:hAnsi="Calibri" w:cs="Times New Roman"/>
          <w:noProof/>
          <w:szCs w:val="24"/>
        </w:rPr>
        <w:t>34.</w:t>
      </w:r>
      <w:r w:rsidRPr="007E0300">
        <w:rPr>
          <w:rFonts w:ascii="Calibri" w:hAnsi="Calibri" w:cs="Times New Roman"/>
          <w:noProof/>
          <w:szCs w:val="24"/>
        </w:rPr>
        <w:tab/>
        <w:t xml:space="preserve">Reginster, J.-Y. </w:t>
      </w:r>
      <w:r w:rsidRPr="007E0300">
        <w:rPr>
          <w:rFonts w:ascii="Calibri" w:hAnsi="Calibri" w:cs="Times New Roman"/>
          <w:i/>
          <w:iCs/>
          <w:noProof/>
          <w:szCs w:val="24"/>
        </w:rPr>
        <w:t>et al.</w:t>
      </w:r>
      <w:r w:rsidRPr="007E0300">
        <w:rPr>
          <w:rFonts w:ascii="Calibri" w:hAnsi="Calibri" w:cs="Times New Roman"/>
          <w:noProof/>
          <w:szCs w:val="24"/>
        </w:rPr>
        <w:t xml:space="preserve"> Recommendations for an update of the 2010 European regulatory guideline on clinical investigation of medicinal products used in the treatment of </w:t>
      </w:r>
      <w:r w:rsidRPr="007E0300">
        <w:rPr>
          <w:rFonts w:ascii="Calibri" w:hAnsi="Calibri" w:cs="Times New Roman"/>
          <w:noProof/>
          <w:szCs w:val="24"/>
        </w:rPr>
        <w:lastRenderedPageBreak/>
        <w:t xml:space="preserve">osteoarthritis and reflections about related clinically relevant outcomes: expert consensus statement. </w:t>
      </w:r>
      <w:r w:rsidRPr="00F13C0A">
        <w:rPr>
          <w:rFonts w:ascii="Calibri" w:hAnsi="Calibri" w:cs="Times New Roman"/>
          <w:i/>
          <w:iCs/>
          <w:noProof/>
          <w:szCs w:val="24"/>
          <w:lang w:val="fr-BE"/>
        </w:rPr>
        <w:t>Osteoarthritis Cartilage</w:t>
      </w:r>
      <w:r w:rsidRPr="00F13C0A">
        <w:rPr>
          <w:rFonts w:ascii="Calibri" w:hAnsi="Calibri" w:cs="Times New Roman"/>
          <w:noProof/>
          <w:szCs w:val="24"/>
          <w:lang w:val="fr-BE"/>
        </w:rPr>
        <w:t xml:space="preserve"> (2015). doi:10.1016/j.joca.2015.07.001</w:t>
      </w:r>
    </w:p>
    <w:p w14:paraId="7304AF9F" w14:textId="77777777" w:rsidR="007E0300" w:rsidRPr="00F13C0A" w:rsidRDefault="007E0300">
      <w:pPr>
        <w:widowControl w:val="0"/>
        <w:autoSpaceDE w:val="0"/>
        <w:autoSpaceDN w:val="0"/>
        <w:adjustRightInd w:val="0"/>
        <w:spacing w:after="140" w:line="288" w:lineRule="auto"/>
        <w:rPr>
          <w:rFonts w:ascii="Calibri" w:hAnsi="Calibri" w:cs="Times New Roman"/>
          <w:noProof/>
          <w:szCs w:val="24"/>
          <w:lang w:val="fr-BE"/>
        </w:rPr>
      </w:pPr>
    </w:p>
    <w:p w14:paraId="15D2592E"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F13C0A">
        <w:rPr>
          <w:rFonts w:ascii="Calibri" w:hAnsi="Calibri" w:cs="Times New Roman"/>
          <w:noProof/>
          <w:szCs w:val="24"/>
          <w:lang w:val="fr-BE"/>
        </w:rPr>
        <w:t>35.</w:t>
      </w:r>
      <w:r w:rsidRPr="00F13C0A">
        <w:rPr>
          <w:rFonts w:ascii="Calibri" w:hAnsi="Calibri" w:cs="Times New Roman"/>
          <w:noProof/>
          <w:szCs w:val="24"/>
          <w:lang w:val="fr-BE"/>
        </w:rPr>
        <w:tab/>
        <w:t xml:space="preserve">Reginster, J.-Y. </w:t>
      </w:r>
      <w:r w:rsidRPr="00F13C0A">
        <w:rPr>
          <w:rFonts w:ascii="Calibri" w:hAnsi="Calibri" w:cs="Times New Roman"/>
          <w:i/>
          <w:iCs/>
          <w:noProof/>
          <w:szCs w:val="24"/>
          <w:lang w:val="fr-BE"/>
        </w:rPr>
        <w:t>et al.</w:t>
      </w:r>
      <w:r w:rsidRPr="00F13C0A">
        <w:rPr>
          <w:rFonts w:ascii="Calibri" w:hAnsi="Calibri" w:cs="Times New Roman"/>
          <w:noProof/>
          <w:szCs w:val="24"/>
          <w:lang w:val="fr-BE"/>
        </w:rPr>
        <w:t xml:space="preserve"> </w:t>
      </w:r>
      <w:r w:rsidRPr="007E0300">
        <w:rPr>
          <w:rFonts w:ascii="Calibri" w:hAnsi="Calibri" w:cs="Times New Roman"/>
          <w:noProof/>
          <w:szCs w:val="24"/>
        </w:rPr>
        <w:t xml:space="preserve">Recommendations for the conduct of clinical trials for drugs to treat or prevent sarcopenia. </w:t>
      </w:r>
      <w:r w:rsidRPr="007E0300">
        <w:rPr>
          <w:rFonts w:ascii="Calibri" w:hAnsi="Calibri" w:cs="Times New Roman"/>
          <w:i/>
          <w:iCs/>
          <w:noProof/>
          <w:szCs w:val="24"/>
        </w:rPr>
        <w:t>Aging Clin. Exp. Res.</w:t>
      </w:r>
      <w:r w:rsidRPr="007E0300">
        <w:rPr>
          <w:rFonts w:ascii="Calibri" w:hAnsi="Calibri" w:cs="Times New Roman"/>
          <w:noProof/>
          <w:szCs w:val="24"/>
        </w:rPr>
        <w:t xml:space="preserve"> </w:t>
      </w:r>
      <w:r w:rsidRPr="007E0300">
        <w:rPr>
          <w:rFonts w:ascii="Calibri" w:hAnsi="Calibri" w:cs="Times New Roman"/>
          <w:b/>
          <w:bCs/>
          <w:noProof/>
          <w:szCs w:val="24"/>
        </w:rPr>
        <w:t>28,</w:t>
      </w:r>
      <w:r w:rsidRPr="007E0300">
        <w:rPr>
          <w:rFonts w:ascii="Calibri" w:hAnsi="Calibri" w:cs="Times New Roman"/>
          <w:noProof/>
          <w:szCs w:val="24"/>
        </w:rPr>
        <w:t xml:space="preserve"> 47–58 (2015).</w:t>
      </w:r>
    </w:p>
    <w:p w14:paraId="41B3FB4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30BB83CC" w14:textId="77777777" w:rsidR="007E0300" w:rsidRPr="00F13C0A" w:rsidRDefault="007E0300">
      <w:pPr>
        <w:widowControl w:val="0"/>
        <w:autoSpaceDE w:val="0"/>
        <w:autoSpaceDN w:val="0"/>
        <w:adjustRightInd w:val="0"/>
        <w:spacing w:after="0" w:line="240" w:lineRule="auto"/>
        <w:ind w:left="640" w:hanging="640"/>
        <w:rPr>
          <w:rFonts w:ascii="Calibri" w:hAnsi="Calibri" w:cs="Times New Roman"/>
          <w:noProof/>
          <w:szCs w:val="24"/>
          <w:lang w:val="fr-BE"/>
        </w:rPr>
      </w:pPr>
      <w:r w:rsidRPr="007E0300">
        <w:rPr>
          <w:rFonts w:ascii="Calibri" w:hAnsi="Calibri" w:cs="Times New Roman"/>
          <w:noProof/>
          <w:szCs w:val="24"/>
        </w:rPr>
        <w:t>36.</w:t>
      </w:r>
      <w:r w:rsidRPr="007E0300">
        <w:rPr>
          <w:rFonts w:ascii="Calibri" w:hAnsi="Calibri" w:cs="Times New Roman"/>
          <w:noProof/>
          <w:szCs w:val="24"/>
        </w:rPr>
        <w:tab/>
        <w:t xml:space="preserve">Cooper, C. </w:t>
      </w:r>
      <w:r w:rsidRPr="007E0300">
        <w:rPr>
          <w:rFonts w:ascii="Calibri" w:hAnsi="Calibri" w:cs="Times New Roman"/>
          <w:i/>
          <w:iCs/>
          <w:noProof/>
          <w:szCs w:val="24"/>
        </w:rPr>
        <w:t>et al.</w:t>
      </w:r>
      <w:r w:rsidRPr="007E0300">
        <w:rPr>
          <w:rFonts w:ascii="Calibri" w:hAnsi="Calibri" w:cs="Times New Roman"/>
          <w:noProof/>
          <w:szCs w:val="24"/>
        </w:rPr>
        <w:t xml:space="preserve"> Tools in the assessment of sarcopenia. </w:t>
      </w:r>
      <w:r w:rsidRPr="00F13C0A">
        <w:rPr>
          <w:rFonts w:ascii="Calibri" w:hAnsi="Calibri" w:cs="Times New Roman"/>
          <w:i/>
          <w:iCs/>
          <w:noProof/>
          <w:szCs w:val="24"/>
          <w:lang w:val="fr-BE"/>
        </w:rPr>
        <w:t>Calcif Tissue Int</w:t>
      </w:r>
      <w:r w:rsidRPr="00F13C0A">
        <w:rPr>
          <w:rFonts w:ascii="Calibri" w:hAnsi="Calibri" w:cs="Times New Roman"/>
          <w:noProof/>
          <w:szCs w:val="24"/>
          <w:lang w:val="fr-BE"/>
        </w:rPr>
        <w:t xml:space="preserve"> </w:t>
      </w:r>
      <w:r w:rsidRPr="00F13C0A">
        <w:rPr>
          <w:rFonts w:ascii="Calibri" w:hAnsi="Calibri" w:cs="Times New Roman"/>
          <w:b/>
          <w:bCs/>
          <w:noProof/>
          <w:szCs w:val="24"/>
          <w:lang w:val="fr-BE"/>
        </w:rPr>
        <w:t>93,</w:t>
      </w:r>
      <w:r w:rsidRPr="00F13C0A">
        <w:rPr>
          <w:rFonts w:ascii="Calibri" w:hAnsi="Calibri" w:cs="Times New Roman"/>
          <w:noProof/>
          <w:szCs w:val="24"/>
          <w:lang w:val="fr-BE"/>
        </w:rPr>
        <w:t xml:space="preserve"> 201–210 (2013).</w:t>
      </w:r>
    </w:p>
    <w:p w14:paraId="24BBFB02" w14:textId="77777777" w:rsidR="007E0300" w:rsidRPr="00F13C0A" w:rsidRDefault="007E0300">
      <w:pPr>
        <w:widowControl w:val="0"/>
        <w:autoSpaceDE w:val="0"/>
        <w:autoSpaceDN w:val="0"/>
        <w:adjustRightInd w:val="0"/>
        <w:spacing w:after="140" w:line="288" w:lineRule="auto"/>
        <w:rPr>
          <w:rFonts w:ascii="Calibri" w:hAnsi="Calibri" w:cs="Times New Roman"/>
          <w:noProof/>
          <w:szCs w:val="24"/>
          <w:lang w:val="fr-BE"/>
        </w:rPr>
      </w:pPr>
    </w:p>
    <w:p w14:paraId="5A9943A8"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F13C0A">
        <w:rPr>
          <w:rFonts w:ascii="Calibri" w:hAnsi="Calibri" w:cs="Times New Roman"/>
          <w:noProof/>
          <w:szCs w:val="24"/>
          <w:lang w:val="fr-BE"/>
        </w:rPr>
        <w:t>37.</w:t>
      </w:r>
      <w:r w:rsidRPr="00F13C0A">
        <w:rPr>
          <w:rFonts w:ascii="Calibri" w:hAnsi="Calibri" w:cs="Times New Roman"/>
          <w:noProof/>
          <w:szCs w:val="24"/>
          <w:lang w:val="fr-BE"/>
        </w:rPr>
        <w:tab/>
        <w:t xml:space="preserve">Beaudart, C. </w:t>
      </w:r>
      <w:r w:rsidRPr="00F13C0A">
        <w:rPr>
          <w:rFonts w:ascii="Calibri" w:hAnsi="Calibri" w:cs="Times New Roman"/>
          <w:i/>
          <w:iCs/>
          <w:noProof/>
          <w:szCs w:val="24"/>
          <w:lang w:val="fr-BE"/>
        </w:rPr>
        <w:t>et al.</w:t>
      </w:r>
      <w:r w:rsidRPr="00F13C0A">
        <w:rPr>
          <w:rFonts w:ascii="Calibri" w:hAnsi="Calibri" w:cs="Times New Roman"/>
          <w:noProof/>
          <w:szCs w:val="24"/>
          <w:lang w:val="fr-BE"/>
        </w:rPr>
        <w:t xml:space="preserve"> </w:t>
      </w:r>
      <w:r w:rsidRPr="007E0300">
        <w:rPr>
          <w:rFonts w:ascii="Calibri" w:hAnsi="Calibri" w:cs="Times New Roman"/>
          <w:noProof/>
          <w:szCs w:val="24"/>
        </w:rPr>
        <w:t xml:space="preserve">Estimation of sarcopenia prevalence using various assessment tools. </w:t>
      </w:r>
      <w:r w:rsidRPr="007E0300">
        <w:rPr>
          <w:rFonts w:ascii="Calibri" w:hAnsi="Calibri" w:cs="Times New Roman"/>
          <w:i/>
          <w:iCs/>
          <w:noProof/>
          <w:szCs w:val="24"/>
        </w:rPr>
        <w:t>Exp Gerontol</w:t>
      </w:r>
      <w:r w:rsidRPr="007E0300">
        <w:rPr>
          <w:rFonts w:ascii="Calibri" w:hAnsi="Calibri" w:cs="Times New Roman"/>
          <w:noProof/>
          <w:szCs w:val="24"/>
        </w:rPr>
        <w:t xml:space="preserve"> </w:t>
      </w:r>
      <w:r w:rsidRPr="007E0300">
        <w:rPr>
          <w:rFonts w:ascii="Calibri" w:hAnsi="Calibri" w:cs="Times New Roman"/>
          <w:b/>
          <w:bCs/>
          <w:noProof/>
          <w:szCs w:val="24"/>
        </w:rPr>
        <w:t>61C,</w:t>
      </w:r>
      <w:r w:rsidRPr="007E0300">
        <w:rPr>
          <w:rFonts w:ascii="Calibri" w:hAnsi="Calibri" w:cs="Times New Roman"/>
          <w:noProof/>
          <w:szCs w:val="24"/>
        </w:rPr>
        <w:t xml:space="preserve"> 31–37 (2014).</w:t>
      </w:r>
    </w:p>
    <w:p w14:paraId="44C56C42"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4D6ECDA"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38.</w:t>
      </w:r>
      <w:r w:rsidRPr="007E0300">
        <w:rPr>
          <w:rFonts w:ascii="Calibri" w:hAnsi="Calibri" w:cs="Times New Roman"/>
          <w:noProof/>
          <w:szCs w:val="24"/>
        </w:rPr>
        <w:tab/>
        <w:t>Cavalier, E., Beaudart, C., Buckinx, F., Bruyère, O. &amp; Reginster, J.-Y. Critical analytical evaluation of promising markers for sarcopenia. (2015). at &lt;http://www.em-consulte.com/en/article/1021209&gt;</w:t>
      </w:r>
    </w:p>
    <w:p w14:paraId="24494EF9"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B676FE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39.</w:t>
      </w:r>
      <w:r w:rsidRPr="007E0300">
        <w:rPr>
          <w:rFonts w:ascii="Calibri" w:hAnsi="Calibri" w:cs="Times New Roman"/>
          <w:noProof/>
          <w:szCs w:val="24"/>
        </w:rPr>
        <w:tab/>
        <w:t xml:space="preserve">Mitsiopoulos, N. </w:t>
      </w:r>
      <w:r w:rsidRPr="007E0300">
        <w:rPr>
          <w:rFonts w:ascii="Calibri" w:hAnsi="Calibri" w:cs="Times New Roman"/>
          <w:i/>
          <w:iCs/>
          <w:noProof/>
          <w:szCs w:val="24"/>
        </w:rPr>
        <w:t>et al.</w:t>
      </w:r>
      <w:r w:rsidRPr="007E0300">
        <w:rPr>
          <w:rFonts w:ascii="Calibri" w:hAnsi="Calibri" w:cs="Times New Roman"/>
          <w:noProof/>
          <w:szCs w:val="24"/>
        </w:rPr>
        <w:t xml:space="preserve"> Cadaver validation of skeletal muscle measurement by magnetic resonance imaging and computerized tomography. </w:t>
      </w:r>
      <w:r w:rsidRPr="007E0300">
        <w:rPr>
          <w:rFonts w:ascii="Calibri" w:hAnsi="Calibri" w:cs="Times New Roman"/>
          <w:i/>
          <w:iCs/>
          <w:noProof/>
          <w:szCs w:val="24"/>
        </w:rPr>
        <w:t>J. Appl. Physiol.</w:t>
      </w:r>
      <w:r w:rsidRPr="007E0300">
        <w:rPr>
          <w:rFonts w:ascii="Calibri" w:hAnsi="Calibri" w:cs="Times New Roman"/>
          <w:noProof/>
          <w:szCs w:val="24"/>
        </w:rPr>
        <w:t xml:space="preserve"> </w:t>
      </w:r>
      <w:r w:rsidRPr="007E0300">
        <w:rPr>
          <w:rFonts w:ascii="Calibri" w:hAnsi="Calibri" w:cs="Times New Roman"/>
          <w:b/>
          <w:bCs/>
          <w:noProof/>
          <w:szCs w:val="24"/>
        </w:rPr>
        <w:t>85,</w:t>
      </w:r>
      <w:r w:rsidRPr="007E0300">
        <w:rPr>
          <w:rFonts w:ascii="Calibri" w:hAnsi="Calibri" w:cs="Times New Roman"/>
          <w:noProof/>
          <w:szCs w:val="24"/>
        </w:rPr>
        <w:t xml:space="preserve"> 115–22 (1998).</w:t>
      </w:r>
    </w:p>
    <w:p w14:paraId="3A3C319B"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3247CE7E"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40.</w:t>
      </w:r>
      <w:r w:rsidRPr="007E0300">
        <w:rPr>
          <w:rFonts w:ascii="Calibri" w:hAnsi="Calibri" w:cs="Times New Roman"/>
          <w:noProof/>
          <w:szCs w:val="24"/>
        </w:rPr>
        <w:tab/>
        <w:t xml:space="preserve">Levine, J. A. </w:t>
      </w:r>
      <w:r w:rsidRPr="007E0300">
        <w:rPr>
          <w:rFonts w:ascii="Calibri" w:hAnsi="Calibri" w:cs="Times New Roman"/>
          <w:i/>
          <w:iCs/>
          <w:noProof/>
          <w:szCs w:val="24"/>
        </w:rPr>
        <w:t>et al.</w:t>
      </w:r>
      <w:r w:rsidRPr="007E0300">
        <w:rPr>
          <w:rFonts w:ascii="Calibri" w:hAnsi="Calibri" w:cs="Times New Roman"/>
          <w:noProof/>
          <w:szCs w:val="24"/>
        </w:rPr>
        <w:t xml:space="preserve"> Measuring leg muscle and fat mass in humans: comparison of CT and dual-energy X-ray absorptiometry. </w:t>
      </w:r>
      <w:r w:rsidRPr="007E0300">
        <w:rPr>
          <w:rFonts w:ascii="Calibri" w:hAnsi="Calibri" w:cs="Times New Roman"/>
          <w:i/>
          <w:iCs/>
          <w:noProof/>
          <w:szCs w:val="24"/>
        </w:rPr>
        <w:t>J. Appl. Physiol.</w:t>
      </w:r>
      <w:r w:rsidRPr="007E0300">
        <w:rPr>
          <w:rFonts w:ascii="Calibri" w:hAnsi="Calibri" w:cs="Times New Roman"/>
          <w:noProof/>
          <w:szCs w:val="24"/>
        </w:rPr>
        <w:t xml:space="preserve"> </w:t>
      </w:r>
      <w:r w:rsidRPr="007E0300">
        <w:rPr>
          <w:rFonts w:ascii="Calibri" w:hAnsi="Calibri" w:cs="Times New Roman"/>
          <w:b/>
          <w:bCs/>
          <w:noProof/>
          <w:szCs w:val="24"/>
        </w:rPr>
        <w:t>88,</w:t>
      </w:r>
      <w:r w:rsidRPr="007E0300">
        <w:rPr>
          <w:rFonts w:ascii="Calibri" w:hAnsi="Calibri" w:cs="Times New Roman"/>
          <w:noProof/>
          <w:szCs w:val="24"/>
        </w:rPr>
        <w:t xml:space="preserve"> 452–6 (2000).</w:t>
      </w:r>
    </w:p>
    <w:p w14:paraId="07C980AF"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85A62E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41.</w:t>
      </w:r>
      <w:r w:rsidRPr="007E0300">
        <w:rPr>
          <w:rFonts w:ascii="Calibri" w:hAnsi="Calibri" w:cs="Times New Roman"/>
          <w:noProof/>
          <w:szCs w:val="24"/>
        </w:rPr>
        <w:tab/>
        <w:t xml:space="preserve">Visser, M., Fuerst, T., Lang, T., Salamone, L. &amp; Harris, T. B. Validity of fan-beam dual-energy X-ray absorptiometry for measuring fat-free mass and leg muscle mass. Health, Aging, and Body Composition Study--Dual-Energy X-ray Absorptiometry and Body Composition Working Group. </w:t>
      </w:r>
      <w:r w:rsidRPr="007E0300">
        <w:rPr>
          <w:rFonts w:ascii="Calibri" w:hAnsi="Calibri" w:cs="Times New Roman"/>
          <w:i/>
          <w:iCs/>
          <w:noProof/>
          <w:szCs w:val="24"/>
        </w:rPr>
        <w:t>J. Appl. Physiol.</w:t>
      </w:r>
      <w:r w:rsidRPr="007E0300">
        <w:rPr>
          <w:rFonts w:ascii="Calibri" w:hAnsi="Calibri" w:cs="Times New Roman"/>
          <w:noProof/>
          <w:szCs w:val="24"/>
        </w:rPr>
        <w:t xml:space="preserve"> </w:t>
      </w:r>
      <w:r w:rsidRPr="007E0300">
        <w:rPr>
          <w:rFonts w:ascii="Calibri" w:hAnsi="Calibri" w:cs="Times New Roman"/>
          <w:b/>
          <w:bCs/>
          <w:noProof/>
          <w:szCs w:val="24"/>
        </w:rPr>
        <w:t>87,</w:t>
      </w:r>
      <w:r w:rsidRPr="007E0300">
        <w:rPr>
          <w:rFonts w:ascii="Calibri" w:hAnsi="Calibri" w:cs="Times New Roman"/>
          <w:noProof/>
          <w:szCs w:val="24"/>
        </w:rPr>
        <w:t xml:space="preserve"> 1513–20 (1999).</w:t>
      </w:r>
    </w:p>
    <w:p w14:paraId="1E924EDB"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DE7EDD7"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42.</w:t>
      </w:r>
      <w:r w:rsidRPr="007E0300">
        <w:rPr>
          <w:rFonts w:ascii="Calibri" w:hAnsi="Calibri" w:cs="Times New Roman"/>
          <w:noProof/>
          <w:szCs w:val="24"/>
        </w:rPr>
        <w:tab/>
        <w:t xml:space="preserve">Janssen, I., Heymsfield, S. B. &amp; Ross, R. Low relative skeletal muscle mass (sarcopenia) in older persons is associated with functional impairment and physical disability. </w:t>
      </w:r>
      <w:r w:rsidRPr="007E0300">
        <w:rPr>
          <w:rFonts w:ascii="Calibri" w:hAnsi="Calibri" w:cs="Times New Roman"/>
          <w:i/>
          <w:iCs/>
          <w:noProof/>
          <w:szCs w:val="24"/>
        </w:rPr>
        <w:t>J Am Geriatr Soc</w:t>
      </w:r>
      <w:r w:rsidRPr="007E0300">
        <w:rPr>
          <w:rFonts w:ascii="Calibri" w:hAnsi="Calibri" w:cs="Times New Roman"/>
          <w:noProof/>
          <w:szCs w:val="24"/>
        </w:rPr>
        <w:t xml:space="preserve"> </w:t>
      </w:r>
      <w:r w:rsidRPr="007E0300">
        <w:rPr>
          <w:rFonts w:ascii="Calibri" w:hAnsi="Calibri" w:cs="Times New Roman"/>
          <w:b/>
          <w:bCs/>
          <w:noProof/>
          <w:szCs w:val="24"/>
        </w:rPr>
        <w:t>50,</w:t>
      </w:r>
      <w:r w:rsidRPr="007E0300">
        <w:rPr>
          <w:rFonts w:ascii="Calibri" w:hAnsi="Calibri" w:cs="Times New Roman"/>
          <w:noProof/>
          <w:szCs w:val="24"/>
        </w:rPr>
        <w:t xml:space="preserve"> 889–896 (2002).</w:t>
      </w:r>
    </w:p>
    <w:p w14:paraId="759C397A"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555FE9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43.</w:t>
      </w:r>
      <w:r w:rsidRPr="007E0300">
        <w:rPr>
          <w:rFonts w:ascii="Calibri" w:hAnsi="Calibri" w:cs="Times New Roman"/>
          <w:noProof/>
          <w:szCs w:val="24"/>
        </w:rPr>
        <w:tab/>
        <w:t xml:space="preserve">Rush, E. C., Freitas, I. &amp; Plank, L. D. Body size, body composition and fat distribution: comparative analysis of European, Maori, Pacific Island and Asian Indian adults. </w:t>
      </w:r>
      <w:r w:rsidRPr="007E0300">
        <w:rPr>
          <w:rFonts w:ascii="Calibri" w:hAnsi="Calibri" w:cs="Times New Roman"/>
          <w:i/>
          <w:iCs/>
          <w:noProof/>
          <w:szCs w:val="24"/>
        </w:rPr>
        <w:t>Br. J. Nutr.</w:t>
      </w:r>
      <w:r w:rsidRPr="007E0300">
        <w:rPr>
          <w:rFonts w:ascii="Calibri" w:hAnsi="Calibri" w:cs="Times New Roman"/>
          <w:noProof/>
          <w:szCs w:val="24"/>
        </w:rPr>
        <w:t xml:space="preserve"> </w:t>
      </w:r>
      <w:r w:rsidRPr="007E0300">
        <w:rPr>
          <w:rFonts w:ascii="Calibri" w:hAnsi="Calibri" w:cs="Times New Roman"/>
          <w:b/>
          <w:bCs/>
          <w:noProof/>
          <w:szCs w:val="24"/>
        </w:rPr>
        <w:t>102,</w:t>
      </w:r>
      <w:r w:rsidRPr="007E0300">
        <w:rPr>
          <w:rFonts w:ascii="Calibri" w:hAnsi="Calibri" w:cs="Times New Roman"/>
          <w:noProof/>
          <w:szCs w:val="24"/>
        </w:rPr>
        <w:t xml:space="preserve"> 632–41 (2009).</w:t>
      </w:r>
    </w:p>
    <w:p w14:paraId="4F140D9E"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F5B336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44.</w:t>
      </w:r>
      <w:r w:rsidRPr="007E0300">
        <w:rPr>
          <w:rFonts w:ascii="Calibri" w:hAnsi="Calibri" w:cs="Times New Roman"/>
          <w:noProof/>
          <w:szCs w:val="24"/>
        </w:rPr>
        <w:tab/>
        <w:t xml:space="preserve">Bruyère, O. </w:t>
      </w:r>
      <w:r w:rsidRPr="007E0300">
        <w:rPr>
          <w:rFonts w:ascii="Calibri" w:hAnsi="Calibri" w:cs="Times New Roman"/>
          <w:i/>
          <w:iCs/>
          <w:noProof/>
          <w:szCs w:val="24"/>
        </w:rPr>
        <w:t>et al.</w:t>
      </w:r>
      <w:r w:rsidRPr="007E0300">
        <w:rPr>
          <w:rFonts w:ascii="Calibri" w:hAnsi="Calibri" w:cs="Times New Roman"/>
          <w:noProof/>
          <w:szCs w:val="24"/>
        </w:rPr>
        <w:t xml:space="preserve"> Assessment of muscle mass, muscle strength and physical performance in clinical practice: An international survey. </w:t>
      </w:r>
      <w:r w:rsidRPr="007E0300">
        <w:rPr>
          <w:rFonts w:ascii="Calibri" w:hAnsi="Calibri" w:cs="Times New Roman"/>
          <w:i/>
          <w:iCs/>
          <w:noProof/>
          <w:szCs w:val="24"/>
        </w:rPr>
        <w:t>Eur. Geriatr. Med.</w:t>
      </w:r>
      <w:r w:rsidRPr="007E0300">
        <w:rPr>
          <w:rFonts w:ascii="Calibri" w:hAnsi="Calibri" w:cs="Times New Roman"/>
          <w:noProof/>
          <w:szCs w:val="24"/>
        </w:rPr>
        <w:t xml:space="preserve"> </w:t>
      </w:r>
      <w:r w:rsidRPr="007E0300">
        <w:rPr>
          <w:rFonts w:ascii="Calibri" w:hAnsi="Calibri" w:cs="Times New Roman"/>
          <w:b/>
          <w:bCs/>
          <w:noProof/>
          <w:szCs w:val="24"/>
        </w:rPr>
        <w:t>7,</w:t>
      </w:r>
      <w:r w:rsidRPr="007E0300">
        <w:rPr>
          <w:rFonts w:ascii="Calibri" w:hAnsi="Calibri" w:cs="Times New Roman"/>
          <w:noProof/>
          <w:szCs w:val="24"/>
        </w:rPr>
        <w:t xml:space="preserve"> 243–246 (2016).</w:t>
      </w:r>
    </w:p>
    <w:p w14:paraId="78D0ABF2"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8614A76"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45.</w:t>
      </w:r>
      <w:r w:rsidRPr="007E0300">
        <w:rPr>
          <w:rFonts w:ascii="Calibri" w:hAnsi="Calibri" w:cs="Times New Roman"/>
          <w:noProof/>
          <w:szCs w:val="24"/>
        </w:rPr>
        <w:tab/>
        <w:t xml:space="preserve">Landi, F. </w:t>
      </w:r>
      <w:r w:rsidRPr="007E0300">
        <w:rPr>
          <w:rFonts w:ascii="Calibri" w:hAnsi="Calibri" w:cs="Times New Roman"/>
          <w:i/>
          <w:iCs/>
          <w:noProof/>
          <w:szCs w:val="24"/>
        </w:rPr>
        <w:t>et al.</w:t>
      </w:r>
      <w:r w:rsidRPr="007E0300">
        <w:rPr>
          <w:rFonts w:ascii="Calibri" w:hAnsi="Calibri" w:cs="Times New Roman"/>
          <w:noProof/>
          <w:szCs w:val="24"/>
        </w:rPr>
        <w:t xml:space="preserve"> Midarm muscle circumference, physical performance and mortality: results from the aging and longevity study in the Sirente geographic area (ilSIRENTE study). </w:t>
      </w:r>
      <w:r w:rsidRPr="007E0300">
        <w:rPr>
          <w:rFonts w:ascii="Calibri" w:hAnsi="Calibri" w:cs="Times New Roman"/>
          <w:i/>
          <w:iCs/>
          <w:noProof/>
          <w:szCs w:val="24"/>
        </w:rPr>
        <w:t>Clin Nutr</w:t>
      </w:r>
      <w:r w:rsidRPr="007E0300">
        <w:rPr>
          <w:rFonts w:ascii="Calibri" w:hAnsi="Calibri" w:cs="Times New Roman"/>
          <w:noProof/>
          <w:szCs w:val="24"/>
        </w:rPr>
        <w:t xml:space="preserve"> </w:t>
      </w:r>
      <w:r w:rsidRPr="007E0300">
        <w:rPr>
          <w:rFonts w:ascii="Calibri" w:hAnsi="Calibri" w:cs="Times New Roman"/>
          <w:b/>
          <w:bCs/>
          <w:noProof/>
          <w:szCs w:val="24"/>
        </w:rPr>
        <w:t>29,</w:t>
      </w:r>
      <w:r w:rsidRPr="007E0300">
        <w:rPr>
          <w:rFonts w:ascii="Calibri" w:hAnsi="Calibri" w:cs="Times New Roman"/>
          <w:noProof/>
          <w:szCs w:val="24"/>
        </w:rPr>
        <w:t xml:space="preserve"> 441–447 (2010).</w:t>
      </w:r>
    </w:p>
    <w:p w14:paraId="47729245"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1622F38"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46.</w:t>
      </w:r>
      <w:r w:rsidRPr="007E0300">
        <w:rPr>
          <w:rFonts w:ascii="Calibri" w:hAnsi="Calibri" w:cs="Times New Roman"/>
          <w:noProof/>
          <w:szCs w:val="24"/>
        </w:rPr>
        <w:tab/>
        <w:t xml:space="preserve">Landi, F. </w:t>
      </w:r>
      <w:r w:rsidRPr="007E0300">
        <w:rPr>
          <w:rFonts w:ascii="Calibri" w:hAnsi="Calibri" w:cs="Times New Roman"/>
          <w:i/>
          <w:iCs/>
          <w:noProof/>
          <w:szCs w:val="24"/>
        </w:rPr>
        <w:t>et al.</w:t>
      </w:r>
      <w:r w:rsidRPr="007E0300">
        <w:rPr>
          <w:rFonts w:ascii="Calibri" w:hAnsi="Calibri" w:cs="Times New Roman"/>
          <w:noProof/>
          <w:szCs w:val="24"/>
        </w:rPr>
        <w:t xml:space="preserve"> Calf circumference, frailty and physical performance among older adults living in the community. </w:t>
      </w:r>
      <w:r w:rsidRPr="007E0300">
        <w:rPr>
          <w:rFonts w:ascii="Calibri" w:hAnsi="Calibri" w:cs="Times New Roman"/>
          <w:i/>
          <w:iCs/>
          <w:noProof/>
          <w:szCs w:val="24"/>
        </w:rPr>
        <w:t>Clin. Nutr.</w:t>
      </w:r>
      <w:r w:rsidRPr="007E0300">
        <w:rPr>
          <w:rFonts w:ascii="Calibri" w:hAnsi="Calibri" w:cs="Times New Roman"/>
          <w:noProof/>
          <w:szCs w:val="24"/>
        </w:rPr>
        <w:t xml:space="preserve"> </w:t>
      </w:r>
      <w:r w:rsidRPr="007E0300">
        <w:rPr>
          <w:rFonts w:ascii="Calibri" w:hAnsi="Calibri" w:cs="Times New Roman"/>
          <w:b/>
          <w:bCs/>
          <w:noProof/>
          <w:szCs w:val="24"/>
        </w:rPr>
        <w:t>33,</w:t>
      </w:r>
      <w:r w:rsidRPr="007E0300">
        <w:rPr>
          <w:rFonts w:ascii="Calibri" w:hAnsi="Calibri" w:cs="Times New Roman"/>
          <w:noProof/>
          <w:szCs w:val="24"/>
        </w:rPr>
        <w:t xml:space="preserve"> 539–44 (2014).</w:t>
      </w:r>
    </w:p>
    <w:p w14:paraId="7EBA3C20"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9A18E16"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47.</w:t>
      </w:r>
      <w:r w:rsidRPr="007E0300">
        <w:rPr>
          <w:rFonts w:ascii="Calibri" w:hAnsi="Calibri" w:cs="Times New Roman"/>
          <w:noProof/>
          <w:szCs w:val="24"/>
        </w:rPr>
        <w:tab/>
        <w:t xml:space="preserve">Rolland, Y. </w:t>
      </w:r>
      <w:r w:rsidRPr="007E0300">
        <w:rPr>
          <w:rFonts w:ascii="Calibri" w:hAnsi="Calibri" w:cs="Times New Roman"/>
          <w:i/>
          <w:iCs/>
          <w:noProof/>
          <w:szCs w:val="24"/>
        </w:rPr>
        <w:t>et al.</w:t>
      </w:r>
      <w:r w:rsidRPr="007E0300">
        <w:rPr>
          <w:rFonts w:ascii="Calibri" w:hAnsi="Calibri" w:cs="Times New Roman"/>
          <w:noProof/>
          <w:szCs w:val="24"/>
        </w:rPr>
        <w:t xml:space="preserve"> Sarcopenia, calf circumference, and physical function of elderly women: a cross-sectional study. </w:t>
      </w:r>
      <w:r w:rsidRPr="007E0300">
        <w:rPr>
          <w:rFonts w:ascii="Calibri" w:hAnsi="Calibri" w:cs="Times New Roman"/>
          <w:i/>
          <w:iCs/>
          <w:noProof/>
          <w:szCs w:val="24"/>
        </w:rPr>
        <w:t>J Am Geriatr Soc</w:t>
      </w:r>
      <w:r w:rsidRPr="007E0300">
        <w:rPr>
          <w:rFonts w:ascii="Calibri" w:hAnsi="Calibri" w:cs="Times New Roman"/>
          <w:noProof/>
          <w:szCs w:val="24"/>
        </w:rPr>
        <w:t xml:space="preserve"> </w:t>
      </w:r>
      <w:r w:rsidRPr="007E0300">
        <w:rPr>
          <w:rFonts w:ascii="Calibri" w:hAnsi="Calibri" w:cs="Times New Roman"/>
          <w:b/>
          <w:bCs/>
          <w:noProof/>
          <w:szCs w:val="24"/>
        </w:rPr>
        <w:t>51,</w:t>
      </w:r>
      <w:r w:rsidRPr="007E0300">
        <w:rPr>
          <w:rFonts w:ascii="Calibri" w:hAnsi="Calibri" w:cs="Times New Roman"/>
          <w:noProof/>
          <w:szCs w:val="24"/>
        </w:rPr>
        <w:t xml:space="preserve"> 1120–1124 (2003).</w:t>
      </w:r>
    </w:p>
    <w:p w14:paraId="55D4C293"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E396069"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48.</w:t>
      </w:r>
      <w:r w:rsidRPr="007E0300">
        <w:rPr>
          <w:rFonts w:ascii="Calibri" w:hAnsi="Calibri" w:cs="Times New Roman"/>
          <w:noProof/>
          <w:szCs w:val="24"/>
        </w:rPr>
        <w:tab/>
        <w:t xml:space="preserve">Heymsfield, S. B., McManus, C., Smith, J., Stevens, V. &amp; Nixon, D. W. Anthropometric measurement of muscle mass: revised equations for calculating bone-free arm muscle area. </w:t>
      </w:r>
      <w:r w:rsidRPr="007E0300">
        <w:rPr>
          <w:rFonts w:ascii="Calibri" w:hAnsi="Calibri" w:cs="Times New Roman"/>
          <w:i/>
          <w:iCs/>
          <w:noProof/>
          <w:szCs w:val="24"/>
        </w:rPr>
        <w:t>Am. J. Clin. Nutr.</w:t>
      </w:r>
      <w:r w:rsidRPr="007E0300">
        <w:rPr>
          <w:rFonts w:ascii="Calibri" w:hAnsi="Calibri" w:cs="Times New Roman"/>
          <w:noProof/>
          <w:szCs w:val="24"/>
        </w:rPr>
        <w:t xml:space="preserve"> </w:t>
      </w:r>
      <w:r w:rsidRPr="007E0300">
        <w:rPr>
          <w:rFonts w:ascii="Calibri" w:hAnsi="Calibri" w:cs="Times New Roman"/>
          <w:b/>
          <w:bCs/>
          <w:noProof/>
          <w:szCs w:val="24"/>
        </w:rPr>
        <w:t>36,</w:t>
      </w:r>
      <w:r w:rsidRPr="007E0300">
        <w:rPr>
          <w:rFonts w:ascii="Calibri" w:hAnsi="Calibri" w:cs="Times New Roman"/>
          <w:noProof/>
          <w:szCs w:val="24"/>
        </w:rPr>
        <w:t xml:space="preserve"> 680–90 (1982).</w:t>
      </w:r>
    </w:p>
    <w:p w14:paraId="5A348245"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B76810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49.</w:t>
      </w:r>
      <w:r w:rsidRPr="007E0300">
        <w:rPr>
          <w:rFonts w:ascii="Calibri" w:hAnsi="Calibri" w:cs="Times New Roman"/>
          <w:noProof/>
          <w:szCs w:val="24"/>
        </w:rPr>
        <w:tab/>
        <w:t xml:space="preserve">Kulkarni, B. </w:t>
      </w:r>
      <w:r w:rsidRPr="007E0300">
        <w:rPr>
          <w:rFonts w:ascii="Calibri" w:hAnsi="Calibri" w:cs="Times New Roman"/>
          <w:i/>
          <w:iCs/>
          <w:noProof/>
          <w:szCs w:val="24"/>
        </w:rPr>
        <w:t>et al.</w:t>
      </w:r>
      <w:r w:rsidRPr="007E0300">
        <w:rPr>
          <w:rFonts w:ascii="Calibri" w:hAnsi="Calibri" w:cs="Times New Roman"/>
          <w:noProof/>
          <w:szCs w:val="24"/>
        </w:rPr>
        <w:t xml:space="preserve"> Development and validation of anthropometric prediction equations for estimation of lean body mass and appendicular lean soft tissue in Indian men and women. </w:t>
      </w:r>
      <w:r w:rsidRPr="007E0300">
        <w:rPr>
          <w:rFonts w:ascii="Calibri" w:hAnsi="Calibri" w:cs="Times New Roman"/>
          <w:i/>
          <w:iCs/>
          <w:noProof/>
          <w:szCs w:val="24"/>
        </w:rPr>
        <w:t>J. Appl. Physiol.</w:t>
      </w:r>
      <w:r w:rsidRPr="007E0300">
        <w:rPr>
          <w:rFonts w:ascii="Calibri" w:hAnsi="Calibri" w:cs="Times New Roman"/>
          <w:noProof/>
          <w:szCs w:val="24"/>
        </w:rPr>
        <w:t xml:space="preserve"> </w:t>
      </w:r>
      <w:r w:rsidRPr="007E0300">
        <w:rPr>
          <w:rFonts w:ascii="Calibri" w:hAnsi="Calibri" w:cs="Times New Roman"/>
          <w:b/>
          <w:bCs/>
          <w:noProof/>
          <w:szCs w:val="24"/>
        </w:rPr>
        <w:t>115,</w:t>
      </w:r>
      <w:r w:rsidRPr="007E0300">
        <w:rPr>
          <w:rFonts w:ascii="Calibri" w:hAnsi="Calibri" w:cs="Times New Roman"/>
          <w:noProof/>
          <w:szCs w:val="24"/>
        </w:rPr>
        <w:t xml:space="preserve"> 1156–1162 (2013).</w:t>
      </w:r>
    </w:p>
    <w:p w14:paraId="7C4011CC"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0F7CAC7"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50.</w:t>
      </w:r>
      <w:r w:rsidRPr="007E0300">
        <w:rPr>
          <w:rFonts w:ascii="Calibri" w:hAnsi="Calibri" w:cs="Times New Roman"/>
          <w:noProof/>
          <w:szCs w:val="24"/>
        </w:rPr>
        <w:tab/>
        <w:t xml:space="preserve">Yu, S. </w:t>
      </w:r>
      <w:r w:rsidRPr="007E0300">
        <w:rPr>
          <w:rFonts w:ascii="Calibri" w:hAnsi="Calibri" w:cs="Times New Roman"/>
          <w:i/>
          <w:iCs/>
          <w:noProof/>
          <w:szCs w:val="24"/>
        </w:rPr>
        <w:t>et al.</w:t>
      </w:r>
      <w:r w:rsidRPr="007E0300">
        <w:rPr>
          <w:rFonts w:ascii="Calibri" w:hAnsi="Calibri" w:cs="Times New Roman"/>
          <w:noProof/>
          <w:szCs w:val="24"/>
        </w:rPr>
        <w:t xml:space="preserve"> An anthropometric prediction equation for appendicular skeletal muscle mass in combination with a measure of muscle function to screen for sarcopenia in primary and aged care.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16,</w:t>
      </w:r>
      <w:r w:rsidRPr="007E0300">
        <w:rPr>
          <w:rFonts w:ascii="Calibri" w:hAnsi="Calibri" w:cs="Times New Roman"/>
          <w:noProof/>
          <w:szCs w:val="24"/>
        </w:rPr>
        <w:t xml:space="preserve"> 25–30 (2015).</w:t>
      </w:r>
    </w:p>
    <w:p w14:paraId="7D2AFDF2"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55D1BF4"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51.</w:t>
      </w:r>
      <w:r w:rsidRPr="007E0300">
        <w:rPr>
          <w:rFonts w:ascii="Calibri" w:hAnsi="Calibri" w:cs="Times New Roman"/>
          <w:noProof/>
          <w:szCs w:val="24"/>
        </w:rPr>
        <w:tab/>
        <w:t xml:space="preserve">Villani, A. M. </w:t>
      </w:r>
      <w:r w:rsidRPr="007E0300">
        <w:rPr>
          <w:rFonts w:ascii="Calibri" w:hAnsi="Calibri" w:cs="Times New Roman"/>
          <w:i/>
          <w:iCs/>
          <w:noProof/>
          <w:szCs w:val="24"/>
        </w:rPr>
        <w:t>et al.</w:t>
      </w:r>
      <w:r w:rsidRPr="007E0300">
        <w:rPr>
          <w:rFonts w:ascii="Calibri" w:hAnsi="Calibri" w:cs="Times New Roman"/>
          <w:noProof/>
          <w:szCs w:val="24"/>
        </w:rPr>
        <w:t xml:space="preserve"> Appendicular skeletal muscle in hospitalised hip-fracture patients: development and cross-validation of anthropometric prediction equations against dual-energy X-ray absorptiometry. </w:t>
      </w:r>
      <w:r w:rsidRPr="007E0300">
        <w:rPr>
          <w:rFonts w:ascii="Calibri" w:hAnsi="Calibri" w:cs="Times New Roman"/>
          <w:i/>
          <w:iCs/>
          <w:noProof/>
          <w:szCs w:val="24"/>
        </w:rPr>
        <w:t>Age Ageing</w:t>
      </w:r>
      <w:r w:rsidRPr="007E0300">
        <w:rPr>
          <w:rFonts w:ascii="Calibri" w:hAnsi="Calibri" w:cs="Times New Roman"/>
          <w:noProof/>
          <w:szCs w:val="24"/>
        </w:rPr>
        <w:t xml:space="preserve"> </w:t>
      </w:r>
      <w:r w:rsidRPr="007E0300">
        <w:rPr>
          <w:rFonts w:ascii="Calibri" w:hAnsi="Calibri" w:cs="Times New Roman"/>
          <w:b/>
          <w:bCs/>
          <w:noProof/>
          <w:szCs w:val="24"/>
        </w:rPr>
        <w:t>43,</w:t>
      </w:r>
      <w:r w:rsidRPr="007E0300">
        <w:rPr>
          <w:rFonts w:ascii="Calibri" w:hAnsi="Calibri" w:cs="Times New Roman"/>
          <w:noProof/>
          <w:szCs w:val="24"/>
        </w:rPr>
        <w:t xml:space="preserve"> 857–62 (2014).</w:t>
      </w:r>
    </w:p>
    <w:p w14:paraId="10066757"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0B72648"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52.</w:t>
      </w:r>
      <w:r w:rsidRPr="007E0300">
        <w:rPr>
          <w:rFonts w:ascii="Calibri" w:hAnsi="Calibri" w:cs="Times New Roman"/>
          <w:noProof/>
          <w:szCs w:val="24"/>
        </w:rPr>
        <w:tab/>
        <w:t xml:space="preserve">Reiss, J. </w:t>
      </w:r>
      <w:r w:rsidRPr="007E0300">
        <w:rPr>
          <w:rFonts w:ascii="Calibri" w:hAnsi="Calibri" w:cs="Times New Roman"/>
          <w:i/>
          <w:iCs/>
          <w:noProof/>
          <w:szCs w:val="24"/>
        </w:rPr>
        <w:t>et al.</w:t>
      </w:r>
      <w:r w:rsidRPr="007E0300">
        <w:rPr>
          <w:rFonts w:ascii="Calibri" w:hAnsi="Calibri" w:cs="Times New Roman"/>
          <w:noProof/>
          <w:szCs w:val="24"/>
        </w:rPr>
        <w:t xml:space="preserve"> Case finding for sarcopenia in geriatric inpatients: performance of bioimpedance analysis in comparison to dual X-ray absorptiometry. </w:t>
      </w:r>
      <w:r w:rsidRPr="007E0300">
        <w:rPr>
          <w:rFonts w:ascii="Calibri" w:hAnsi="Calibri" w:cs="Times New Roman"/>
          <w:i/>
          <w:iCs/>
          <w:noProof/>
          <w:szCs w:val="24"/>
        </w:rPr>
        <w:t>BMC Geriatr.</w:t>
      </w:r>
      <w:r w:rsidRPr="007E0300">
        <w:rPr>
          <w:rFonts w:ascii="Calibri" w:hAnsi="Calibri" w:cs="Times New Roman"/>
          <w:noProof/>
          <w:szCs w:val="24"/>
        </w:rPr>
        <w:t xml:space="preserve"> </w:t>
      </w:r>
      <w:r w:rsidRPr="007E0300">
        <w:rPr>
          <w:rFonts w:ascii="Calibri" w:hAnsi="Calibri" w:cs="Times New Roman"/>
          <w:b/>
          <w:bCs/>
          <w:noProof/>
          <w:szCs w:val="24"/>
        </w:rPr>
        <w:t>16,</w:t>
      </w:r>
      <w:r w:rsidRPr="007E0300">
        <w:rPr>
          <w:rFonts w:ascii="Calibri" w:hAnsi="Calibri" w:cs="Times New Roman"/>
          <w:noProof/>
          <w:szCs w:val="24"/>
        </w:rPr>
        <w:t xml:space="preserve"> 52 (2016).</w:t>
      </w:r>
    </w:p>
    <w:p w14:paraId="6D448267"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84B98FC"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53.</w:t>
      </w:r>
      <w:r w:rsidRPr="007E0300">
        <w:rPr>
          <w:rFonts w:ascii="Calibri" w:hAnsi="Calibri" w:cs="Times New Roman"/>
          <w:noProof/>
          <w:szCs w:val="24"/>
        </w:rPr>
        <w:tab/>
        <w:t xml:space="preserve">Kim, M. &amp; Kim, H. Accuracy of segmental multi-frequency bioelectrical impedance analysis for assessing whole-body and appendicular fat mass and lean soft tissue mass in frail women aged 75 years and older. </w:t>
      </w:r>
      <w:r w:rsidRPr="007E0300">
        <w:rPr>
          <w:rFonts w:ascii="Calibri" w:hAnsi="Calibri" w:cs="Times New Roman"/>
          <w:i/>
          <w:iCs/>
          <w:noProof/>
          <w:szCs w:val="24"/>
        </w:rPr>
        <w:t>Eur J Clin Nutr</w:t>
      </w:r>
      <w:r w:rsidRPr="007E0300">
        <w:rPr>
          <w:rFonts w:ascii="Calibri" w:hAnsi="Calibri" w:cs="Times New Roman"/>
          <w:noProof/>
          <w:szCs w:val="24"/>
        </w:rPr>
        <w:t xml:space="preserve"> </w:t>
      </w:r>
      <w:r w:rsidRPr="007E0300">
        <w:rPr>
          <w:rFonts w:ascii="Calibri" w:hAnsi="Calibri" w:cs="Times New Roman"/>
          <w:b/>
          <w:bCs/>
          <w:noProof/>
          <w:szCs w:val="24"/>
        </w:rPr>
        <w:t>67,</w:t>
      </w:r>
      <w:r w:rsidRPr="007E0300">
        <w:rPr>
          <w:rFonts w:ascii="Calibri" w:hAnsi="Calibri" w:cs="Times New Roman"/>
          <w:noProof/>
          <w:szCs w:val="24"/>
        </w:rPr>
        <w:t xml:space="preserve"> 395–400 (2013).</w:t>
      </w:r>
    </w:p>
    <w:p w14:paraId="0738E739"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D0B29E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54.</w:t>
      </w:r>
      <w:r w:rsidRPr="007E0300">
        <w:rPr>
          <w:rFonts w:ascii="Calibri" w:hAnsi="Calibri" w:cs="Times New Roman"/>
          <w:noProof/>
          <w:szCs w:val="24"/>
        </w:rPr>
        <w:tab/>
        <w:t xml:space="preserve">Kim, M., Shinkai, S., Murayama, H. &amp; Mori, S. Comparison of segmental multifrequency bioelectrical impedance analysis with dual-energy X-ray absorptiometry for the assessment of body composition in a community-dwelling older population. </w:t>
      </w:r>
      <w:r w:rsidRPr="007E0300">
        <w:rPr>
          <w:rFonts w:ascii="Calibri" w:hAnsi="Calibri" w:cs="Times New Roman"/>
          <w:i/>
          <w:iCs/>
          <w:noProof/>
          <w:szCs w:val="24"/>
        </w:rPr>
        <w:t>Geriatr. Gerontol. Int.</w:t>
      </w:r>
      <w:r w:rsidRPr="007E0300">
        <w:rPr>
          <w:rFonts w:ascii="Calibri" w:hAnsi="Calibri" w:cs="Times New Roman"/>
          <w:noProof/>
          <w:szCs w:val="24"/>
        </w:rPr>
        <w:t xml:space="preserve"> </w:t>
      </w:r>
      <w:r w:rsidRPr="007E0300">
        <w:rPr>
          <w:rFonts w:ascii="Calibri" w:hAnsi="Calibri" w:cs="Times New Roman"/>
          <w:b/>
          <w:bCs/>
          <w:noProof/>
          <w:szCs w:val="24"/>
        </w:rPr>
        <w:t>15,</w:t>
      </w:r>
      <w:r w:rsidRPr="007E0300">
        <w:rPr>
          <w:rFonts w:ascii="Calibri" w:hAnsi="Calibri" w:cs="Times New Roman"/>
          <w:noProof/>
          <w:szCs w:val="24"/>
        </w:rPr>
        <w:t xml:space="preserve"> 1013–22 (2015).</w:t>
      </w:r>
    </w:p>
    <w:p w14:paraId="2054807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4D0B8AE"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55.</w:t>
      </w:r>
      <w:r w:rsidRPr="007E0300">
        <w:rPr>
          <w:rFonts w:ascii="Calibri" w:hAnsi="Calibri" w:cs="Times New Roman"/>
          <w:noProof/>
          <w:szCs w:val="24"/>
        </w:rPr>
        <w:tab/>
        <w:t xml:space="preserve">Buckinx, F. </w:t>
      </w:r>
      <w:r w:rsidRPr="007E0300">
        <w:rPr>
          <w:rFonts w:ascii="Calibri" w:hAnsi="Calibri" w:cs="Times New Roman"/>
          <w:i/>
          <w:iCs/>
          <w:noProof/>
          <w:szCs w:val="24"/>
        </w:rPr>
        <w:t>et al.</w:t>
      </w:r>
      <w:r w:rsidRPr="007E0300">
        <w:rPr>
          <w:rFonts w:ascii="Calibri" w:hAnsi="Calibri" w:cs="Times New Roman"/>
          <w:noProof/>
          <w:szCs w:val="24"/>
        </w:rPr>
        <w:t xml:space="preserve"> Concordance between muscle mass assessed by bioelectrical impedance analysis and by dual energy X-ray absorptiometry: a cross-sectional study. </w:t>
      </w:r>
      <w:r w:rsidRPr="007E0300">
        <w:rPr>
          <w:rFonts w:ascii="Calibri" w:hAnsi="Calibri" w:cs="Times New Roman"/>
          <w:i/>
          <w:iCs/>
          <w:noProof/>
          <w:szCs w:val="24"/>
        </w:rPr>
        <w:t>BMC Musculoskelet. Disord.</w:t>
      </w:r>
      <w:r w:rsidRPr="007E0300">
        <w:rPr>
          <w:rFonts w:ascii="Calibri" w:hAnsi="Calibri" w:cs="Times New Roman"/>
          <w:noProof/>
          <w:szCs w:val="24"/>
        </w:rPr>
        <w:t xml:space="preserve"> </w:t>
      </w:r>
      <w:r w:rsidRPr="007E0300">
        <w:rPr>
          <w:rFonts w:ascii="Calibri" w:hAnsi="Calibri" w:cs="Times New Roman"/>
          <w:b/>
          <w:bCs/>
          <w:noProof/>
          <w:szCs w:val="24"/>
        </w:rPr>
        <w:t>16,</w:t>
      </w:r>
      <w:r w:rsidRPr="007E0300">
        <w:rPr>
          <w:rFonts w:ascii="Calibri" w:hAnsi="Calibri" w:cs="Times New Roman"/>
          <w:noProof/>
          <w:szCs w:val="24"/>
        </w:rPr>
        <w:t xml:space="preserve"> 60 (2015).</w:t>
      </w:r>
    </w:p>
    <w:p w14:paraId="3649E38C"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BAB40C2"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56.</w:t>
      </w:r>
      <w:r w:rsidRPr="007E0300">
        <w:rPr>
          <w:rFonts w:ascii="Calibri" w:hAnsi="Calibri" w:cs="Times New Roman"/>
          <w:noProof/>
          <w:szCs w:val="24"/>
        </w:rPr>
        <w:tab/>
        <w:t xml:space="preserve">Stevens, P. J. </w:t>
      </w:r>
      <w:r w:rsidRPr="007E0300">
        <w:rPr>
          <w:rFonts w:ascii="Calibri" w:hAnsi="Calibri" w:cs="Times New Roman"/>
          <w:i/>
          <w:iCs/>
          <w:noProof/>
          <w:szCs w:val="24"/>
        </w:rPr>
        <w:t>et al.</w:t>
      </w:r>
      <w:r w:rsidRPr="007E0300">
        <w:rPr>
          <w:rFonts w:ascii="Calibri" w:hAnsi="Calibri" w:cs="Times New Roman"/>
          <w:noProof/>
          <w:szCs w:val="24"/>
        </w:rPr>
        <w:t xml:space="preserve"> Is grip strength a good marker of physical performance among community-dwelling older people? </w:t>
      </w:r>
      <w:r w:rsidRPr="007E0300">
        <w:rPr>
          <w:rFonts w:ascii="Calibri" w:hAnsi="Calibri" w:cs="Times New Roman"/>
          <w:i/>
          <w:iCs/>
          <w:noProof/>
          <w:szCs w:val="24"/>
        </w:rPr>
        <w:t>J Nutr Heal. Aging</w:t>
      </w:r>
      <w:r w:rsidRPr="007E0300">
        <w:rPr>
          <w:rFonts w:ascii="Calibri" w:hAnsi="Calibri" w:cs="Times New Roman"/>
          <w:noProof/>
          <w:szCs w:val="24"/>
        </w:rPr>
        <w:t xml:space="preserve"> </w:t>
      </w:r>
      <w:r w:rsidRPr="007E0300">
        <w:rPr>
          <w:rFonts w:ascii="Calibri" w:hAnsi="Calibri" w:cs="Times New Roman"/>
          <w:b/>
          <w:bCs/>
          <w:noProof/>
          <w:szCs w:val="24"/>
        </w:rPr>
        <w:t>16,</w:t>
      </w:r>
      <w:r w:rsidRPr="007E0300">
        <w:rPr>
          <w:rFonts w:ascii="Calibri" w:hAnsi="Calibri" w:cs="Times New Roman"/>
          <w:noProof/>
          <w:szCs w:val="24"/>
        </w:rPr>
        <w:t xml:space="preserve"> 769–774 (2012).</w:t>
      </w:r>
    </w:p>
    <w:p w14:paraId="03E0369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B9ABF61"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57.</w:t>
      </w:r>
      <w:r w:rsidRPr="007E0300">
        <w:rPr>
          <w:rFonts w:ascii="Calibri" w:hAnsi="Calibri" w:cs="Times New Roman"/>
          <w:noProof/>
          <w:szCs w:val="24"/>
        </w:rPr>
        <w:tab/>
        <w:t xml:space="preserve">Bohannon, R. W., Magasi, S. R., Bubela, D. J., Wang, Y.-C. &amp; Gershon, R. C. Grip and knee extension muscle strength reflect a common construct among adults. </w:t>
      </w:r>
      <w:r w:rsidRPr="007E0300">
        <w:rPr>
          <w:rFonts w:ascii="Calibri" w:hAnsi="Calibri" w:cs="Times New Roman"/>
          <w:i/>
          <w:iCs/>
          <w:noProof/>
          <w:szCs w:val="24"/>
        </w:rPr>
        <w:t>Muscle Nerve</w:t>
      </w:r>
      <w:r w:rsidRPr="007E0300">
        <w:rPr>
          <w:rFonts w:ascii="Calibri" w:hAnsi="Calibri" w:cs="Times New Roman"/>
          <w:noProof/>
          <w:szCs w:val="24"/>
        </w:rPr>
        <w:t xml:space="preserve"> </w:t>
      </w:r>
      <w:r w:rsidRPr="007E0300">
        <w:rPr>
          <w:rFonts w:ascii="Calibri" w:hAnsi="Calibri" w:cs="Times New Roman"/>
          <w:b/>
          <w:bCs/>
          <w:noProof/>
          <w:szCs w:val="24"/>
        </w:rPr>
        <w:t>46,</w:t>
      </w:r>
      <w:r w:rsidRPr="007E0300">
        <w:rPr>
          <w:rFonts w:ascii="Calibri" w:hAnsi="Calibri" w:cs="Times New Roman"/>
          <w:noProof/>
          <w:szCs w:val="24"/>
        </w:rPr>
        <w:t xml:space="preserve"> 555–8 (2012).</w:t>
      </w:r>
    </w:p>
    <w:p w14:paraId="0AACD07F"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2C74CF7"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lastRenderedPageBreak/>
        <w:t>58.</w:t>
      </w:r>
      <w:r w:rsidRPr="007E0300">
        <w:rPr>
          <w:rFonts w:ascii="Calibri" w:hAnsi="Calibri" w:cs="Times New Roman"/>
          <w:noProof/>
          <w:szCs w:val="24"/>
        </w:rPr>
        <w:tab/>
        <w:t xml:space="preserve">Roberts, H. C. </w:t>
      </w:r>
      <w:r w:rsidRPr="007E0300">
        <w:rPr>
          <w:rFonts w:ascii="Calibri" w:hAnsi="Calibri" w:cs="Times New Roman"/>
          <w:i/>
          <w:iCs/>
          <w:noProof/>
          <w:szCs w:val="24"/>
        </w:rPr>
        <w:t>et al.</w:t>
      </w:r>
      <w:r w:rsidRPr="007E0300">
        <w:rPr>
          <w:rFonts w:ascii="Calibri" w:hAnsi="Calibri" w:cs="Times New Roman"/>
          <w:noProof/>
          <w:szCs w:val="24"/>
        </w:rPr>
        <w:t xml:space="preserve"> A review of the measurement of grip strength in clinical and epidemiological studies: towards a standardised approach. </w:t>
      </w:r>
      <w:r w:rsidRPr="007E0300">
        <w:rPr>
          <w:rFonts w:ascii="Calibri" w:hAnsi="Calibri" w:cs="Times New Roman"/>
          <w:i/>
          <w:iCs/>
          <w:noProof/>
          <w:szCs w:val="24"/>
        </w:rPr>
        <w:t>Age Ageing</w:t>
      </w:r>
      <w:r w:rsidRPr="007E0300">
        <w:rPr>
          <w:rFonts w:ascii="Calibri" w:hAnsi="Calibri" w:cs="Times New Roman"/>
          <w:noProof/>
          <w:szCs w:val="24"/>
        </w:rPr>
        <w:t xml:space="preserve"> </w:t>
      </w:r>
      <w:r w:rsidRPr="007E0300">
        <w:rPr>
          <w:rFonts w:ascii="Calibri" w:hAnsi="Calibri" w:cs="Times New Roman"/>
          <w:b/>
          <w:bCs/>
          <w:noProof/>
          <w:szCs w:val="24"/>
        </w:rPr>
        <w:t>40,</w:t>
      </w:r>
      <w:r w:rsidRPr="007E0300">
        <w:rPr>
          <w:rFonts w:ascii="Calibri" w:hAnsi="Calibri" w:cs="Times New Roman"/>
          <w:noProof/>
          <w:szCs w:val="24"/>
        </w:rPr>
        <w:t xml:space="preserve"> 423–429 (2011).</w:t>
      </w:r>
    </w:p>
    <w:p w14:paraId="52E0556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338462E"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59.</w:t>
      </w:r>
      <w:r w:rsidRPr="007E0300">
        <w:rPr>
          <w:rFonts w:ascii="Calibri" w:hAnsi="Calibri" w:cs="Times New Roman"/>
          <w:noProof/>
          <w:szCs w:val="24"/>
        </w:rPr>
        <w:tab/>
        <w:t xml:space="preserve">Bean, J. F. </w:t>
      </w:r>
      <w:r w:rsidRPr="007E0300">
        <w:rPr>
          <w:rFonts w:ascii="Calibri" w:hAnsi="Calibri" w:cs="Times New Roman"/>
          <w:i/>
          <w:iCs/>
          <w:noProof/>
          <w:szCs w:val="24"/>
        </w:rPr>
        <w:t>et al.</w:t>
      </w:r>
      <w:r w:rsidRPr="007E0300">
        <w:rPr>
          <w:rFonts w:ascii="Calibri" w:hAnsi="Calibri" w:cs="Times New Roman"/>
          <w:noProof/>
          <w:szCs w:val="24"/>
        </w:rPr>
        <w:t xml:space="preserve"> The relationship between leg power and physical performance in mobility-limited older people. </w:t>
      </w:r>
      <w:r w:rsidRPr="007E0300">
        <w:rPr>
          <w:rFonts w:ascii="Calibri" w:hAnsi="Calibri" w:cs="Times New Roman"/>
          <w:i/>
          <w:iCs/>
          <w:noProof/>
          <w:szCs w:val="24"/>
        </w:rPr>
        <w:t>J. Am. Geriatr. Soc.</w:t>
      </w:r>
      <w:r w:rsidRPr="007E0300">
        <w:rPr>
          <w:rFonts w:ascii="Calibri" w:hAnsi="Calibri" w:cs="Times New Roman"/>
          <w:noProof/>
          <w:szCs w:val="24"/>
        </w:rPr>
        <w:t xml:space="preserve"> </w:t>
      </w:r>
      <w:r w:rsidRPr="007E0300">
        <w:rPr>
          <w:rFonts w:ascii="Calibri" w:hAnsi="Calibri" w:cs="Times New Roman"/>
          <w:b/>
          <w:bCs/>
          <w:noProof/>
          <w:szCs w:val="24"/>
        </w:rPr>
        <w:t>50,</w:t>
      </w:r>
      <w:r w:rsidRPr="007E0300">
        <w:rPr>
          <w:rFonts w:ascii="Calibri" w:hAnsi="Calibri" w:cs="Times New Roman"/>
          <w:noProof/>
          <w:szCs w:val="24"/>
        </w:rPr>
        <w:t xml:space="preserve"> 461–7 (2002).</w:t>
      </w:r>
    </w:p>
    <w:p w14:paraId="20E90152"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5E45985"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60.</w:t>
      </w:r>
      <w:r w:rsidRPr="007E0300">
        <w:rPr>
          <w:rFonts w:ascii="Calibri" w:hAnsi="Calibri" w:cs="Times New Roman"/>
          <w:noProof/>
          <w:szCs w:val="24"/>
        </w:rPr>
        <w:tab/>
        <w:t xml:space="preserve">Dodds, R. M. </w:t>
      </w:r>
      <w:r w:rsidRPr="007E0300">
        <w:rPr>
          <w:rFonts w:ascii="Calibri" w:hAnsi="Calibri" w:cs="Times New Roman"/>
          <w:i/>
          <w:iCs/>
          <w:noProof/>
          <w:szCs w:val="24"/>
        </w:rPr>
        <w:t>et al.</w:t>
      </w:r>
      <w:r w:rsidRPr="007E0300">
        <w:rPr>
          <w:rFonts w:ascii="Calibri" w:hAnsi="Calibri" w:cs="Times New Roman"/>
          <w:noProof/>
          <w:szCs w:val="24"/>
        </w:rPr>
        <w:t xml:space="preserve"> Grip strength across the life course: normative data from twelve British studies. </w:t>
      </w:r>
      <w:r w:rsidRPr="007E0300">
        <w:rPr>
          <w:rFonts w:ascii="Calibri" w:hAnsi="Calibri" w:cs="Times New Roman"/>
          <w:i/>
          <w:iCs/>
          <w:noProof/>
          <w:szCs w:val="24"/>
        </w:rPr>
        <w:t>PLoS One</w:t>
      </w:r>
      <w:r w:rsidRPr="007E0300">
        <w:rPr>
          <w:rFonts w:ascii="Calibri" w:hAnsi="Calibri" w:cs="Times New Roman"/>
          <w:noProof/>
          <w:szCs w:val="24"/>
        </w:rPr>
        <w:t xml:space="preserve"> </w:t>
      </w:r>
      <w:r w:rsidRPr="007E0300">
        <w:rPr>
          <w:rFonts w:ascii="Calibri" w:hAnsi="Calibri" w:cs="Times New Roman"/>
          <w:b/>
          <w:bCs/>
          <w:noProof/>
          <w:szCs w:val="24"/>
        </w:rPr>
        <w:t>9,</w:t>
      </w:r>
      <w:r w:rsidRPr="007E0300">
        <w:rPr>
          <w:rFonts w:ascii="Calibri" w:hAnsi="Calibri" w:cs="Times New Roman"/>
          <w:noProof/>
          <w:szCs w:val="24"/>
        </w:rPr>
        <w:t xml:space="preserve"> e113637 (2014).</w:t>
      </w:r>
    </w:p>
    <w:p w14:paraId="444B0CAC"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E31F5A8"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61.</w:t>
      </w:r>
      <w:r w:rsidRPr="007E0300">
        <w:rPr>
          <w:rFonts w:ascii="Calibri" w:hAnsi="Calibri" w:cs="Times New Roman"/>
          <w:noProof/>
          <w:szCs w:val="24"/>
        </w:rPr>
        <w:tab/>
        <w:t xml:space="preserve">Anjum, S. N., Choudary, P., Dimri, R. &amp; Ankarath, S. Comparative evaluation of grip and pinch strength in an Asian and European population. </w:t>
      </w:r>
      <w:r w:rsidRPr="007E0300">
        <w:rPr>
          <w:rFonts w:ascii="Calibri" w:hAnsi="Calibri" w:cs="Times New Roman"/>
          <w:i/>
          <w:iCs/>
          <w:noProof/>
          <w:szCs w:val="24"/>
        </w:rPr>
        <w:t>Hand Ther.</w:t>
      </w:r>
      <w:r w:rsidRPr="007E0300">
        <w:rPr>
          <w:rFonts w:ascii="Calibri" w:hAnsi="Calibri" w:cs="Times New Roman"/>
          <w:noProof/>
          <w:szCs w:val="24"/>
        </w:rPr>
        <w:t xml:space="preserve"> </w:t>
      </w:r>
      <w:r w:rsidRPr="007E0300">
        <w:rPr>
          <w:rFonts w:ascii="Calibri" w:hAnsi="Calibri" w:cs="Times New Roman"/>
          <w:b/>
          <w:bCs/>
          <w:noProof/>
          <w:szCs w:val="24"/>
        </w:rPr>
        <w:t>17,</w:t>
      </w:r>
      <w:r w:rsidRPr="007E0300">
        <w:rPr>
          <w:rFonts w:ascii="Calibri" w:hAnsi="Calibri" w:cs="Times New Roman"/>
          <w:noProof/>
          <w:szCs w:val="24"/>
        </w:rPr>
        <w:t xml:space="preserve"> 11–14 (2012).</w:t>
      </w:r>
    </w:p>
    <w:p w14:paraId="2DA9F95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CCF20C5"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62.</w:t>
      </w:r>
      <w:r w:rsidRPr="007E0300">
        <w:rPr>
          <w:rFonts w:ascii="Calibri" w:hAnsi="Calibri" w:cs="Times New Roman"/>
          <w:noProof/>
          <w:szCs w:val="24"/>
        </w:rPr>
        <w:tab/>
        <w:t xml:space="preserve">Brown, M., Sinacore, D. R., Binder, E. F. &amp; Kohrt, W. M. Physical and performance measures for the identification of mild to moderate frailty. </w:t>
      </w:r>
      <w:r w:rsidRPr="007E0300">
        <w:rPr>
          <w:rFonts w:ascii="Calibri" w:hAnsi="Calibri" w:cs="Times New Roman"/>
          <w:i/>
          <w:iCs/>
          <w:noProof/>
          <w:szCs w:val="24"/>
        </w:rPr>
        <w:t>J. Gerontol. A. Biol. Sci. Med. Sci.</w:t>
      </w:r>
      <w:r w:rsidRPr="007E0300">
        <w:rPr>
          <w:rFonts w:ascii="Calibri" w:hAnsi="Calibri" w:cs="Times New Roman"/>
          <w:noProof/>
          <w:szCs w:val="24"/>
        </w:rPr>
        <w:t xml:space="preserve"> </w:t>
      </w:r>
      <w:r w:rsidRPr="007E0300">
        <w:rPr>
          <w:rFonts w:ascii="Calibri" w:hAnsi="Calibri" w:cs="Times New Roman"/>
          <w:b/>
          <w:bCs/>
          <w:noProof/>
          <w:szCs w:val="24"/>
        </w:rPr>
        <w:t>55,</w:t>
      </w:r>
      <w:r w:rsidRPr="007E0300">
        <w:rPr>
          <w:rFonts w:ascii="Calibri" w:hAnsi="Calibri" w:cs="Times New Roman"/>
          <w:noProof/>
          <w:szCs w:val="24"/>
        </w:rPr>
        <w:t xml:space="preserve"> M350–5 (2000).</w:t>
      </w:r>
    </w:p>
    <w:p w14:paraId="61291F2C"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19DD3B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63.</w:t>
      </w:r>
      <w:r w:rsidRPr="007E0300">
        <w:rPr>
          <w:rFonts w:ascii="Calibri" w:hAnsi="Calibri" w:cs="Times New Roman"/>
          <w:noProof/>
          <w:szCs w:val="24"/>
        </w:rPr>
        <w:tab/>
        <w:t xml:space="preserve">Callahan, D., Phillips, E., Carabello, R., Frontera, W. R. &amp; Fielding, R. A. Assessment of lower extremity muscle power in functionally-limited elders. </w:t>
      </w:r>
      <w:r w:rsidRPr="007E0300">
        <w:rPr>
          <w:rFonts w:ascii="Calibri" w:hAnsi="Calibri" w:cs="Times New Roman"/>
          <w:i/>
          <w:iCs/>
          <w:noProof/>
          <w:szCs w:val="24"/>
        </w:rPr>
        <w:t>Aging Clin Exp Res</w:t>
      </w:r>
      <w:r w:rsidRPr="007E0300">
        <w:rPr>
          <w:rFonts w:ascii="Calibri" w:hAnsi="Calibri" w:cs="Times New Roman"/>
          <w:noProof/>
          <w:szCs w:val="24"/>
        </w:rPr>
        <w:t xml:space="preserve"> </w:t>
      </w:r>
      <w:r w:rsidRPr="007E0300">
        <w:rPr>
          <w:rFonts w:ascii="Calibri" w:hAnsi="Calibri" w:cs="Times New Roman"/>
          <w:b/>
          <w:bCs/>
          <w:noProof/>
          <w:szCs w:val="24"/>
        </w:rPr>
        <w:t>19,</w:t>
      </w:r>
      <w:r w:rsidRPr="007E0300">
        <w:rPr>
          <w:rFonts w:ascii="Calibri" w:hAnsi="Calibri" w:cs="Times New Roman"/>
          <w:noProof/>
          <w:szCs w:val="24"/>
        </w:rPr>
        <w:t xml:space="preserve"> 194–199 (2007).</w:t>
      </w:r>
    </w:p>
    <w:p w14:paraId="1ECF1F0B"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AE6B880"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64.</w:t>
      </w:r>
      <w:r w:rsidRPr="007E0300">
        <w:rPr>
          <w:rFonts w:ascii="Calibri" w:hAnsi="Calibri" w:cs="Times New Roman"/>
          <w:noProof/>
          <w:szCs w:val="24"/>
        </w:rPr>
        <w:tab/>
        <w:t xml:space="preserve">Jones, C. J., Rikli, R. E. &amp; Beam, W. C. A 30-s chair-stand test as a measure of lower body strength in community-residing older adults. </w:t>
      </w:r>
      <w:r w:rsidRPr="007E0300">
        <w:rPr>
          <w:rFonts w:ascii="Calibri" w:hAnsi="Calibri" w:cs="Times New Roman"/>
          <w:i/>
          <w:iCs/>
          <w:noProof/>
          <w:szCs w:val="24"/>
        </w:rPr>
        <w:t>Res. Q. Exerc. Sport</w:t>
      </w:r>
      <w:r w:rsidRPr="007E0300">
        <w:rPr>
          <w:rFonts w:ascii="Calibri" w:hAnsi="Calibri" w:cs="Times New Roman"/>
          <w:noProof/>
          <w:szCs w:val="24"/>
        </w:rPr>
        <w:t xml:space="preserve"> </w:t>
      </w:r>
      <w:r w:rsidRPr="007E0300">
        <w:rPr>
          <w:rFonts w:ascii="Calibri" w:hAnsi="Calibri" w:cs="Times New Roman"/>
          <w:b/>
          <w:bCs/>
          <w:noProof/>
          <w:szCs w:val="24"/>
        </w:rPr>
        <w:t>70,</w:t>
      </w:r>
      <w:r w:rsidRPr="007E0300">
        <w:rPr>
          <w:rFonts w:ascii="Calibri" w:hAnsi="Calibri" w:cs="Times New Roman"/>
          <w:noProof/>
          <w:szCs w:val="24"/>
        </w:rPr>
        <w:t xml:space="preserve"> 113–9 (1999).</w:t>
      </w:r>
    </w:p>
    <w:p w14:paraId="5040BAC3"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E49AC22"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65.</w:t>
      </w:r>
      <w:r w:rsidRPr="007E0300">
        <w:rPr>
          <w:rFonts w:ascii="Calibri" w:hAnsi="Calibri" w:cs="Times New Roman"/>
          <w:noProof/>
          <w:szCs w:val="24"/>
        </w:rPr>
        <w:tab/>
        <w:t xml:space="preserve">Karpman, C., Lebrasseur, N. K., Depew, Z. S., Novotny, P. J. &amp; Benzo, R. P. Measuring gait speed in the out-patient clinic: methodology and feasibility. </w:t>
      </w:r>
      <w:r w:rsidRPr="007E0300">
        <w:rPr>
          <w:rFonts w:ascii="Calibri" w:hAnsi="Calibri" w:cs="Times New Roman"/>
          <w:i/>
          <w:iCs/>
          <w:noProof/>
          <w:szCs w:val="24"/>
        </w:rPr>
        <w:t>Respir. Care</w:t>
      </w:r>
      <w:r w:rsidRPr="007E0300">
        <w:rPr>
          <w:rFonts w:ascii="Calibri" w:hAnsi="Calibri" w:cs="Times New Roman"/>
          <w:noProof/>
          <w:szCs w:val="24"/>
        </w:rPr>
        <w:t xml:space="preserve"> </w:t>
      </w:r>
      <w:r w:rsidRPr="007E0300">
        <w:rPr>
          <w:rFonts w:ascii="Calibri" w:hAnsi="Calibri" w:cs="Times New Roman"/>
          <w:b/>
          <w:bCs/>
          <w:noProof/>
          <w:szCs w:val="24"/>
        </w:rPr>
        <w:t>59,</w:t>
      </w:r>
      <w:r w:rsidRPr="007E0300">
        <w:rPr>
          <w:rFonts w:ascii="Calibri" w:hAnsi="Calibri" w:cs="Times New Roman"/>
          <w:noProof/>
          <w:szCs w:val="24"/>
        </w:rPr>
        <w:t xml:space="preserve"> 531–7 (2014).</w:t>
      </w:r>
    </w:p>
    <w:p w14:paraId="4B5D7C0D"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5C6CE78C"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66.</w:t>
      </w:r>
      <w:r w:rsidRPr="007E0300">
        <w:rPr>
          <w:rFonts w:ascii="Calibri" w:hAnsi="Calibri" w:cs="Times New Roman"/>
          <w:noProof/>
          <w:szCs w:val="24"/>
        </w:rPr>
        <w:tab/>
        <w:t>National Institute on Aging, Laboratory of Epidemiology, Demography, and Biometry. at &lt;http://www.grc.nia.nih.gov/branches/leps/sppb/&gt;</w:t>
      </w:r>
    </w:p>
    <w:p w14:paraId="58FBC41E"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D9FA012"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67.</w:t>
      </w:r>
      <w:r w:rsidRPr="007E0300">
        <w:rPr>
          <w:rFonts w:ascii="Calibri" w:hAnsi="Calibri" w:cs="Times New Roman"/>
          <w:noProof/>
          <w:szCs w:val="24"/>
        </w:rPr>
        <w:tab/>
        <w:t xml:space="preserve">Bean, J. F., Kiely, D. K., LaRose, S., Alian, J. &amp; Frontera, W. R. Is Stair Climb Power a Clinically Relevant Measure of Leg Power Impairments in At-Risk Older Adults? </w:t>
      </w:r>
      <w:r w:rsidRPr="007E0300">
        <w:rPr>
          <w:rFonts w:ascii="Calibri" w:hAnsi="Calibri" w:cs="Times New Roman"/>
          <w:i/>
          <w:iCs/>
          <w:noProof/>
          <w:szCs w:val="24"/>
        </w:rPr>
        <w:t>Arch. Phys. Med. Rehabil.</w:t>
      </w:r>
      <w:r w:rsidRPr="007E0300">
        <w:rPr>
          <w:rFonts w:ascii="Calibri" w:hAnsi="Calibri" w:cs="Times New Roman"/>
          <w:noProof/>
          <w:szCs w:val="24"/>
        </w:rPr>
        <w:t xml:space="preserve"> </w:t>
      </w:r>
      <w:r w:rsidRPr="007E0300">
        <w:rPr>
          <w:rFonts w:ascii="Calibri" w:hAnsi="Calibri" w:cs="Times New Roman"/>
          <w:b/>
          <w:bCs/>
          <w:noProof/>
          <w:szCs w:val="24"/>
        </w:rPr>
        <w:t>88,</w:t>
      </w:r>
      <w:r w:rsidRPr="007E0300">
        <w:rPr>
          <w:rFonts w:ascii="Calibri" w:hAnsi="Calibri" w:cs="Times New Roman"/>
          <w:noProof/>
          <w:szCs w:val="24"/>
        </w:rPr>
        <w:t xml:space="preserve"> 604–609 (2007).</w:t>
      </w:r>
    </w:p>
    <w:p w14:paraId="7FCC9EF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67FB4E0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68.</w:t>
      </w:r>
      <w:r w:rsidRPr="007E0300">
        <w:rPr>
          <w:rFonts w:ascii="Calibri" w:hAnsi="Calibri" w:cs="Times New Roman"/>
          <w:noProof/>
          <w:szCs w:val="24"/>
        </w:rPr>
        <w:tab/>
        <w:t xml:space="preserve">Guigoz, Y., Vellas, B. &amp; Garry, P. J. Assessing the nutritional status of the elderly: The Mini Nutritional Assessment as part of the geriatric evaluation. </w:t>
      </w:r>
      <w:r w:rsidRPr="007E0300">
        <w:rPr>
          <w:rFonts w:ascii="Calibri" w:hAnsi="Calibri" w:cs="Times New Roman"/>
          <w:i/>
          <w:iCs/>
          <w:noProof/>
          <w:szCs w:val="24"/>
        </w:rPr>
        <w:t>Nutr Rev</w:t>
      </w:r>
      <w:r w:rsidRPr="007E0300">
        <w:rPr>
          <w:rFonts w:ascii="Calibri" w:hAnsi="Calibri" w:cs="Times New Roman"/>
          <w:noProof/>
          <w:szCs w:val="24"/>
        </w:rPr>
        <w:t xml:space="preserve"> </w:t>
      </w:r>
      <w:r w:rsidRPr="007E0300">
        <w:rPr>
          <w:rFonts w:ascii="Calibri" w:hAnsi="Calibri" w:cs="Times New Roman"/>
          <w:b/>
          <w:bCs/>
          <w:noProof/>
          <w:szCs w:val="24"/>
        </w:rPr>
        <w:t>54,</w:t>
      </w:r>
      <w:r w:rsidRPr="007E0300">
        <w:rPr>
          <w:rFonts w:ascii="Calibri" w:hAnsi="Calibri" w:cs="Times New Roman"/>
          <w:noProof/>
          <w:szCs w:val="24"/>
        </w:rPr>
        <w:t xml:space="preserve"> S59–65 (1996).</w:t>
      </w:r>
    </w:p>
    <w:p w14:paraId="2EEE77AE"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D722D1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69.</w:t>
      </w:r>
      <w:r w:rsidRPr="007E0300">
        <w:rPr>
          <w:rFonts w:ascii="Calibri" w:hAnsi="Calibri" w:cs="Times New Roman"/>
          <w:noProof/>
          <w:szCs w:val="24"/>
        </w:rPr>
        <w:tab/>
        <w:t xml:space="preserve">Malmstrom, T. K. &amp; Morley, J. E. SARC-F: a simple questionnaire to rapidly diagnose sarcopenia.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14,</w:t>
      </w:r>
      <w:r w:rsidRPr="007E0300">
        <w:rPr>
          <w:rFonts w:ascii="Calibri" w:hAnsi="Calibri" w:cs="Times New Roman"/>
          <w:noProof/>
          <w:szCs w:val="24"/>
        </w:rPr>
        <w:t xml:space="preserve"> 531–2 (2013).</w:t>
      </w:r>
    </w:p>
    <w:p w14:paraId="7037E3BA"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2B284EC2"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70.</w:t>
      </w:r>
      <w:r w:rsidRPr="007E0300">
        <w:rPr>
          <w:rFonts w:ascii="Calibri" w:hAnsi="Calibri" w:cs="Times New Roman"/>
          <w:noProof/>
          <w:szCs w:val="24"/>
        </w:rPr>
        <w:tab/>
        <w:t xml:space="preserve">Woo, J., Leung, J. &amp; Morley, J. E. Validating the SARC-F: a suitable community screening tool for sarcopenia?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15,</w:t>
      </w:r>
      <w:r w:rsidRPr="007E0300">
        <w:rPr>
          <w:rFonts w:ascii="Calibri" w:hAnsi="Calibri" w:cs="Times New Roman"/>
          <w:noProof/>
          <w:szCs w:val="24"/>
        </w:rPr>
        <w:t xml:space="preserve"> 630–4 (2014).</w:t>
      </w:r>
    </w:p>
    <w:p w14:paraId="44622970"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4DC9A0A"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71.</w:t>
      </w:r>
      <w:r w:rsidRPr="007E0300">
        <w:rPr>
          <w:rFonts w:ascii="Calibri" w:hAnsi="Calibri" w:cs="Times New Roman"/>
          <w:noProof/>
          <w:szCs w:val="24"/>
        </w:rPr>
        <w:tab/>
        <w:t xml:space="preserve">Goodman, M. J. </w:t>
      </w:r>
      <w:r w:rsidRPr="007E0300">
        <w:rPr>
          <w:rFonts w:ascii="Calibri" w:hAnsi="Calibri" w:cs="Times New Roman"/>
          <w:i/>
          <w:iCs/>
          <w:noProof/>
          <w:szCs w:val="24"/>
        </w:rPr>
        <w:t>et al.</w:t>
      </w:r>
      <w:r w:rsidRPr="007E0300">
        <w:rPr>
          <w:rFonts w:ascii="Calibri" w:hAnsi="Calibri" w:cs="Times New Roman"/>
          <w:noProof/>
          <w:szCs w:val="24"/>
        </w:rPr>
        <w:t xml:space="preserve"> Development of a practical screening tool to predict low muscle mass </w:t>
      </w:r>
      <w:r w:rsidRPr="007E0300">
        <w:rPr>
          <w:rFonts w:ascii="Calibri" w:hAnsi="Calibri" w:cs="Times New Roman"/>
          <w:noProof/>
          <w:szCs w:val="24"/>
        </w:rPr>
        <w:lastRenderedPageBreak/>
        <w:t xml:space="preserve">using NHANES 1999-2004. </w:t>
      </w:r>
      <w:r w:rsidRPr="007E0300">
        <w:rPr>
          <w:rFonts w:ascii="Calibri" w:hAnsi="Calibri" w:cs="Times New Roman"/>
          <w:i/>
          <w:iCs/>
          <w:noProof/>
          <w:szCs w:val="24"/>
        </w:rPr>
        <w:t>J. Cachexia. Sarcopenia Muscle</w:t>
      </w:r>
      <w:r w:rsidRPr="007E0300">
        <w:rPr>
          <w:rFonts w:ascii="Calibri" w:hAnsi="Calibri" w:cs="Times New Roman"/>
          <w:noProof/>
          <w:szCs w:val="24"/>
        </w:rPr>
        <w:t xml:space="preserve"> </w:t>
      </w:r>
      <w:r w:rsidRPr="007E0300">
        <w:rPr>
          <w:rFonts w:ascii="Calibri" w:hAnsi="Calibri" w:cs="Times New Roman"/>
          <w:b/>
          <w:bCs/>
          <w:noProof/>
          <w:szCs w:val="24"/>
        </w:rPr>
        <w:t>4,</w:t>
      </w:r>
      <w:r w:rsidRPr="007E0300">
        <w:rPr>
          <w:rFonts w:ascii="Calibri" w:hAnsi="Calibri" w:cs="Times New Roman"/>
          <w:noProof/>
          <w:szCs w:val="24"/>
        </w:rPr>
        <w:t xml:space="preserve"> 187–97 (2013).</w:t>
      </w:r>
    </w:p>
    <w:p w14:paraId="1E0E17C6"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DB2CBDE"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72.</w:t>
      </w:r>
      <w:r w:rsidRPr="007E0300">
        <w:rPr>
          <w:rFonts w:ascii="Calibri" w:hAnsi="Calibri" w:cs="Times New Roman"/>
          <w:noProof/>
          <w:szCs w:val="24"/>
        </w:rPr>
        <w:tab/>
        <w:t xml:space="preserve">Visvanathan, R. </w:t>
      </w:r>
      <w:r w:rsidRPr="007E0300">
        <w:rPr>
          <w:rFonts w:ascii="Calibri" w:hAnsi="Calibri" w:cs="Times New Roman"/>
          <w:i/>
          <w:iCs/>
          <w:noProof/>
          <w:szCs w:val="24"/>
        </w:rPr>
        <w:t>et al.</w:t>
      </w:r>
      <w:r w:rsidRPr="007E0300">
        <w:rPr>
          <w:rFonts w:ascii="Calibri" w:hAnsi="Calibri" w:cs="Times New Roman"/>
          <w:noProof/>
          <w:szCs w:val="24"/>
        </w:rPr>
        <w:t xml:space="preserve"> Appendicular skeletal muscle mass: development and validation of anthropometric prediction equations. (2012). at &lt;https://digital.library.adelaide.edu.au/dspace/handle/2440/76238&gt;</w:t>
      </w:r>
    </w:p>
    <w:p w14:paraId="6F43BB5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476110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73.</w:t>
      </w:r>
      <w:r w:rsidRPr="007E0300">
        <w:rPr>
          <w:rFonts w:ascii="Calibri" w:hAnsi="Calibri" w:cs="Times New Roman"/>
          <w:noProof/>
          <w:szCs w:val="24"/>
        </w:rPr>
        <w:tab/>
        <w:t xml:space="preserve">Ishii, S. </w:t>
      </w:r>
      <w:r w:rsidRPr="007E0300">
        <w:rPr>
          <w:rFonts w:ascii="Calibri" w:hAnsi="Calibri" w:cs="Times New Roman"/>
          <w:i/>
          <w:iCs/>
          <w:noProof/>
          <w:szCs w:val="24"/>
        </w:rPr>
        <w:t>et al.</w:t>
      </w:r>
      <w:r w:rsidRPr="007E0300">
        <w:rPr>
          <w:rFonts w:ascii="Calibri" w:hAnsi="Calibri" w:cs="Times New Roman"/>
          <w:noProof/>
          <w:szCs w:val="24"/>
        </w:rPr>
        <w:t xml:space="preserve"> Development of a simple screening test for sarcopenia in older adults. </w:t>
      </w:r>
      <w:r w:rsidRPr="007E0300">
        <w:rPr>
          <w:rFonts w:ascii="Calibri" w:hAnsi="Calibri" w:cs="Times New Roman"/>
          <w:i/>
          <w:iCs/>
          <w:noProof/>
          <w:szCs w:val="24"/>
        </w:rPr>
        <w:t>Geriatr. Gerontol. Int.</w:t>
      </w:r>
      <w:r w:rsidRPr="007E0300">
        <w:rPr>
          <w:rFonts w:ascii="Calibri" w:hAnsi="Calibri" w:cs="Times New Roman"/>
          <w:noProof/>
          <w:szCs w:val="24"/>
        </w:rPr>
        <w:t xml:space="preserve"> </w:t>
      </w:r>
      <w:r w:rsidRPr="007E0300">
        <w:rPr>
          <w:rFonts w:ascii="Calibri" w:hAnsi="Calibri" w:cs="Times New Roman"/>
          <w:b/>
          <w:bCs/>
          <w:noProof/>
          <w:szCs w:val="24"/>
        </w:rPr>
        <w:t>14 Suppl 1,</w:t>
      </w:r>
      <w:r w:rsidRPr="007E0300">
        <w:rPr>
          <w:rFonts w:ascii="Calibri" w:hAnsi="Calibri" w:cs="Times New Roman"/>
          <w:noProof/>
          <w:szCs w:val="24"/>
        </w:rPr>
        <w:t xml:space="preserve"> 93–101 (2014).</w:t>
      </w:r>
    </w:p>
    <w:p w14:paraId="10791F07"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1A81A53"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74.</w:t>
      </w:r>
      <w:r w:rsidRPr="007E0300">
        <w:rPr>
          <w:rFonts w:ascii="Calibri" w:hAnsi="Calibri" w:cs="Times New Roman"/>
          <w:noProof/>
          <w:szCs w:val="24"/>
        </w:rPr>
        <w:tab/>
        <w:t xml:space="preserve">Sayer, A. A. </w:t>
      </w:r>
      <w:r w:rsidRPr="007E0300">
        <w:rPr>
          <w:rFonts w:ascii="Calibri" w:hAnsi="Calibri" w:cs="Times New Roman"/>
          <w:i/>
          <w:iCs/>
          <w:noProof/>
          <w:szCs w:val="24"/>
        </w:rPr>
        <w:t>et al.</w:t>
      </w:r>
      <w:r w:rsidRPr="007E0300">
        <w:rPr>
          <w:rFonts w:ascii="Calibri" w:hAnsi="Calibri" w:cs="Times New Roman"/>
          <w:noProof/>
          <w:szCs w:val="24"/>
        </w:rPr>
        <w:t xml:space="preserve"> Type 2 Diabetes, Muscle Strength, and Impaired Physical Function: The tip of the iceberg? </w:t>
      </w:r>
      <w:r w:rsidRPr="007E0300">
        <w:rPr>
          <w:rFonts w:ascii="Calibri" w:hAnsi="Calibri" w:cs="Times New Roman"/>
          <w:i/>
          <w:iCs/>
          <w:noProof/>
          <w:szCs w:val="24"/>
        </w:rPr>
        <w:t>Diabetes Care</w:t>
      </w:r>
      <w:r w:rsidRPr="007E0300">
        <w:rPr>
          <w:rFonts w:ascii="Calibri" w:hAnsi="Calibri" w:cs="Times New Roman"/>
          <w:noProof/>
          <w:szCs w:val="24"/>
        </w:rPr>
        <w:t xml:space="preserve"> </w:t>
      </w:r>
      <w:r w:rsidRPr="007E0300">
        <w:rPr>
          <w:rFonts w:ascii="Calibri" w:hAnsi="Calibri" w:cs="Times New Roman"/>
          <w:b/>
          <w:bCs/>
          <w:noProof/>
          <w:szCs w:val="24"/>
        </w:rPr>
        <w:t>28,</w:t>
      </w:r>
      <w:r w:rsidRPr="007E0300">
        <w:rPr>
          <w:rFonts w:ascii="Calibri" w:hAnsi="Calibri" w:cs="Times New Roman"/>
          <w:noProof/>
          <w:szCs w:val="24"/>
        </w:rPr>
        <w:t xml:space="preserve"> 2541–2542 (2005).</w:t>
      </w:r>
    </w:p>
    <w:p w14:paraId="7906A044"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E3F40C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75.</w:t>
      </w:r>
      <w:r w:rsidRPr="007E0300">
        <w:rPr>
          <w:rFonts w:ascii="Calibri" w:hAnsi="Calibri" w:cs="Times New Roman"/>
          <w:noProof/>
          <w:szCs w:val="24"/>
        </w:rPr>
        <w:tab/>
        <w:t xml:space="preserve">Reginster, J.-Y., Beaudart, C., Buckinx, F. &amp; Bruyère, O. Osteoporosis and sarcopenia: two diseases or one? </w:t>
      </w:r>
      <w:r w:rsidRPr="007E0300">
        <w:rPr>
          <w:rFonts w:ascii="Calibri" w:hAnsi="Calibri" w:cs="Times New Roman"/>
          <w:i/>
          <w:iCs/>
          <w:noProof/>
          <w:szCs w:val="24"/>
        </w:rPr>
        <w:t>Curr. Opin. Clin. Nutr. Metab. Care</w:t>
      </w:r>
      <w:r w:rsidRPr="007E0300">
        <w:rPr>
          <w:rFonts w:ascii="Calibri" w:hAnsi="Calibri" w:cs="Times New Roman"/>
          <w:noProof/>
          <w:szCs w:val="24"/>
        </w:rPr>
        <w:t xml:space="preserve"> (2015). doi:10.1097/MCO.0000000000000230</w:t>
      </w:r>
    </w:p>
    <w:p w14:paraId="2BA5A1C2"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C3B6C8A"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76.</w:t>
      </w:r>
      <w:r w:rsidRPr="007E0300">
        <w:rPr>
          <w:rFonts w:ascii="Calibri" w:hAnsi="Calibri" w:cs="Times New Roman"/>
          <w:noProof/>
          <w:szCs w:val="24"/>
        </w:rPr>
        <w:tab/>
        <w:t xml:space="preserve">Kalyani, R. R., Corriere, M. &amp; Ferrucci, L. Age-related and disease-related muscle loss: the effect of diabetes, obesity, and other diseases. </w:t>
      </w:r>
      <w:r w:rsidRPr="007E0300">
        <w:rPr>
          <w:rFonts w:ascii="Calibri" w:hAnsi="Calibri" w:cs="Times New Roman"/>
          <w:i/>
          <w:iCs/>
          <w:noProof/>
          <w:szCs w:val="24"/>
        </w:rPr>
        <w:t>lancet. Diabetes Endocrinol.</w:t>
      </w:r>
      <w:r w:rsidRPr="007E0300">
        <w:rPr>
          <w:rFonts w:ascii="Calibri" w:hAnsi="Calibri" w:cs="Times New Roman"/>
          <w:noProof/>
          <w:szCs w:val="24"/>
        </w:rPr>
        <w:t xml:space="preserve"> </w:t>
      </w:r>
      <w:r w:rsidRPr="007E0300">
        <w:rPr>
          <w:rFonts w:ascii="Calibri" w:hAnsi="Calibri" w:cs="Times New Roman"/>
          <w:b/>
          <w:bCs/>
          <w:noProof/>
          <w:szCs w:val="24"/>
        </w:rPr>
        <w:t>2,</w:t>
      </w:r>
      <w:r w:rsidRPr="007E0300">
        <w:rPr>
          <w:rFonts w:ascii="Calibri" w:hAnsi="Calibri" w:cs="Times New Roman"/>
          <w:noProof/>
          <w:szCs w:val="24"/>
        </w:rPr>
        <w:t xml:space="preserve"> 819–29 (2014).</w:t>
      </w:r>
    </w:p>
    <w:p w14:paraId="5EBFB489"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7B7DD3C4"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77.</w:t>
      </w:r>
      <w:r w:rsidRPr="007E0300">
        <w:rPr>
          <w:rFonts w:ascii="Calibri" w:hAnsi="Calibri" w:cs="Times New Roman"/>
          <w:noProof/>
          <w:szCs w:val="24"/>
        </w:rPr>
        <w:tab/>
        <w:t xml:space="preserve">Peterson, M. D., Sen, A. &amp; Gordon, P. M. Influence of resistance exercise on lean body mass in aging adults: a meta-analysis. </w:t>
      </w:r>
      <w:r w:rsidRPr="007E0300">
        <w:rPr>
          <w:rFonts w:ascii="Calibri" w:hAnsi="Calibri" w:cs="Times New Roman"/>
          <w:i/>
          <w:iCs/>
          <w:noProof/>
          <w:szCs w:val="24"/>
        </w:rPr>
        <w:t>Med Sci Sport. Exerc</w:t>
      </w:r>
      <w:r w:rsidRPr="007E0300">
        <w:rPr>
          <w:rFonts w:ascii="Calibri" w:hAnsi="Calibri" w:cs="Times New Roman"/>
          <w:noProof/>
          <w:szCs w:val="24"/>
        </w:rPr>
        <w:t xml:space="preserve"> </w:t>
      </w:r>
      <w:r w:rsidRPr="007E0300">
        <w:rPr>
          <w:rFonts w:ascii="Calibri" w:hAnsi="Calibri" w:cs="Times New Roman"/>
          <w:b/>
          <w:bCs/>
          <w:noProof/>
          <w:szCs w:val="24"/>
        </w:rPr>
        <w:t>43,</w:t>
      </w:r>
      <w:r w:rsidRPr="007E0300">
        <w:rPr>
          <w:rFonts w:ascii="Calibri" w:hAnsi="Calibri" w:cs="Times New Roman"/>
          <w:noProof/>
          <w:szCs w:val="24"/>
        </w:rPr>
        <w:t xml:space="preserve"> 249–258 (2011).</w:t>
      </w:r>
    </w:p>
    <w:p w14:paraId="25320AE7"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BD90DC6"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78.</w:t>
      </w:r>
      <w:r w:rsidRPr="007E0300">
        <w:rPr>
          <w:rFonts w:ascii="Calibri" w:hAnsi="Calibri" w:cs="Times New Roman"/>
          <w:noProof/>
          <w:szCs w:val="24"/>
        </w:rPr>
        <w:tab/>
        <w:t xml:space="preserve">Sahni, S., Mangano, K. M., Hannan, M. T., Kiel, D. P. &amp; McLean, R. R. Higher Protein Intake Is Associated with Higher Lean Mass and Quadriceps Muscle Strength in Adult Men and Women. </w:t>
      </w:r>
      <w:r w:rsidRPr="007E0300">
        <w:rPr>
          <w:rFonts w:ascii="Calibri" w:hAnsi="Calibri" w:cs="Times New Roman"/>
          <w:i/>
          <w:iCs/>
          <w:noProof/>
          <w:szCs w:val="24"/>
        </w:rPr>
        <w:t>J. Nutr.</w:t>
      </w:r>
      <w:r w:rsidRPr="007E0300">
        <w:rPr>
          <w:rFonts w:ascii="Calibri" w:hAnsi="Calibri" w:cs="Times New Roman"/>
          <w:noProof/>
          <w:szCs w:val="24"/>
        </w:rPr>
        <w:t xml:space="preserve"> </w:t>
      </w:r>
      <w:r w:rsidRPr="007E0300">
        <w:rPr>
          <w:rFonts w:ascii="Calibri" w:hAnsi="Calibri" w:cs="Times New Roman"/>
          <w:b/>
          <w:bCs/>
          <w:noProof/>
          <w:szCs w:val="24"/>
        </w:rPr>
        <w:t>145,</w:t>
      </w:r>
      <w:r w:rsidRPr="007E0300">
        <w:rPr>
          <w:rFonts w:ascii="Calibri" w:hAnsi="Calibri" w:cs="Times New Roman"/>
          <w:noProof/>
          <w:szCs w:val="24"/>
        </w:rPr>
        <w:t xml:space="preserve"> 1569–75 (2015).</w:t>
      </w:r>
    </w:p>
    <w:p w14:paraId="20F20DD8"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0109D1B1"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79.</w:t>
      </w:r>
      <w:r w:rsidRPr="007E0300">
        <w:rPr>
          <w:rFonts w:ascii="Calibri" w:hAnsi="Calibri" w:cs="Times New Roman"/>
          <w:noProof/>
          <w:szCs w:val="24"/>
        </w:rPr>
        <w:tab/>
        <w:t xml:space="preserve">Genaro, P. de S., Pinheiro, M. de M., Szejnfeld, V. L. &amp; Martini, L. A. Dietary protein intake in elderly women: association with muscle and bone mass. </w:t>
      </w:r>
      <w:r w:rsidRPr="007E0300">
        <w:rPr>
          <w:rFonts w:ascii="Calibri" w:hAnsi="Calibri" w:cs="Times New Roman"/>
          <w:i/>
          <w:iCs/>
          <w:noProof/>
          <w:szCs w:val="24"/>
        </w:rPr>
        <w:t>Nutr. Clin. Pract.</w:t>
      </w:r>
      <w:r w:rsidRPr="007E0300">
        <w:rPr>
          <w:rFonts w:ascii="Calibri" w:hAnsi="Calibri" w:cs="Times New Roman"/>
          <w:noProof/>
          <w:szCs w:val="24"/>
        </w:rPr>
        <w:t xml:space="preserve"> </w:t>
      </w:r>
      <w:r w:rsidRPr="007E0300">
        <w:rPr>
          <w:rFonts w:ascii="Calibri" w:hAnsi="Calibri" w:cs="Times New Roman"/>
          <w:b/>
          <w:bCs/>
          <w:noProof/>
          <w:szCs w:val="24"/>
        </w:rPr>
        <w:t>30,</w:t>
      </w:r>
      <w:r w:rsidRPr="007E0300">
        <w:rPr>
          <w:rFonts w:ascii="Calibri" w:hAnsi="Calibri" w:cs="Times New Roman"/>
          <w:noProof/>
          <w:szCs w:val="24"/>
        </w:rPr>
        <w:t xml:space="preserve"> 283–9 (2015).</w:t>
      </w:r>
    </w:p>
    <w:p w14:paraId="70BE2BF2"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AA8C90B"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80.</w:t>
      </w:r>
      <w:r w:rsidRPr="007E0300">
        <w:rPr>
          <w:rFonts w:ascii="Calibri" w:hAnsi="Calibri" w:cs="Times New Roman"/>
          <w:noProof/>
          <w:szCs w:val="24"/>
        </w:rPr>
        <w:tab/>
        <w:t xml:space="preserve">Bauer, J. </w:t>
      </w:r>
      <w:r w:rsidRPr="007E0300">
        <w:rPr>
          <w:rFonts w:ascii="Calibri" w:hAnsi="Calibri" w:cs="Times New Roman"/>
          <w:i/>
          <w:iCs/>
          <w:noProof/>
          <w:szCs w:val="24"/>
        </w:rPr>
        <w:t>et al.</w:t>
      </w:r>
      <w:r w:rsidRPr="007E0300">
        <w:rPr>
          <w:rFonts w:ascii="Calibri" w:hAnsi="Calibri" w:cs="Times New Roman"/>
          <w:noProof/>
          <w:szCs w:val="24"/>
        </w:rPr>
        <w:t xml:space="preserve"> Evidence-based recommendations for optimal dietary protein intake in older people: a position paper from the PROT-AGE Study Group.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14,</w:t>
      </w:r>
      <w:r w:rsidRPr="007E0300">
        <w:rPr>
          <w:rFonts w:ascii="Calibri" w:hAnsi="Calibri" w:cs="Times New Roman"/>
          <w:noProof/>
          <w:szCs w:val="24"/>
        </w:rPr>
        <w:t xml:space="preserve"> 542–59 (2013).</w:t>
      </w:r>
    </w:p>
    <w:p w14:paraId="48358030"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7839F6F"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81.</w:t>
      </w:r>
      <w:r w:rsidRPr="007E0300">
        <w:rPr>
          <w:rFonts w:ascii="Calibri" w:hAnsi="Calibri" w:cs="Times New Roman"/>
          <w:noProof/>
          <w:szCs w:val="24"/>
        </w:rPr>
        <w:tab/>
        <w:t xml:space="preserve">Deer, R. R. &amp; Volpi, E. Protein intake and muscle function in older adults. </w:t>
      </w:r>
      <w:r w:rsidRPr="007E0300">
        <w:rPr>
          <w:rFonts w:ascii="Calibri" w:hAnsi="Calibri" w:cs="Times New Roman"/>
          <w:i/>
          <w:iCs/>
          <w:noProof/>
          <w:szCs w:val="24"/>
        </w:rPr>
        <w:t>Curr. Opin. Clin. Nutr. Metab. Care</w:t>
      </w:r>
      <w:r w:rsidRPr="007E0300">
        <w:rPr>
          <w:rFonts w:ascii="Calibri" w:hAnsi="Calibri" w:cs="Times New Roman"/>
          <w:noProof/>
          <w:szCs w:val="24"/>
        </w:rPr>
        <w:t xml:space="preserve"> </w:t>
      </w:r>
      <w:r w:rsidRPr="007E0300">
        <w:rPr>
          <w:rFonts w:ascii="Calibri" w:hAnsi="Calibri" w:cs="Times New Roman"/>
          <w:b/>
          <w:bCs/>
          <w:noProof/>
          <w:szCs w:val="24"/>
        </w:rPr>
        <w:t>18,</w:t>
      </w:r>
      <w:r w:rsidRPr="007E0300">
        <w:rPr>
          <w:rFonts w:ascii="Calibri" w:hAnsi="Calibri" w:cs="Times New Roman"/>
          <w:noProof/>
          <w:szCs w:val="24"/>
        </w:rPr>
        <w:t xml:space="preserve"> 248–53 (2015).</w:t>
      </w:r>
    </w:p>
    <w:p w14:paraId="1F8831AE"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6E69735"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82.</w:t>
      </w:r>
      <w:r w:rsidRPr="007E0300">
        <w:rPr>
          <w:rFonts w:ascii="Calibri" w:hAnsi="Calibri" w:cs="Times New Roman"/>
          <w:noProof/>
          <w:szCs w:val="24"/>
        </w:rPr>
        <w:tab/>
        <w:t xml:space="preserve">Gryson, C. </w:t>
      </w:r>
      <w:r w:rsidRPr="007E0300">
        <w:rPr>
          <w:rFonts w:ascii="Calibri" w:hAnsi="Calibri" w:cs="Times New Roman"/>
          <w:i/>
          <w:iCs/>
          <w:noProof/>
          <w:szCs w:val="24"/>
        </w:rPr>
        <w:t>et al.</w:t>
      </w:r>
      <w:r w:rsidRPr="007E0300">
        <w:rPr>
          <w:rFonts w:ascii="Calibri" w:hAnsi="Calibri" w:cs="Times New Roman"/>
          <w:noProof/>
          <w:szCs w:val="24"/>
        </w:rPr>
        <w:t xml:space="preserve"> Four-month course of soluble milk proteins interacts with exercise to improve muscle strength and delay fatigue in elderly participants. </w:t>
      </w:r>
      <w:r w:rsidRPr="007E0300">
        <w:rPr>
          <w:rFonts w:ascii="Calibri" w:hAnsi="Calibri" w:cs="Times New Roman"/>
          <w:i/>
          <w:iCs/>
          <w:noProof/>
          <w:szCs w:val="24"/>
        </w:rPr>
        <w:t>J. Am. Med. Dir. Assoc.</w:t>
      </w:r>
      <w:r w:rsidRPr="007E0300">
        <w:rPr>
          <w:rFonts w:ascii="Calibri" w:hAnsi="Calibri" w:cs="Times New Roman"/>
          <w:noProof/>
          <w:szCs w:val="24"/>
        </w:rPr>
        <w:t xml:space="preserve"> </w:t>
      </w:r>
      <w:r w:rsidRPr="007E0300">
        <w:rPr>
          <w:rFonts w:ascii="Calibri" w:hAnsi="Calibri" w:cs="Times New Roman"/>
          <w:b/>
          <w:bCs/>
          <w:noProof/>
          <w:szCs w:val="24"/>
        </w:rPr>
        <w:t>15,</w:t>
      </w:r>
      <w:r w:rsidRPr="007E0300">
        <w:rPr>
          <w:rFonts w:ascii="Calibri" w:hAnsi="Calibri" w:cs="Times New Roman"/>
          <w:noProof/>
          <w:szCs w:val="24"/>
        </w:rPr>
        <w:t xml:space="preserve"> 958.e1–9 (2014).</w:t>
      </w:r>
    </w:p>
    <w:p w14:paraId="1743B289"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1B24E2ED" w14:textId="77777777" w:rsidR="007E0300" w:rsidRPr="007E0300" w:rsidRDefault="007E0300">
      <w:pPr>
        <w:widowControl w:val="0"/>
        <w:autoSpaceDE w:val="0"/>
        <w:autoSpaceDN w:val="0"/>
        <w:adjustRightInd w:val="0"/>
        <w:spacing w:after="0" w:line="240" w:lineRule="auto"/>
        <w:ind w:left="640" w:hanging="640"/>
        <w:rPr>
          <w:rFonts w:ascii="Calibri" w:hAnsi="Calibri" w:cs="Times New Roman"/>
          <w:noProof/>
          <w:szCs w:val="24"/>
        </w:rPr>
      </w:pPr>
      <w:r w:rsidRPr="007E0300">
        <w:rPr>
          <w:rFonts w:ascii="Calibri" w:hAnsi="Calibri" w:cs="Times New Roman"/>
          <w:noProof/>
          <w:szCs w:val="24"/>
        </w:rPr>
        <w:t>83.</w:t>
      </w:r>
      <w:r w:rsidRPr="007E0300">
        <w:rPr>
          <w:rFonts w:ascii="Calibri" w:hAnsi="Calibri" w:cs="Times New Roman"/>
          <w:noProof/>
          <w:szCs w:val="24"/>
        </w:rPr>
        <w:tab/>
        <w:t xml:space="preserve">Finger, D. </w:t>
      </w:r>
      <w:r w:rsidRPr="007E0300">
        <w:rPr>
          <w:rFonts w:ascii="Calibri" w:hAnsi="Calibri" w:cs="Times New Roman"/>
          <w:i/>
          <w:iCs/>
          <w:noProof/>
          <w:szCs w:val="24"/>
        </w:rPr>
        <w:t>et al.</w:t>
      </w:r>
      <w:r w:rsidRPr="007E0300">
        <w:rPr>
          <w:rFonts w:ascii="Calibri" w:hAnsi="Calibri" w:cs="Times New Roman"/>
          <w:noProof/>
          <w:szCs w:val="24"/>
        </w:rPr>
        <w:t xml:space="preserve"> Effects of protein supplementation in older adults undergoing resistance training: a systematic review and meta-analysis. </w:t>
      </w:r>
      <w:r w:rsidRPr="007E0300">
        <w:rPr>
          <w:rFonts w:ascii="Calibri" w:hAnsi="Calibri" w:cs="Times New Roman"/>
          <w:i/>
          <w:iCs/>
          <w:noProof/>
          <w:szCs w:val="24"/>
        </w:rPr>
        <w:t>Sports Med.</w:t>
      </w:r>
      <w:r w:rsidRPr="007E0300">
        <w:rPr>
          <w:rFonts w:ascii="Calibri" w:hAnsi="Calibri" w:cs="Times New Roman"/>
          <w:noProof/>
          <w:szCs w:val="24"/>
        </w:rPr>
        <w:t xml:space="preserve"> </w:t>
      </w:r>
      <w:r w:rsidRPr="007E0300">
        <w:rPr>
          <w:rFonts w:ascii="Calibri" w:hAnsi="Calibri" w:cs="Times New Roman"/>
          <w:b/>
          <w:bCs/>
          <w:noProof/>
          <w:szCs w:val="24"/>
        </w:rPr>
        <w:t>45,</w:t>
      </w:r>
      <w:r w:rsidRPr="007E0300">
        <w:rPr>
          <w:rFonts w:ascii="Calibri" w:hAnsi="Calibri" w:cs="Times New Roman"/>
          <w:noProof/>
          <w:szCs w:val="24"/>
        </w:rPr>
        <w:t xml:space="preserve"> 245–55 (2015).</w:t>
      </w:r>
    </w:p>
    <w:p w14:paraId="71225791" w14:textId="77777777" w:rsidR="007E0300" w:rsidRPr="007E0300" w:rsidRDefault="007E0300">
      <w:pPr>
        <w:widowControl w:val="0"/>
        <w:autoSpaceDE w:val="0"/>
        <w:autoSpaceDN w:val="0"/>
        <w:adjustRightInd w:val="0"/>
        <w:spacing w:after="140" w:line="288" w:lineRule="auto"/>
        <w:rPr>
          <w:rFonts w:ascii="Calibri" w:hAnsi="Calibri" w:cs="Times New Roman"/>
          <w:noProof/>
          <w:szCs w:val="24"/>
        </w:rPr>
      </w:pPr>
    </w:p>
    <w:p w14:paraId="4D863BBA" w14:textId="77777777" w:rsidR="007E0300" w:rsidRPr="007E0300" w:rsidRDefault="007E0300">
      <w:pPr>
        <w:widowControl w:val="0"/>
        <w:autoSpaceDE w:val="0"/>
        <w:autoSpaceDN w:val="0"/>
        <w:adjustRightInd w:val="0"/>
        <w:spacing w:after="0" w:line="240" w:lineRule="auto"/>
        <w:ind w:left="640" w:hanging="640"/>
        <w:rPr>
          <w:rFonts w:ascii="Calibri" w:hAnsi="Calibri"/>
          <w:noProof/>
        </w:rPr>
      </w:pPr>
      <w:r w:rsidRPr="007E0300">
        <w:rPr>
          <w:rFonts w:ascii="Calibri" w:hAnsi="Calibri" w:cs="Times New Roman"/>
          <w:noProof/>
          <w:szCs w:val="24"/>
        </w:rPr>
        <w:lastRenderedPageBreak/>
        <w:t>84.</w:t>
      </w:r>
      <w:r w:rsidRPr="007E0300">
        <w:rPr>
          <w:rFonts w:ascii="Calibri" w:hAnsi="Calibri" w:cs="Times New Roman"/>
          <w:noProof/>
          <w:szCs w:val="24"/>
        </w:rPr>
        <w:tab/>
        <w:t xml:space="preserve">Beaudart, C. </w:t>
      </w:r>
      <w:r w:rsidRPr="007E0300">
        <w:rPr>
          <w:rFonts w:ascii="Calibri" w:hAnsi="Calibri" w:cs="Times New Roman"/>
          <w:i/>
          <w:iCs/>
          <w:noProof/>
          <w:szCs w:val="24"/>
        </w:rPr>
        <w:t>et al.</w:t>
      </w:r>
      <w:r w:rsidRPr="007E0300">
        <w:rPr>
          <w:rFonts w:ascii="Calibri" w:hAnsi="Calibri" w:cs="Times New Roman"/>
          <w:noProof/>
          <w:szCs w:val="24"/>
        </w:rPr>
        <w:t xml:space="preserve"> The effects of vitamin D on skeletal muscle strength, muscle mass and muscle power: a systematic review and meta-analysis of randomized controlled trials. </w:t>
      </w:r>
      <w:r w:rsidRPr="007E0300">
        <w:rPr>
          <w:rFonts w:ascii="Calibri" w:hAnsi="Calibri" w:cs="Times New Roman"/>
          <w:i/>
          <w:iCs/>
          <w:noProof/>
          <w:szCs w:val="24"/>
        </w:rPr>
        <w:t>J Clin Endocrinol Metab</w:t>
      </w:r>
      <w:r w:rsidRPr="007E0300">
        <w:rPr>
          <w:rFonts w:ascii="Calibri" w:hAnsi="Calibri" w:cs="Times New Roman"/>
          <w:noProof/>
          <w:szCs w:val="24"/>
        </w:rPr>
        <w:t xml:space="preserve"> jc20141742 (2014). doi:10.1210/jc.2014-1742</w:t>
      </w:r>
    </w:p>
    <w:p w14:paraId="28C254AC" w14:textId="55D6E042" w:rsidR="00353EDE" w:rsidRPr="0029226E" w:rsidRDefault="00960BFC" w:rsidP="000D0863">
      <w:pPr>
        <w:pStyle w:val="NormalWeb"/>
        <w:ind w:left="640" w:hanging="640"/>
        <w:divId w:val="464155022"/>
        <w:rPr>
          <w:lang w:val="en-GB"/>
        </w:rPr>
      </w:pPr>
      <w:r w:rsidRPr="000B0221">
        <w:fldChar w:fldCharType="end"/>
      </w:r>
    </w:p>
    <w:p w14:paraId="2F662011" w14:textId="77777777" w:rsidR="00353EDE" w:rsidRPr="0029226E" w:rsidRDefault="00353EDE">
      <w:pPr>
        <w:rPr>
          <w:rFonts w:ascii="Times New Roman" w:eastAsia="Times New Roman" w:hAnsi="Times New Roman" w:cs="Times New Roman"/>
          <w:sz w:val="24"/>
          <w:szCs w:val="24"/>
          <w:lang w:eastAsia="fr-BE"/>
        </w:rPr>
      </w:pPr>
      <w:r>
        <w:br w:type="page"/>
      </w:r>
    </w:p>
    <w:p w14:paraId="7BE8E8B7" w14:textId="77777777" w:rsidR="00353EDE" w:rsidRPr="000B0221" w:rsidRDefault="00353EDE" w:rsidP="00353EDE">
      <w:pPr>
        <w:spacing w:after="0" w:line="360" w:lineRule="auto"/>
        <w:jc w:val="both"/>
        <w:divId w:val="464155022"/>
      </w:pPr>
      <w:r w:rsidRPr="000B0221">
        <w:lastRenderedPageBreak/>
        <w:t>Table 1. Applicability of the existing tools for the assessment of muscle mass, muscle strength and physical performance in research and clinical settings</w:t>
      </w:r>
    </w:p>
    <w:tbl>
      <w:tblPr>
        <w:tblStyle w:val="TableGrid"/>
        <w:tblW w:w="9288" w:type="dxa"/>
        <w:tblLook w:val="04A0" w:firstRow="1" w:lastRow="0" w:firstColumn="1" w:lastColumn="0" w:noHBand="0" w:noVBand="1"/>
      </w:tblPr>
      <w:tblGrid>
        <w:gridCol w:w="2878"/>
        <w:gridCol w:w="2288"/>
        <w:gridCol w:w="2183"/>
        <w:gridCol w:w="1939"/>
      </w:tblGrid>
      <w:tr w:rsidR="00353EDE" w:rsidRPr="000B0221" w14:paraId="3E55967E" w14:textId="77777777" w:rsidTr="00353EDE">
        <w:trPr>
          <w:divId w:val="464155022"/>
        </w:trPr>
        <w:tc>
          <w:tcPr>
            <w:tcW w:w="2878" w:type="dxa"/>
          </w:tcPr>
          <w:p w14:paraId="3134ABB1" w14:textId="77777777" w:rsidR="00353EDE" w:rsidRPr="000B0221" w:rsidRDefault="00353EDE" w:rsidP="00BC1C31">
            <w:pPr>
              <w:spacing w:line="360" w:lineRule="auto"/>
            </w:pPr>
          </w:p>
        </w:tc>
        <w:tc>
          <w:tcPr>
            <w:tcW w:w="2288" w:type="dxa"/>
          </w:tcPr>
          <w:p w14:paraId="4CAB7ED7" w14:textId="77777777" w:rsidR="00353EDE" w:rsidRPr="000B0221" w:rsidRDefault="00353EDE" w:rsidP="00BC1C31">
            <w:pPr>
              <w:spacing w:line="360" w:lineRule="auto"/>
              <w:jc w:val="center"/>
            </w:pPr>
            <w:r w:rsidRPr="000B0221">
              <w:t>Applicable in research settings</w:t>
            </w:r>
          </w:p>
        </w:tc>
        <w:tc>
          <w:tcPr>
            <w:tcW w:w="2183" w:type="dxa"/>
          </w:tcPr>
          <w:p w14:paraId="6A2DDA44" w14:textId="77777777" w:rsidR="00353EDE" w:rsidRPr="000B0221" w:rsidRDefault="00353EDE" w:rsidP="00BC1C31">
            <w:pPr>
              <w:spacing w:line="360" w:lineRule="auto"/>
              <w:jc w:val="center"/>
            </w:pPr>
            <w:r w:rsidRPr="000B0221">
              <w:t>Applicable in specialist clinical settings</w:t>
            </w:r>
          </w:p>
        </w:tc>
        <w:tc>
          <w:tcPr>
            <w:tcW w:w="1939" w:type="dxa"/>
          </w:tcPr>
          <w:p w14:paraId="7C1B4C93" w14:textId="77777777" w:rsidR="00353EDE" w:rsidRPr="000B0221" w:rsidRDefault="00353EDE" w:rsidP="00BC1C31">
            <w:pPr>
              <w:spacing w:line="360" w:lineRule="auto"/>
              <w:jc w:val="center"/>
            </w:pPr>
            <w:r w:rsidRPr="000B0221">
              <w:t>Applicable in primary care settings</w:t>
            </w:r>
          </w:p>
        </w:tc>
      </w:tr>
      <w:tr w:rsidR="00353EDE" w:rsidRPr="000B0221" w14:paraId="073C82E1" w14:textId="77777777" w:rsidTr="00353EDE">
        <w:trPr>
          <w:divId w:val="464155022"/>
        </w:trPr>
        <w:tc>
          <w:tcPr>
            <w:tcW w:w="2878" w:type="dxa"/>
          </w:tcPr>
          <w:p w14:paraId="747B399C" w14:textId="77777777" w:rsidR="00353EDE" w:rsidRPr="000B0221" w:rsidRDefault="00353EDE" w:rsidP="00BC1C31">
            <w:pPr>
              <w:spacing w:line="360" w:lineRule="auto"/>
            </w:pPr>
            <w:r w:rsidRPr="000B0221">
              <w:t>Assessment of muscle mass</w:t>
            </w:r>
          </w:p>
        </w:tc>
        <w:tc>
          <w:tcPr>
            <w:tcW w:w="2288" w:type="dxa"/>
          </w:tcPr>
          <w:p w14:paraId="365E0DB5" w14:textId="77777777" w:rsidR="00353EDE" w:rsidRPr="000B0221" w:rsidRDefault="00353EDE" w:rsidP="00BC1C31">
            <w:pPr>
              <w:spacing w:line="360" w:lineRule="auto"/>
            </w:pPr>
          </w:p>
        </w:tc>
        <w:tc>
          <w:tcPr>
            <w:tcW w:w="2183" w:type="dxa"/>
          </w:tcPr>
          <w:p w14:paraId="5140B225" w14:textId="77777777" w:rsidR="00353EDE" w:rsidRPr="000B0221" w:rsidRDefault="00353EDE" w:rsidP="00BC1C31">
            <w:pPr>
              <w:spacing w:line="360" w:lineRule="auto"/>
            </w:pPr>
          </w:p>
        </w:tc>
        <w:tc>
          <w:tcPr>
            <w:tcW w:w="1939" w:type="dxa"/>
          </w:tcPr>
          <w:p w14:paraId="39FF03AB" w14:textId="77777777" w:rsidR="00353EDE" w:rsidRPr="000B0221" w:rsidRDefault="00353EDE" w:rsidP="00BC1C31">
            <w:pPr>
              <w:spacing w:line="360" w:lineRule="auto"/>
            </w:pPr>
          </w:p>
        </w:tc>
      </w:tr>
      <w:tr w:rsidR="00353EDE" w:rsidRPr="000B0221" w14:paraId="5CFDAE56" w14:textId="77777777" w:rsidTr="00353EDE">
        <w:trPr>
          <w:divId w:val="464155022"/>
        </w:trPr>
        <w:tc>
          <w:tcPr>
            <w:tcW w:w="2878" w:type="dxa"/>
          </w:tcPr>
          <w:p w14:paraId="3775975A" w14:textId="77777777" w:rsidR="00353EDE" w:rsidRPr="000B0221" w:rsidRDefault="00353EDE" w:rsidP="00BC1C31">
            <w:pPr>
              <w:spacing w:line="360" w:lineRule="auto"/>
              <w:rPr>
                <w:i/>
                <w:sz w:val="20"/>
              </w:rPr>
            </w:pPr>
            <w:r w:rsidRPr="000B0221">
              <w:rPr>
                <w:i/>
                <w:sz w:val="20"/>
              </w:rPr>
              <w:t xml:space="preserve">     DXA</w:t>
            </w:r>
          </w:p>
        </w:tc>
        <w:tc>
          <w:tcPr>
            <w:tcW w:w="2288" w:type="dxa"/>
          </w:tcPr>
          <w:p w14:paraId="353C3894" w14:textId="77777777" w:rsidR="00353EDE" w:rsidRPr="000B0221" w:rsidRDefault="00353EDE" w:rsidP="00BC1C31">
            <w:pPr>
              <w:spacing w:line="360" w:lineRule="auto"/>
              <w:jc w:val="center"/>
            </w:pPr>
            <w:r w:rsidRPr="000B0221">
              <w:t>+++</w:t>
            </w:r>
          </w:p>
        </w:tc>
        <w:tc>
          <w:tcPr>
            <w:tcW w:w="2183" w:type="dxa"/>
          </w:tcPr>
          <w:p w14:paraId="62535A48" w14:textId="77777777" w:rsidR="00353EDE" w:rsidRPr="000B0221" w:rsidRDefault="00353EDE" w:rsidP="00BC1C31">
            <w:pPr>
              <w:spacing w:line="360" w:lineRule="auto"/>
              <w:jc w:val="center"/>
            </w:pPr>
            <w:r w:rsidRPr="000B0221">
              <w:t>+++</w:t>
            </w:r>
          </w:p>
        </w:tc>
        <w:tc>
          <w:tcPr>
            <w:tcW w:w="1939" w:type="dxa"/>
          </w:tcPr>
          <w:p w14:paraId="32BB782A" w14:textId="77777777" w:rsidR="00353EDE" w:rsidRPr="000B0221" w:rsidRDefault="00353EDE" w:rsidP="00BC1C31">
            <w:pPr>
              <w:spacing w:line="360" w:lineRule="auto"/>
              <w:jc w:val="center"/>
            </w:pPr>
            <w:r w:rsidRPr="000B0221">
              <w:t>+</w:t>
            </w:r>
          </w:p>
        </w:tc>
      </w:tr>
      <w:tr w:rsidR="00353EDE" w:rsidRPr="000B0221" w14:paraId="746EE494" w14:textId="77777777" w:rsidTr="00353EDE">
        <w:trPr>
          <w:divId w:val="464155022"/>
        </w:trPr>
        <w:tc>
          <w:tcPr>
            <w:tcW w:w="2878" w:type="dxa"/>
          </w:tcPr>
          <w:p w14:paraId="0B15F33C" w14:textId="77777777" w:rsidR="00353EDE" w:rsidRPr="000B0221" w:rsidRDefault="00353EDE" w:rsidP="00BC1C31">
            <w:pPr>
              <w:spacing w:line="360" w:lineRule="auto"/>
              <w:rPr>
                <w:i/>
                <w:sz w:val="20"/>
              </w:rPr>
            </w:pPr>
            <w:r w:rsidRPr="000B0221">
              <w:rPr>
                <w:i/>
                <w:sz w:val="20"/>
              </w:rPr>
              <w:t xml:space="preserve">     Anthropometric measurements</w:t>
            </w:r>
          </w:p>
        </w:tc>
        <w:tc>
          <w:tcPr>
            <w:tcW w:w="2288" w:type="dxa"/>
          </w:tcPr>
          <w:p w14:paraId="6420FE0A" w14:textId="77777777" w:rsidR="00353EDE" w:rsidRPr="000B0221" w:rsidRDefault="00353EDE" w:rsidP="00BC1C31">
            <w:pPr>
              <w:spacing w:line="360" w:lineRule="auto"/>
              <w:jc w:val="center"/>
            </w:pPr>
            <w:r w:rsidRPr="000B0221">
              <w:t>+</w:t>
            </w:r>
          </w:p>
        </w:tc>
        <w:tc>
          <w:tcPr>
            <w:tcW w:w="2183" w:type="dxa"/>
          </w:tcPr>
          <w:p w14:paraId="60BEBD24" w14:textId="77777777" w:rsidR="00353EDE" w:rsidRPr="000B0221" w:rsidRDefault="00353EDE" w:rsidP="00BC1C31">
            <w:pPr>
              <w:spacing w:line="360" w:lineRule="auto"/>
              <w:jc w:val="center"/>
            </w:pPr>
            <w:r w:rsidRPr="000B0221">
              <w:t>++</w:t>
            </w:r>
          </w:p>
        </w:tc>
        <w:tc>
          <w:tcPr>
            <w:tcW w:w="1939" w:type="dxa"/>
          </w:tcPr>
          <w:p w14:paraId="106B036B" w14:textId="77777777" w:rsidR="00353EDE" w:rsidRPr="000B0221" w:rsidRDefault="00353EDE" w:rsidP="00BC1C31">
            <w:pPr>
              <w:spacing w:line="360" w:lineRule="auto"/>
              <w:jc w:val="center"/>
            </w:pPr>
            <w:r w:rsidRPr="000B0221">
              <w:t>++</w:t>
            </w:r>
          </w:p>
        </w:tc>
      </w:tr>
      <w:tr w:rsidR="00353EDE" w:rsidRPr="000B0221" w14:paraId="568916E1" w14:textId="77777777" w:rsidTr="00353EDE">
        <w:trPr>
          <w:divId w:val="464155022"/>
        </w:trPr>
        <w:tc>
          <w:tcPr>
            <w:tcW w:w="2878" w:type="dxa"/>
          </w:tcPr>
          <w:p w14:paraId="5D43F142" w14:textId="77777777" w:rsidR="00353EDE" w:rsidRPr="000B0221" w:rsidRDefault="00353EDE" w:rsidP="00BC1C31">
            <w:pPr>
              <w:spacing w:line="360" w:lineRule="auto"/>
              <w:rPr>
                <w:i/>
                <w:sz w:val="20"/>
              </w:rPr>
            </w:pPr>
            <w:r w:rsidRPr="000B0221">
              <w:rPr>
                <w:i/>
                <w:sz w:val="20"/>
              </w:rPr>
              <w:t xml:space="preserve">     CT-scan</w:t>
            </w:r>
          </w:p>
        </w:tc>
        <w:tc>
          <w:tcPr>
            <w:tcW w:w="2288" w:type="dxa"/>
          </w:tcPr>
          <w:p w14:paraId="128B559C" w14:textId="77777777" w:rsidR="00353EDE" w:rsidRPr="000B0221" w:rsidRDefault="00353EDE" w:rsidP="00BC1C31">
            <w:pPr>
              <w:spacing w:line="360" w:lineRule="auto"/>
              <w:jc w:val="center"/>
            </w:pPr>
            <w:r w:rsidRPr="000B0221">
              <w:t>+++</w:t>
            </w:r>
          </w:p>
        </w:tc>
        <w:tc>
          <w:tcPr>
            <w:tcW w:w="2183" w:type="dxa"/>
          </w:tcPr>
          <w:p w14:paraId="065FF2FB" w14:textId="77777777" w:rsidR="00353EDE" w:rsidRPr="000B0221" w:rsidRDefault="00353EDE" w:rsidP="00BC1C31">
            <w:pPr>
              <w:spacing w:line="360" w:lineRule="auto"/>
              <w:jc w:val="center"/>
            </w:pPr>
            <w:r w:rsidRPr="000B0221">
              <w:t>++</w:t>
            </w:r>
          </w:p>
        </w:tc>
        <w:tc>
          <w:tcPr>
            <w:tcW w:w="1939" w:type="dxa"/>
          </w:tcPr>
          <w:p w14:paraId="29F9283B" w14:textId="77777777" w:rsidR="00353EDE" w:rsidRPr="000B0221" w:rsidRDefault="00353EDE" w:rsidP="00BC1C31">
            <w:pPr>
              <w:spacing w:line="360" w:lineRule="auto"/>
              <w:jc w:val="center"/>
            </w:pPr>
            <w:r w:rsidRPr="000B0221">
              <w:t>+</w:t>
            </w:r>
          </w:p>
        </w:tc>
      </w:tr>
      <w:tr w:rsidR="00353EDE" w:rsidRPr="000B0221" w14:paraId="24B24CA0" w14:textId="77777777" w:rsidTr="00353EDE">
        <w:trPr>
          <w:divId w:val="464155022"/>
        </w:trPr>
        <w:tc>
          <w:tcPr>
            <w:tcW w:w="2878" w:type="dxa"/>
          </w:tcPr>
          <w:p w14:paraId="643F9F76" w14:textId="77777777" w:rsidR="00353EDE" w:rsidRPr="000B0221" w:rsidRDefault="00353EDE" w:rsidP="00BC1C31">
            <w:pPr>
              <w:spacing w:line="360" w:lineRule="auto"/>
              <w:rPr>
                <w:i/>
                <w:sz w:val="20"/>
              </w:rPr>
            </w:pPr>
            <w:r w:rsidRPr="000B0221">
              <w:rPr>
                <w:i/>
                <w:sz w:val="20"/>
              </w:rPr>
              <w:t xml:space="preserve">     MRI</w:t>
            </w:r>
          </w:p>
        </w:tc>
        <w:tc>
          <w:tcPr>
            <w:tcW w:w="2288" w:type="dxa"/>
          </w:tcPr>
          <w:p w14:paraId="77D55704" w14:textId="77777777" w:rsidR="00353EDE" w:rsidRPr="000B0221" w:rsidRDefault="00353EDE" w:rsidP="00BC1C31">
            <w:pPr>
              <w:spacing w:line="360" w:lineRule="auto"/>
              <w:jc w:val="center"/>
            </w:pPr>
            <w:r w:rsidRPr="000B0221">
              <w:t>+++</w:t>
            </w:r>
          </w:p>
        </w:tc>
        <w:tc>
          <w:tcPr>
            <w:tcW w:w="2183" w:type="dxa"/>
          </w:tcPr>
          <w:p w14:paraId="4E783CE6" w14:textId="77777777" w:rsidR="00353EDE" w:rsidRPr="000B0221" w:rsidRDefault="00353EDE" w:rsidP="00BC1C31">
            <w:pPr>
              <w:spacing w:line="360" w:lineRule="auto"/>
              <w:jc w:val="center"/>
            </w:pPr>
            <w:r w:rsidRPr="000B0221">
              <w:t>++</w:t>
            </w:r>
          </w:p>
        </w:tc>
        <w:tc>
          <w:tcPr>
            <w:tcW w:w="1939" w:type="dxa"/>
          </w:tcPr>
          <w:p w14:paraId="75C5148D" w14:textId="77777777" w:rsidR="00353EDE" w:rsidRPr="000B0221" w:rsidRDefault="00353EDE" w:rsidP="00BC1C31">
            <w:pPr>
              <w:spacing w:line="360" w:lineRule="auto"/>
              <w:jc w:val="center"/>
            </w:pPr>
            <w:r w:rsidRPr="000B0221">
              <w:t>+</w:t>
            </w:r>
          </w:p>
        </w:tc>
      </w:tr>
      <w:tr w:rsidR="00353EDE" w:rsidRPr="000B0221" w14:paraId="59DD64E2" w14:textId="77777777" w:rsidTr="00353EDE">
        <w:trPr>
          <w:divId w:val="464155022"/>
        </w:trPr>
        <w:tc>
          <w:tcPr>
            <w:tcW w:w="2878" w:type="dxa"/>
          </w:tcPr>
          <w:p w14:paraId="67326313" w14:textId="77777777" w:rsidR="00353EDE" w:rsidRPr="000B0221" w:rsidRDefault="00353EDE" w:rsidP="00BC1C31">
            <w:pPr>
              <w:spacing w:line="360" w:lineRule="auto"/>
              <w:rPr>
                <w:i/>
                <w:sz w:val="20"/>
              </w:rPr>
            </w:pPr>
            <w:r w:rsidRPr="000B0221">
              <w:rPr>
                <w:i/>
                <w:sz w:val="20"/>
              </w:rPr>
              <w:t xml:space="preserve">     BIA</w:t>
            </w:r>
          </w:p>
        </w:tc>
        <w:tc>
          <w:tcPr>
            <w:tcW w:w="2288" w:type="dxa"/>
          </w:tcPr>
          <w:p w14:paraId="130FBEA6" w14:textId="77777777" w:rsidR="00353EDE" w:rsidRPr="000B0221" w:rsidRDefault="00353EDE" w:rsidP="00BC1C31">
            <w:pPr>
              <w:spacing w:line="360" w:lineRule="auto"/>
              <w:jc w:val="center"/>
            </w:pPr>
            <w:r w:rsidRPr="000B0221">
              <w:t>+</w:t>
            </w:r>
            <w:r>
              <w:t>+</w:t>
            </w:r>
          </w:p>
        </w:tc>
        <w:tc>
          <w:tcPr>
            <w:tcW w:w="2183" w:type="dxa"/>
          </w:tcPr>
          <w:p w14:paraId="5E11AB9D" w14:textId="77777777" w:rsidR="00353EDE" w:rsidRPr="000B0221" w:rsidRDefault="00353EDE" w:rsidP="00BC1C31">
            <w:pPr>
              <w:spacing w:line="360" w:lineRule="auto"/>
              <w:jc w:val="center"/>
            </w:pPr>
            <w:r w:rsidRPr="000B0221">
              <w:t>+</w:t>
            </w:r>
            <w:r>
              <w:t>+</w:t>
            </w:r>
          </w:p>
        </w:tc>
        <w:tc>
          <w:tcPr>
            <w:tcW w:w="1939" w:type="dxa"/>
          </w:tcPr>
          <w:p w14:paraId="66F1808C" w14:textId="77777777" w:rsidR="00353EDE" w:rsidRPr="000B0221" w:rsidRDefault="00353EDE" w:rsidP="00BC1C31">
            <w:pPr>
              <w:spacing w:line="360" w:lineRule="auto"/>
              <w:jc w:val="center"/>
            </w:pPr>
            <w:r w:rsidRPr="000B0221">
              <w:t>+</w:t>
            </w:r>
          </w:p>
        </w:tc>
      </w:tr>
      <w:tr w:rsidR="00353EDE" w:rsidRPr="000B0221" w14:paraId="34694696" w14:textId="77777777" w:rsidTr="00353EDE">
        <w:trPr>
          <w:divId w:val="464155022"/>
        </w:trPr>
        <w:tc>
          <w:tcPr>
            <w:tcW w:w="2878" w:type="dxa"/>
          </w:tcPr>
          <w:p w14:paraId="1D740CC4" w14:textId="77777777" w:rsidR="00353EDE" w:rsidRPr="000B0221" w:rsidRDefault="00353EDE" w:rsidP="00BC1C31">
            <w:pPr>
              <w:spacing w:line="360" w:lineRule="auto"/>
            </w:pPr>
            <w:r w:rsidRPr="000B0221">
              <w:t>Assessment of muscle strength</w:t>
            </w:r>
          </w:p>
        </w:tc>
        <w:tc>
          <w:tcPr>
            <w:tcW w:w="2288" w:type="dxa"/>
          </w:tcPr>
          <w:p w14:paraId="081A8CCE" w14:textId="77777777" w:rsidR="00353EDE" w:rsidRPr="000B0221" w:rsidRDefault="00353EDE" w:rsidP="00BC1C31">
            <w:pPr>
              <w:spacing w:line="360" w:lineRule="auto"/>
            </w:pPr>
          </w:p>
        </w:tc>
        <w:tc>
          <w:tcPr>
            <w:tcW w:w="2183" w:type="dxa"/>
          </w:tcPr>
          <w:p w14:paraId="7D9866E4" w14:textId="77777777" w:rsidR="00353EDE" w:rsidRPr="000B0221" w:rsidRDefault="00353EDE" w:rsidP="00BC1C31">
            <w:pPr>
              <w:spacing w:line="360" w:lineRule="auto"/>
            </w:pPr>
          </w:p>
        </w:tc>
        <w:tc>
          <w:tcPr>
            <w:tcW w:w="1939" w:type="dxa"/>
          </w:tcPr>
          <w:p w14:paraId="5AB03189" w14:textId="77777777" w:rsidR="00353EDE" w:rsidRPr="000B0221" w:rsidRDefault="00353EDE" w:rsidP="00BC1C31">
            <w:pPr>
              <w:spacing w:line="360" w:lineRule="auto"/>
            </w:pPr>
          </w:p>
        </w:tc>
      </w:tr>
      <w:tr w:rsidR="00353EDE" w:rsidRPr="000B0221" w14:paraId="6AD24D7C" w14:textId="77777777" w:rsidTr="00353EDE">
        <w:trPr>
          <w:divId w:val="464155022"/>
        </w:trPr>
        <w:tc>
          <w:tcPr>
            <w:tcW w:w="2878" w:type="dxa"/>
          </w:tcPr>
          <w:p w14:paraId="45C5BEF6" w14:textId="77777777" w:rsidR="00353EDE" w:rsidRPr="000B0221" w:rsidRDefault="00353EDE" w:rsidP="00BC1C31">
            <w:pPr>
              <w:spacing w:line="360" w:lineRule="auto"/>
              <w:rPr>
                <w:i/>
                <w:sz w:val="20"/>
              </w:rPr>
            </w:pPr>
            <w:r w:rsidRPr="000B0221">
              <w:rPr>
                <w:i/>
                <w:sz w:val="20"/>
              </w:rPr>
              <w:t xml:space="preserve">     Handgrip strength</w:t>
            </w:r>
          </w:p>
        </w:tc>
        <w:tc>
          <w:tcPr>
            <w:tcW w:w="2288" w:type="dxa"/>
          </w:tcPr>
          <w:p w14:paraId="4E3BAE5F" w14:textId="77777777" w:rsidR="00353EDE" w:rsidRPr="000B0221" w:rsidRDefault="00353EDE" w:rsidP="00BC1C31">
            <w:pPr>
              <w:spacing w:line="360" w:lineRule="auto"/>
              <w:jc w:val="center"/>
            </w:pPr>
            <w:r w:rsidRPr="000B0221">
              <w:t>+++</w:t>
            </w:r>
          </w:p>
        </w:tc>
        <w:tc>
          <w:tcPr>
            <w:tcW w:w="2183" w:type="dxa"/>
          </w:tcPr>
          <w:p w14:paraId="629D4588" w14:textId="77777777" w:rsidR="00353EDE" w:rsidRPr="000B0221" w:rsidRDefault="00353EDE" w:rsidP="00BC1C31">
            <w:pPr>
              <w:spacing w:line="360" w:lineRule="auto"/>
              <w:jc w:val="center"/>
            </w:pPr>
            <w:r w:rsidRPr="000B0221">
              <w:t>+++</w:t>
            </w:r>
          </w:p>
        </w:tc>
        <w:tc>
          <w:tcPr>
            <w:tcW w:w="1939" w:type="dxa"/>
          </w:tcPr>
          <w:p w14:paraId="46815623" w14:textId="77777777" w:rsidR="00353EDE" w:rsidRPr="000B0221" w:rsidRDefault="00353EDE" w:rsidP="00BC1C31">
            <w:pPr>
              <w:spacing w:line="360" w:lineRule="auto"/>
              <w:jc w:val="center"/>
            </w:pPr>
            <w:r w:rsidRPr="000B0221">
              <w:t>+++</w:t>
            </w:r>
          </w:p>
        </w:tc>
      </w:tr>
      <w:tr w:rsidR="00353EDE" w:rsidRPr="000B0221" w14:paraId="67210EFD" w14:textId="77777777" w:rsidTr="00353EDE">
        <w:trPr>
          <w:divId w:val="464155022"/>
        </w:trPr>
        <w:tc>
          <w:tcPr>
            <w:tcW w:w="2878" w:type="dxa"/>
          </w:tcPr>
          <w:p w14:paraId="20F386E9" w14:textId="77777777" w:rsidR="00353EDE" w:rsidRPr="000B0221" w:rsidRDefault="00353EDE" w:rsidP="00BC1C31">
            <w:pPr>
              <w:spacing w:line="360" w:lineRule="auto"/>
              <w:rPr>
                <w:i/>
                <w:sz w:val="20"/>
              </w:rPr>
            </w:pPr>
            <w:r w:rsidRPr="000B0221">
              <w:rPr>
                <w:i/>
                <w:sz w:val="20"/>
              </w:rPr>
              <w:t xml:space="preserve">     Lower limb muscle strength</w:t>
            </w:r>
          </w:p>
        </w:tc>
        <w:tc>
          <w:tcPr>
            <w:tcW w:w="2288" w:type="dxa"/>
          </w:tcPr>
          <w:p w14:paraId="398B4BAC" w14:textId="77777777" w:rsidR="00353EDE" w:rsidRPr="000B0221" w:rsidRDefault="00353EDE" w:rsidP="00BC1C31">
            <w:pPr>
              <w:spacing w:line="360" w:lineRule="auto"/>
              <w:jc w:val="center"/>
            </w:pPr>
            <w:r w:rsidRPr="000B0221">
              <w:t>+++</w:t>
            </w:r>
          </w:p>
        </w:tc>
        <w:tc>
          <w:tcPr>
            <w:tcW w:w="2183" w:type="dxa"/>
          </w:tcPr>
          <w:p w14:paraId="2FE2D3B6" w14:textId="77777777" w:rsidR="00353EDE" w:rsidRPr="000B0221" w:rsidRDefault="00353EDE" w:rsidP="00BC1C31">
            <w:pPr>
              <w:spacing w:line="360" w:lineRule="auto"/>
              <w:jc w:val="center"/>
            </w:pPr>
            <w:r w:rsidRPr="000B0221">
              <w:t>++</w:t>
            </w:r>
          </w:p>
        </w:tc>
        <w:tc>
          <w:tcPr>
            <w:tcW w:w="1939" w:type="dxa"/>
          </w:tcPr>
          <w:p w14:paraId="2BE0B8DF" w14:textId="77777777" w:rsidR="00353EDE" w:rsidRPr="000B0221" w:rsidRDefault="00353EDE" w:rsidP="00BC1C31">
            <w:pPr>
              <w:spacing w:line="360" w:lineRule="auto"/>
              <w:jc w:val="center"/>
            </w:pPr>
            <w:r w:rsidRPr="000B0221">
              <w:t>+</w:t>
            </w:r>
          </w:p>
        </w:tc>
      </w:tr>
      <w:tr w:rsidR="00353EDE" w:rsidRPr="000B0221" w14:paraId="4C796922" w14:textId="77777777" w:rsidTr="00353EDE">
        <w:trPr>
          <w:divId w:val="464155022"/>
        </w:trPr>
        <w:tc>
          <w:tcPr>
            <w:tcW w:w="2878" w:type="dxa"/>
          </w:tcPr>
          <w:p w14:paraId="7A48E0CA" w14:textId="77777777" w:rsidR="00353EDE" w:rsidRPr="000B0221" w:rsidRDefault="00353EDE" w:rsidP="00BC1C31">
            <w:pPr>
              <w:spacing w:line="360" w:lineRule="auto"/>
            </w:pPr>
            <w:r w:rsidRPr="000B0221">
              <w:rPr>
                <w:i/>
                <w:sz w:val="20"/>
              </w:rPr>
              <w:t xml:space="preserve">     Repeated chair stands test</w:t>
            </w:r>
          </w:p>
        </w:tc>
        <w:tc>
          <w:tcPr>
            <w:tcW w:w="2288" w:type="dxa"/>
          </w:tcPr>
          <w:p w14:paraId="58E4A044" w14:textId="77777777" w:rsidR="00353EDE" w:rsidRPr="000B0221" w:rsidRDefault="00353EDE" w:rsidP="00BC1C31">
            <w:pPr>
              <w:spacing w:line="360" w:lineRule="auto"/>
              <w:jc w:val="center"/>
            </w:pPr>
            <w:r w:rsidRPr="000B0221">
              <w:t>+</w:t>
            </w:r>
          </w:p>
        </w:tc>
        <w:tc>
          <w:tcPr>
            <w:tcW w:w="2183" w:type="dxa"/>
          </w:tcPr>
          <w:p w14:paraId="55E52658" w14:textId="77777777" w:rsidR="00353EDE" w:rsidRPr="000B0221" w:rsidRDefault="00353EDE" w:rsidP="00BC1C31">
            <w:pPr>
              <w:spacing w:line="360" w:lineRule="auto"/>
              <w:jc w:val="center"/>
            </w:pPr>
            <w:r w:rsidRPr="000B0221">
              <w:t>+</w:t>
            </w:r>
          </w:p>
        </w:tc>
        <w:tc>
          <w:tcPr>
            <w:tcW w:w="1939" w:type="dxa"/>
          </w:tcPr>
          <w:p w14:paraId="52FCEF69" w14:textId="77777777" w:rsidR="00353EDE" w:rsidRPr="000B0221" w:rsidRDefault="00353EDE" w:rsidP="00BC1C31">
            <w:pPr>
              <w:spacing w:line="360" w:lineRule="auto"/>
              <w:jc w:val="center"/>
            </w:pPr>
            <w:r w:rsidRPr="000B0221">
              <w:t>++</w:t>
            </w:r>
          </w:p>
        </w:tc>
      </w:tr>
      <w:tr w:rsidR="00353EDE" w:rsidRPr="000B0221" w14:paraId="3AEFBC1D" w14:textId="77777777" w:rsidTr="00353EDE">
        <w:trPr>
          <w:divId w:val="464155022"/>
        </w:trPr>
        <w:tc>
          <w:tcPr>
            <w:tcW w:w="2878" w:type="dxa"/>
          </w:tcPr>
          <w:p w14:paraId="68C31CF5" w14:textId="77777777" w:rsidR="00353EDE" w:rsidRPr="000B0221" w:rsidRDefault="00353EDE" w:rsidP="00BC1C31">
            <w:pPr>
              <w:spacing w:line="360" w:lineRule="auto"/>
            </w:pPr>
            <w:r w:rsidRPr="000B0221">
              <w:t>Assessment of physical performance</w:t>
            </w:r>
          </w:p>
        </w:tc>
        <w:tc>
          <w:tcPr>
            <w:tcW w:w="2288" w:type="dxa"/>
          </w:tcPr>
          <w:p w14:paraId="203ADA84" w14:textId="77777777" w:rsidR="00353EDE" w:rsidRPr="000B0221" w:rsidRDefault="00353EDE" w:rsidP="00BC1C31">
            <w:pPr>
              <w:spacing w:line="360" w:lineRule="auto"/>
            </w:pPr>
          </w:p>
        </w:tc>
        <w:tc>
          <w:tcPr>
            <w:tcW w:w="2183" w:type="dxa"/>
          </w:tcPr>
          <w:p w14:paraId="0CDDC8EE" w14:textId="77777777" w:rsidR="00353EDE" w:rsidRPr="000B0221" w:rsidRDefault="00353EDE" w:rsidP="00BC1C31">
            <w:pPr>
              <w:spacing w:line="360" w:lineRule="auto"/>
            </w:pPr>
          </w:p>
        </w:tc>
        <w:tc>
          <w:tcPr>
            <w:tcW w:w="1939" w:type="dxa"/>
          </w:tcPr>
          <w:p w14:paraId="3372172C" w14:textId="77777777" w:rsidR="00353EDE" w:rsidRPr="000B0221" w:rsidRDefault="00353EDE" w:rsidP="00BC1C31">
            <w:pPr>
              <w:spacing w:line="360" w:lineRule="auto"/>
            </w:pPr>
          </w:p>
        </w:tc>
      </w:tr>
      <w:tr w:rsidR="00353EDE" w:rsidRPr="000B0221" w14:paraId="411D4035" w14:textId="77777777" w:rsidTr="00353EDE">
        <w:trPr>
          <w:divId w:val="464155022"/>
        </w:trPr>
        <w:tc>
          <w:tcPr>
            <w:tcW w:w="2878" w:type="dxa"/>
          </w:tcPr>
          <w:p w14:paraId="1A10892B" w14:textId="77777777" w:rsidR="00353EDE" w:rsidRPr="000B0221" w:rsidRDefault="00353EDE" w:rsidP="00BC1C31">
            <w:pPr>
              <w:spacing w:line="360" w:lineRule="auto"/>
              <w:rPr>
                <w:i/>
                <w:sz w:val="20"/>
              </w:rPr>
            </w:pPr>
            <w:r w:rsidRPr="000B0221">
              <w:rPr>
                <w:i/>
                <w:sz w:val="20"/>
              </w:rPr>
              <w:t xml:space="preserve">     Gait speed</w:t>
            </w:r>
          </w:p>
        </w:tc>
        <w:tc>
          <w:tcPr>
            <w:tcW w:w="2288" w:type="dxa"/>
          </w:tcPr>
          <w:p w14:paraId="076AE7ED" w14:textId="77777777" w:rsidR="00353EDE" w:rsidRPr="000B0221" w:rsidRDefault="00353EDE" w:rsidP="00BC1C31">
            <w:pPr>
              <w:spacing w:line="360" w:lineRule="auto"/>
              <w:jc w:val="center"/>
            </w:pPr>
            <w:r w:rsidRPr="000B0221">
              <w:t>+++</w:t>
            </w:r>
          </w:p>
        </w:tc>
        <w:tc>
          <w:tcPr>
            <w:tcW w:w="2183" w:type="dxa"/>
          </w:tcPr>
          <w:p w14:paraId="2B503682" w14:textId="77777777" w:rsidR="00353EDE" w:rsidRPr="000B0221" w:rsidRDefault="00353EDE" w:rsidP="00BC1C31">
            <w:pPr>
              <w:spacing w:line="360" w:lineRule="auto"/>
              <w:jc w:val="center"/>
            </w:pPr>
            <w:r w:rsidRPr="000B0221">
              <w:t>+++</w:t>
            </w:r>
          </w:p>
        </w:tc>
        <w:tc>
          <w:tcPr>
            <w:tcW w:w="1939" w:type="dxa"/>
          </w:tcPr>
          <w:p w14:paraId="3F47D0AD" w14:textId="77777777" w:rsidR="00353EDE" w:rsidRPr="000B0221" w:rsidRDefault="00353EDE" w:rsidP="00BC1C31">
            <w:pPr>
              <w:spacing w:line="360" w:lineRule="auto"/>
              <w:jc w:val="center"/>
            </w:pPr>
            <w:r w:rsidRPr="000B0221">
              <w:t>+++</w:t>
            </w:r>
          </w:p>
        </w:tc>
      </w:tr>
      <w:tr w:rsidR="00353EDE" w:rsidRPr="000B0221" w14:paraId="74F81979" w14:textId="77777777" w:rsidTr="00353EDE">
        <w:trPr>
          <w:divId w:val="464155022"/>
        </w:trPr>
        <w:tc>
          <w:tcPr>
            <w:tcW w:w="2878" w:type="dxa"/>
          </w:tcPr>
          <w:p w14:paraId="1A351669" w14:textId="77777777" w:rsidR="00353EDE" w:rsidRPr="000B0221" w:rsidRDefault="00353EDE" w:rsidP="00BC1C31">
            <w:pPr>
              <w:spacing w:line="360" w:lineRule="auto"/>
              <w:rPr>
                <w:i/>
                <w:sz w:val="20"/>
              </w:rPr>
            </w:pPr>
            <w:r w:rsidRPr="000B0221">
              <w:rPr>
                <w:i/>
                <w:sz w:val="20"/>
              </w:rPr>
              <w:t xml:space="preserve">     Timed Up and Go test</w:t>
            </w:r>
          </w:p>
        </w:tc>
        <w:tc>
          <w:tcPr>
            <w:tcW w:w="2288" w:type="dxa"/>
          </w:tcPr>
          <w:p w14:paraId="01A975DE" w14:textId="77777777" w:rsidR="00353EDE" w:rsidRPr="000B0221" w:rsidRDefault="00353EDE" w:rsidP="00BC1C31">
            <w:pPr>
              <w:spacing w:line="360" w:lineRule="auto"/>
              <w:jc w:val="center"/>
            </w:pPr>
            <w:r w:rsidRPr="000B0221">
              <w:t>++</w:t>
            </w:r>
          </w:p>
        </w:tc>
        <w:tc>
          <w:tcPr>
            <w:tcW w:w="2183" w:type="dxa"/>
          </w:tcPr>
          <w:p w14:paraId="5D1B7035" w14:textId="77777777" w:rsidR="00353EDE" w:rsidRPr="000B0221" w:rsidRDefault="00353EDE" w:rsidP="00BC1C31">
            <w:pPr>
              <w:spacing w:line="360" w:lineRule="auto"/>
              <w:jc w:val="center"/>
            </w:pPr>
            <w:r w:rsidRPr="000B0221">
              <w:t>+</w:t>
            </w:r>
          </w:p>
        </w:tc>
        <w:tc>
          <w:tcPr>
            <w:tcW w:w="1939" w:type="dxa"/>
          </w:tcPr>
          <w:p w14:paraId="00AC81B1" w14:textId="77777777" w:rsidR="00353EDE" w:rsidRPr="000B0221" w:rsidRDefault="00353EDE" w:rsidP="00BC1C31">
            <w:pPr>
              <w:spacing w:line="360" w:lineRule="auto"/>
              <w:jc w:val="center"/>
            </w:pPr>
            <w:r w:rsidRPr="000B0221">
              <w:t>+</w:t>
            </w:r>
          </w:p>
        </w:tc>
      </w:tr>
      <w:tr w:rsidR="00353EDE" w:rsidRPr="000B0221" w14:paraId="729540FC" w14:textId="77777777" w:rsidTr="00353EDE">
        <w:trPr>
          <w:divId w:val="464155022"/>
        </w:trPr>
        <w:tc>
          <w:tcPr>
            <w:tcW w:w="2878" w:type="dxa"/>
          </w:tcPr>
          <w:p w14:paraId="6CF61D4F" w14:textId="77777777" w:rsidR="00353EDE" w:rsidRPr="000B0221" w:rsidRDefault="00353EDE" w:rsidP="00BC1C31">
            <w:pPr>
              <w:spacing w:line="360" w:lineRule="auto"/>
              <w:rPr>
                <w:i/>
                <w:sz w:val="20"/>
              </w:rPr>
            </w:pPr>
            <w:r w:rsidRPr="000B0221">
              <w:rPr>
                <w:i/>
                <w:sz w:val="20"/>
              </w:rPr>
              <w:t xml:space="preserve">    Balance test</w:t>
            </w:r>
          </w:p>
        </w:tc>
        <w:tc>
          <w:tcPr>
            <w:tcW w:w="2288" w:type="dxa"/>
          </w:tcPr>
          <w:p w14:paraId="38CF49B9" w14:textId="77777777" w:rsidR="00353EDE" w:rsidRPr="000B0221" w:rsidRDefault="00353EDE" w:rsidP="00BC1C31">
            <w:pPr>
              <w:spacing w:line="360" w:lineRule="auto"/>
              <w:jc w:val="center"/>
            </w:pPr>
            <w:r w:rsidRPr="000B0221">
              <w:t>+</w:t>
            </w:r>
          </w:p>
        </w:tc>
        <w:tc>
          <w:tcPr>
            <w:tcW w:w="2183" w:type="dxa"/>
          </w:tcPr>
          <w:p w14:paraId="034C18F3" w14:textId="77777777" w:rsidR="00353EDE" w:rsidRPr="000B0221" w:rsidRDefault="00353EDE" w:rsidP="00BC1C31">
            <w:pPr>
              <w:spacing w:line="360" w:lineRule="auto"/>
              <w:jc w:val="center"/>
            </w:pPr>
            <w:r w:rsidRPr="000B0221">
              <w:t>+</w:t>
            </w:r>
          </w:p>
        </w:tc>
        <w:tc>
          <w:tcPr>
            <w:tcW w:w="1939" w:type="dxa"/>
          </w:tcPr>
          <w:p w14:paraId="1965D47B" w14:textId="77777777" w:rsidR="00353EDE" w:rsidRPr="000B0221" w:rsidRDefault="00353EDE" w:rsidP="00BC1C31">
            <w:pPr>
              <w:spacing w:line="360" w:lineRule="auto"/>
              <w:jc w:val="center"/>
            </w:pPr>
            <w:r w:rsidRPr="000B0221">
              <w:t>+</w:t>
            </w:r>
          </w:p>
        </w:tc>
      </w:tr>
      <w:tr w:rsidR="00353EDE" w:rsidRPr="000B0221" w14:paraId="07848BF5" w14:textId="77777777" w:rsidTr="00353EDE">
        <w:trPr>
          <w:divId w:val="464155022"/>
        </w:trPr>
        <w:tc>
          <w:tcPr>
            <w:tcW w:w="2878" w:type="dxa"/>
          </w:tcPr>
          <w:p w14:paraId="62EAED45" w14:textId="77777777" w:rsidR="00353EDE" w:rsidRPr="000B0221" w:rsidRDefault="00353EDE" w:rsidP="00BC1C31">
            <w:pPr>
              <w:spacing w:line="360" w:lineRule="auto"/>
              <w:rPr>
                <w:i/>
                <w:sz w:val="20"/>
              </w:rPr>
            </w:pPr>
            <w:r w:rsidRPr="000B0221">
              <w:rPr>
                <w:i/>
                <w:sz w:val="20"/>
              </w:rPr>
              <w:t xml:space="preserve">     6-min walk test</w:t>
            </w:r>
          </w:p>
        </w:tc>
        <w:tc>
          <w:tcPr>
            <w:tcW w:w="2288" w:type="dxa"/>
          </w:tcPr>
          <w:p w14:paraId="699D554B" w14:textId="77777777" w:rsidR="00353EDE" w:rsidRPr="000B0221" w:rsidRDefault="00353EDE" w:rsidP="00BC1C31">
            <w:pPr>
              <w:spacing w:line="360" w:lineRule="auto"/>
              <w:jc w:val="center"/>
            </w:pPr>
            <w:r w:rsidRPr="000B0221">
              <w:t>++</w:t>
            </w:r>
          </w:p>
        </w:tc>
        <w:tc>
          <w:tcPr>
            <w:tcW w:w="2183" w:type="dxa"/>
          </w:tcPr>
          <w:p w14:paraId="53DE074B" w14:textId="77777777" w:rsidR="00353EDE" w:rsidRPr="000B0221" w:rsidRDefault="00353EDE" w:rsidP="00BC1C31">
            <w:pPr>
              <w:spacing w:line="360" w:lineRule="auto"/>
              <w:jc w:val="center"/>
            </w:pPr>
            <w:r w:rsidRPr="000B0221">
              <w:t>+</w:t>
            </w:r>
          </w:p>
        </w:tc>
        <w:tc>
          <w:tcPr>
            <w:tcW w:w="1939" w:type="dxa"/>
          </w:tcPr>
          <w:p w14:paraId="07CABB6A" w14:textId="77777777" w:rsidR="00353EDE" w:rsidRPr="000B0221" w:rsidRDefault="00353EDE" w:rsidP="00BC1C31">
            <w:pPr>
              <w:spacing w:line="360" w:lineRule="auto"/>
              <w:jc w:val="center"/>
            </w:pPr>
            <w:r w:rsidRPr="000B0221">
              <w:t>+</w:t>
            </w:r>
          </w:p>
        </w:tc>
      </w:tr>
      <w:tr w:rsidR="00353EDE" w:rsidRPr="000B0221" w14:paraId="5494E8E6" w14:textId="77777777" w:rsidTr="00353EDE">
        <w:trPr>
          <w:divId w:val="464155022"/>
        </w:trPr>
        <w:tc>
          <w:tcPr>
            <w:tcW w:w="2878" w:type="dxa"/>
          </w:tcPr>
          <w:p w14:paraId="02F9DD32" w14:textId="77777777" w:rsidR="00353EDE" w:rsidRPr="000B0221" w:rsidRDefault="00353EDE" w:rsidP="00BC1C31">
            <w:pPr>
              <w:spacing w:line="360" w:lineRule="auto"/>
              <w:rPr>
                <w:i/>
                <w:sz w:val="20"/>
              </w:rPr>
            </w:pPr>
            <w:r w:rsidRPr="000B0221">
              <w:rPr>
                <w:i/>
                <w:sz w:val="20"/>
              </w:rPr>
              <w:t xml:space="preserve">     400 m walk test</w:t>
            </w:r>
          </w:p>
        </w:tc>
        <w:tc>
          <w:tcPr>
            <w:tcW w:w="2288" w:type="dxa"/>
          </w:tcPr>
          <w:p w14:paraId="46A77A91" w14:textId="77777777" w:rsidR="00353EDE" w:rsidRPr="000B0221" w:rsidRDefault="00353EDE" w:rsidP="00BC1C31">
            <w:pPr>
              <w:spacing w:line="360" w:lineRule="auto"/>
              <w:jc w:val="center"/>
            </w:pPr>
            <w:r w:rsidRPr="000B0221">
              <w:t>++</w:t>
            </w:r>
          </w:p>
        </w:tc>
        <w:tc>
          <w:tcPr>
            <w:tcW w:w="2183" w:type="dxa"/>
          </w:tcPr>
          <w:p w14:paraId="2215D762" w14:textId="77777777" w:rsidR="00353EDE" w:rsidRPr="000B0221" w:rsidRDefault="00353EDE" w:rsidP="00BC1C31">
            <w:pPr>
              <w:spacing w:line="360" w:lineRule="auto"/>
              <w:jc w:val="center"/>
            </w:pPr>
            <w:r w:rsidRPr="000B0221">
              <w:t>+</w:t>
            </w:r>
          </w:p>
        </w:tc>
        <w:tc>
          <w:tcPr>
            <w:tcW w:w="1939" w:type="dxa"/>
          </w:tcPr>
          <w:p w14:paraId="3AF498C1" w14:textId="77777777" w:rsidR="00353EDE" w:rsidRPr="000B0221" w:rsidRDefault="00353EDE" w:rsidP="00BC1C31">
            <w:pPr>
              <w:spacing w:line="360" w:lineRule="auto"/>
              <w:jc w:val="center"/>
            </w:pPr>
            <w:r w:rsidRPr="000B0221">
              <w:t>+</w:t>
            </w:r>
          </w:p>
        </w:tc>
      </w:tr>
      <w:tr w:rsidR="00353EDE" w:rsidRPr="000B0221" w14:paraId="2D65AF0F" w14:textId="77777777" w:rsidTr="00353EDE">
        <w:trPr>
          <w:divId w:val="464155022"/>
        </w:trPr>
        <w:tc>
          <w:tcPr>
            <w:tcW w:w="2878" w:type="dxa"/>
          </w:tcPr>
          <w:p w14:paraId="6FB78FA7" w14:textId="77777777" w:rsidR="00353EDE" w:rsidRPr="000B0221" w:rsidRDefault="00353EDE" w:rsidP="00BC1C31">
            <w:pPr>
              <w:spacing w:line="360" w:lineRule="auto"/>
              <w:rPr>
                <w:i/>
                <w:sz w:val="20"/>
              </w:rPr>
            </w:pPr>
            <w:r w:rsidRPr="000B0221">
              <w:rPr>
                <w:i/>
                <w:sz w:val="20"/>
              </w:rPr>
              <w:t xml:space="preserve">     Stair climb test</w:t>
            </w:r>
          </w:p>
        </w:tc>
        <w:tc>
          <w:tcPr>
            <w:tcW w:w="2288" w:type="dxa"/>
          </w:tcPr>
          <w:p w14:paraId="700EDA2C" w14:textId="77777777" w:rsidR="00353EDE" w:rsidRPr="000B0221" w:rsidRDefault="00353EDE" w:rsidP="00BC1C31">
            <w:pPr>
              <w:spacing w:line="360" w:lineRule="auto"/>
              <w:jc w:val="center"/>
            </w:pPr>
            <w:r w:rsidRPr="000B0221">
              <w:t>++</w:t>
            </w:r>
          </w:p>
        </w:tc>
        <w:tc>
          <w:tcPr>
            <w:tcW w:w="2183" w:type="dxa"/>
          </w:tcPr>
          <w:p w14:paraId="04D4C864" w14:textId="77777777" w:rsidR="00353EDE" w:rsidRPr="000B0221" w:rsidRDefault="00353EDE" w:rsidP="00BC1C31">
            <w:pPr>
              <w:spacing w:line="360" w:lineRule="auto"/>
              <w:jc w:val="center"/>
            </w:pPr>
            <w:r w:rsidRPr="000B0221">
              <w:t>+</w:t>
            </w:r>
          </w:p>
        </w:tc>
        <w:tc>
          <w:tcPr>
            <w:tcW w:w="1939" w:type="dxa"/>
          </w:tcPr>
          <w:p w14:paraId="72186849" w14:textId="77777777" w:rsidR="00353EDE" w:rsidRPr="000B0221" w:rsidRDefault="00353EDE" w:rsidP="00BC1C31">
            <w:pPr>
              <w:spacing w:line="360" w:lineRule="auto"/>
              <w:jc w:val="center"/>
            </w:pPr>
            <w:r w:rsidRPr="000B0221">
              <w:t>+</w:t>
            </w:r>
          </w:p>
        </w:tc>
      </w:tr>
      <w:tr w:rsidR="00353EDE" w:rsidRPr="000B0221" w14:paraId="2368FD4A" w14:textId="77777777" w:rsidTr="00353EDE">
        <w:trPr>
          <w:divId w:val="464155022"/>
        </w:trPr>
        <w:tc>
          <w:tcPr>
            <w:tcW w:w="2878" w:type="dxa"/>
          </w:tcPr>
          <w:p w14:paraId="30F99390" w14:textId="77777777" w:rsidR="00353EDE" w:rsidRPr="000B0221" w:rsidRDefault="00353EDE" w:rsidP="00BC1C31">
            <w:pPr>
              <w:spacing w:line="360" w:lineRule="auto"/>
              <w:rPr>
                <w:i/>
                <w:sz w:val="20"/>
              </w:rPr>
            </w:pPr>
            <w:r w:rsidRPr="000B0221">
              <w:rPr>
                <w:i/>
                <w:sz w:val="20"/>
              </w:rPr>
              <w:t xml:space="preserve">     SPPB test</w:t>
            </w:r>
          </w:p>
        </w:tc>
        <w:tc>
          <w:tcPr>
            <w:tcW w:w="2288" w:type="dxa"/>
          </w:tcPr>
          <w:p w14:paraId="719ECF3B" w14:textId="77777777" w:rsidR="00353EDE" w:rsidRPr="000B0221" w:rsidRDefault="00353EDE" w:rsidP="00BC1C31">
            <w:pPr>
              <w:spacing w:line="360" w:lineRule="auto"/>
              <w:jc w:val="center"/>
            </w:pPr>
            <w:r w:rsidRPr="000B0221">
              <w:t>+++</w:t>
            </w:r>
          </w:p>
        </w:tc>
        <w:tc>
          <w:tcPr>
            <w:tcW w:w="2183" w:type="dxa"/>
          </w:tcPr>
          <w:p w14:paraId="7480F50E" w14:textId="77777777" w:rsidR="00353EDE" w:rsidRPr="000B0221" w:rsidRDefault="00353EDE" w:rsidP="00BC1C31">
            <w:pPr>
              <w:spacing w:line="360" w:lineRule="auto"/>
              <w:jc w:val="center"/>
            </w:pPr>
            <w:r w:rsidRPr="000B0221">
              <w:t>++</w:t>
            </w:r>
          </w:p>
        </w:tc>
        <w:tc>
          <w:tcPr>
            <w:tcW w:w="1939" w:type="dxa"/>
          </w:tcPr>
          <w:p w14:paraId="12460636" w14:textId="77777777" w:rsidR="00353EDE" w:rsidRPr="000B0221" w:rsidRDefault="00353EDE" w:rsidP="00BC1C31">
            <w:pPr>
              <w:spacing w:line="360" w:lineRule="auto"/>
              <w:jc w:val="center"/>
            </w:pPr>
            <w:r w:rsidRPr="000B0221">
              <w:t>+</w:t>
            </w:r>
          </w:p>
        </w:tc>
      </w:tr>
    </w:tbl>
    <w:p w14:paraId="0DC9D827" w14:textId="77777777" w:rsidR="00353EDE" w:rsidRPr="000B0221" w:rsidRDefault="00353EDE" w:rsidP="00353EDE">
      <w:pPr>
        <w:spacing w:line="240" w:lineRule="auto"/>
        <w:divId w:val="464155022"/>
      </w:pPr>
      <w:r w:rsidRPr="000B0221">
        <w:t xml:space="preserve">SPPB = Short Physical Performance Battery </w:t>
      </w:r>
    </w:p>
    <w:p w14:paraId="13760299" w14:textId="70C0D516" w:rsidR="00353EDE" w:rsidRDefault="00353EDE" w:rsidP="00353EDE">
      <w:pPr>
        <w:spacing w:line="360" w:lineRule="auto"/>
        <w:divId w:val="464155022"/>
      </w:pPr>
      <w:r w:rsidRPr="000B0221">
        <w:t xml:space="preserve">Nb.  The group has chosen to attribute to each tool +++ (best recommended tool) or ++ (best alternative tool) or + (less recommended tool) based on the availability and the costs of the tool, the required time for the examination and the availability of robust cut-off points. </w:t>
      </w:r>
    </w:p>
    <w:p w14:paraId="30BBB225" w14:textId="77777777" w:rsidR="00353EDE" w:rsidRDefault="00353EDE">
      <w:r>
        <w:br w:type="page"/>
      </w:r>
    </w:p>
    <w:p w14:paraId="2BADF74E" w14:textId="77777777" w:rsidR="00353EDE" w:rsidRPr="000B0221" w:rsidRDefault="00353EDE" w:rsidP="00353EDE">
      <w:pPr>
        <w:spacing w:line="360" w:lineRule="auto"/>
        <w:ind w:left="360"/>
        <w:jc w:val="both"/>
        <w:divId w:val="464155022"/>
      </w:pPr>
      <w:r w:rsidRPr="000B0221">
        <w:lastRenderedPageBreak/>
        <w:t>Table 2. The Red Flag method</w:t>
      </w:r>
    </w:p>
    <w:tbl>
      <w:tblPr>
        <w:tblStyle w:val="TableGrid"/>
        <w:tblW w:w="0" w:type="auto"/>
        <w:tblInd w:w="360" w:type="dxa"/>
        <w:tblLook w:val="04A0" w:firstRow="1" w:lastRow="0" w:firstColumn="1" w:lastColumn="0" w:noHBand="0" w:noVBand="1"/>
      </w:tblPr>
      <w:tblGrid>
        <w:gridCol w:w="3179"/>
        <w:gridCol w:w="5523"/>
      </w:tblGrid>
      <w:tr w:rsidR="00353EDE" w:rsidRPr="000B0221" w14:paraId="05778720" w14:textId="77777777" w:rsidTr="00353EDE">
        <w:trPr>
          <w:divId w:val="464155022"/>
        </w:trPr>
        <w:tc>
          <w:tcPr>
            <w:tcW w:w="3179" w:type="dxa"/>
          </w:tcPr>
          <w:p w14:paraId="4BF53836" w14:textId="77777777" w:rsidR="00353EDE" w:rsidRPr="000B0221" w:rsidRDefault="00353EDE" w:rsidP="00BC1C31">
            <w:pPr>
              <w:spacing w:line="360" w:lineRule="auto"/>
              <w:jc w:val="both"/>
            </w:pPr>
          </w:p>
        </w:tc>
        <w:tc>
          <w:tcPr>
            <w:tcW w:w="5523" w:type="dxa"/>
          </w:tcPr>
          <w:p w14:paraId="197A5765" w14:textId="77777777" w:rsidR="00353EDE" w:rsidRPr="000B0221" w:rsidRDefault="00353EDE" w:rsidP="00BC1C31">
            <w:pPr>
              <w:spacing w:line="360" w:lineRule="auto"/>
              <w:jc w:val="both"/>
            </w:pPr>
            <w:r w:rsidRPr="000B0221">
              <w:t>Red flags</w:t>
            </w:r>
          </w:p>
        </w:tc>
      </w:tr>
      <w:tr w:rsidR="00353EDE" w:rsidRPr="000B0221" w14:paraId="52B4D4DA" w14:textId="77777777" w:rsidTr="00353EDE">
        <w:trPr>
          <w:divId w:val="464155022"/>
        </w:trPr>
        <w:tc>
          <w:tcPr>
            <w:tcW w:w="3179" w:type="dxa"/>
          </w:tcPr>
          <w:p w14:paraId="55878A66" w14:textId="77777777" w:rsidR="00353EDE" w:rsidRPr="000B0221" w:rsidRDefault="00353EDE" w:rsidP="00BC1C31">
            <w:pPr>
              <w:spacing w:line="360" w:lineRule="auto"/>
              <w:jc w:val="both"/>
            </w:pPr>
            <w:r w:rsidRPr="000B0221">
              <w:t>Clinician’s observation</w:t>
            </w:r>
          </w:p>
        </w:tc>
        <w:tc>
          <w:tcPr>
            <w:tcW w:w="5523" w:type="dxa"/>
          </w:tcPr>
          <w:p w14:paraId="4BD55899" w14:textId="77777777" w:rsidR="00353EDE" w:rsidRPr="000B0221" w:rsidRDefault="00353EDE" w:rsidP="00BC1C31">
            <w:pPr>
              <w:spacing w:line="360" w:lineRule="auto"/>
              <w:jc w:val="both"/>
            </w:pPr>
            <w:r w:rsidRPr="000B0221">
              <w:t>General weakness of the subject</w:t>
            </w:r>
          </w:p>
        </w:tc>
      </w:tr>
      <w:tr w:rsidR="00353EDE" w:rsidRPr="000B0221" w14:paraId="2E86F2C7" w14:textId="77777777" w:rsidTr="00353EDE">
        <w:trPr>
          <w:divId w:val="464155022"/>
        </w:trPr>
        <w:tc>
          <w:tcPr>
            <w:tcW w:w="3179" w:type="dxa"/>
          </w:tcPr>
          <w:p w14:paraId="7E567EEA" w14:textId="77777777" w:rsidR="00353EDE" w:rsidRPr="000B0221" w:rsidRDefault="00353EDE" w:rsidP="00BC1C31">
            <w:pPr>
              <w:spacing w:line="360" w:lineRule="auto"/>
              <w:jc w:val="both"/>
            </w:pPr>
          </w:p>
        </w:tc>
        <w:tc>
          <w:tcPr>
            <w:tcW w:w="5523" w:type="dxa"/>
          </w:tcPr>
          <w:p w14:paraId="574FE166" w14:textId="77777777" w:rsidR="00353EDE" w:rsidRPr="000B0221" w:rsidRDefault="00353EDE" w:rsidP="00BC1C31">
            <w:pPr>
              <w:spacing w:line="360" w:lineRule="auto"/>
              <w:jc w:val="both"/>
            </w:pPr>
            <w:r w:rsidRPr="000B0221">
              <w:t>Visual identification of loss of muscle mass</w:t>
            </w:r>
          </w:p>
        </w:tc>
      </w:tr>
      <w:tr w:rsidR="00353EDE" w:rsidRPr="000B0221" w14:paraId="2298762C" w14:textId="77777777" w:rsidTr="00353EDE">
        <w:trPr>
          <w:divId w:val="464155022"/>
        </w:trPr>
        <w:tc>
          <w:tcPr>
            <w:tcW w:w="3179" w:type="dxa"/>
          </w:tcPr>
          <w:p w14:paraId="0A1C8547" w14:textId="77777777" w:rsidR="00353EDE" w:rsidRPr="000B0221" w:rsidRDefault="00353EDE" w:rsidP="00BC1C31">
            <w:pPr>
              <w:spacing w:line="360" w:lineRule="auto"/>
              <w:jc w:val="both"/>
            </w:pPr>
          </w:p>
        </w:tc>
        <w:tc>
          <w:tcPr>
            <w:tcW w:w="5523" w:type="dxa"/>
          </w:tcPr>
          <w:p w14:paraId="0331A520" w14:textId="77777777" w:rsidR="00353EDE" w:rsidRPr="000B0221" w:rsidRDefault="00353EDE" w:rsidP="00BC1C31">
            <w:pPr>
              <w:spacing w:line="360" w:lineRule="auto"/>
              <w:jc w:val="both"/>
            </w:pPr>
            <w:r w:rsidRPr="000B0221">
              <w:t>Low walking speed</w:t>
            </w:r>
          </w:p>
        </w:tc>
      </w:tr>
      <w:tr w:rsidR="00353EDE" w:rsidRPr="000B0221" w14:paraId="46C194D4" w14:textId="77777777" w:rsidTr="00353EDE">
        <w:trPr>
          <w:divId w:val="464155022"/>
        </w:trPr>
        <w:tc>
          <w:tcPr>
            <w:tcW w:w="3179" w:type="dxa"/>
          </w:tcPr>
          <w:p w14:paraId="4DFA3CA5" w14:textId="77777777" w:rsidR="00353EDE" w:rsidRPr="000B0221" w:rsidRDefault="00353EDE" w:rsidP="00BC1C31">
            <w:pPr>
              <w:spacing w:line="360" w:lineRule="auto"/>
              <w:jc w:val="both"/>
            </w:pPr>
            <w:r w:rsidRPr="000B0221">
              <w:t xml:space="preserve">Subject’s </w:t>
            </w:r>
            <w:r>
              <w:t>presenting features</w:t>
            </w:r>
          </w:p>
        </w:tc>
        <w:tc>
          <w:tcPr>
            <w:tcW w:w="5523" w:type="dxa"/>
          </w:tcPr>
          <w:p w14:paraId="13F55B70" w14:textId="77777777" w:rsidR="00353EDE" w:rsidRPr="000B0221" w:rsidRDefault="00353EDE" w:rsidP="00BC1C31">
            <w:pPr>
              <w:spacing w:line="360" w:lineRule="auto"/>
              <w:jc w:val="both"/>
            </w:pPr>
            <w:r w:rsidRPr="000B0221">
              <w:t>Loss of weight</w:t>
            </w:r>
          </w:p>
        </w:tc>
      </w:tr>
      <w:tr w:rsidR="00353EDE" w:rsidRPr="000B0221" w14:paraId="41C02D94" w14:textId="77777777" w:rsidTr="00353EDE">
        <w:trPr>
          <w:divId w:val="464155022"/>
        </w:trPr>
        <w:tc>
          <w:tcPr>
            <w:tcW w:w="3179" w:type="dxa"/>
          </w:tcPr>
          <w:p w14:paraId="0B776B40" w14:textId="77777777" w:rsidR="00353EDE" w:rsidRPr="000B0221" w:rsidRDefault="00353EDE" w:rsidP="00BC1C31">
            <w:pPr>
              <w:spacing w:line="360" w:lineRule="auto"/>
              <w:jc w:val="both"/>
            </w:pPr>
          </w:p>
        </w:tc>
        <w:tc>
          <w:tcPr>
            <w:tcW w:w="5523" w:type="dxa"/>
          </w:tcPr>
          <w:p w14:paraId="7F5A2EBE" w14:textId="77777777" w:rsidR="00353EDE" w:rsidRPr="000B0221" w:rsidRDefault="00353EDE" w:rsidP="00BC1C31">
            <w:pPr>
              <w:spacing w:line="360" w:lineRule="auto"/>
              <w:jc w:val="both"/>
            </w:pPr>
            <w:r w:rsidRPr="000B0221">
              <w:t>Loss of muscle strength, in arms or in legs</w:t>
            </w:r>
          </w:p>
        </w:tc>
      </w:tr>
      <w:tr w:rsidR="00353EDE" w:rsidRPr="000B0221" w14:paraId="0E58FD2B" w14:textId="77777777" w:rsidTr="00353EDE">
        <w:trPr>
          <w:divId w:val="464155022"/>
        </w:trPr>
        <w:tc>
          <w:tcPr>
            <w:tcW w:w="3179" w:type="dxa"/>
          </w:tcPr>
          <w:p w14:paraId="04A158AB" w14:textId="77777777" w:rsidR="00353EDE" w:rsidRPr="000B0221" w:rsidRDefault="00353EDE" w:rsidP="00BC1C31">
            <w:pPr>
              <w:spacing w:line="360" w:lineRule="auto"/>
              <w:jc w:val="both"/>
            </w:pPr>
          </w:p>
        </w:tc>
        <w:tc>
          <w:tcPr>
            <w:tcW w:w="5523" w:type="dxa"/>
          </w:tcPr>
          <w:p w14:paraId="3CD339B1" w14:textId="77777777" w:rsidR="00353EDE" w:rsidRPr="000B0221" w:rsidRDefault="00353EDE" w:rsidP="00BC1C31">
            <w:pPr>
              <w:spacing w:line="360" w:lineRule="auto"/>
              <w:jc w:val="both"/>
            </w:pPr>
            <w:r w:rsidRPr="000B0221">
              <w:t>General weakness</w:t>
            </w:r>
          </w:p>
        </w:tc>
      </w:tr>
      <w:tr w:rsidR="00353EDE" w:rsidRPr="000B0221" w14:paraId="33B6846B" w14:textId="77777777" w:rsidTr="00353EDE">
        <w:trPr>
          <w:divId w:val="464155022"/>
        </w:trPr>
        <w:tc>
          <w:tcPr>
            <w:tcW w:w="3179" w:type="dxa"/>
          </w:tcPr>
          <w:p w14:paraId="06F50123" w14:textId="77777777" w:rsidR="00353EDE" w:rsidRPr="000B0221" w:rsidRDefault="00353EDE" w:rsidP="00BC1C31">
            <w:pPr>
              <w:spacing w:line="360" w:lineRule="auto"/>
              <w:jc w:val="both"/>
            </w:pPr>
          </w:p>
        </w:tc>
        <w:tc>
          <w:tcPr>
            <w:tcW w:w="5523" w:type="dxa"/>
          </w:tcPr>
          <w:p w14:paraId="00395D22" w14:textId="77777777" w:rsidR="00353EDE" w:rsidRPr="000B0221" w:rsidRDefault="00353EDE" w:rsidP="00BC1C31">
            <w:pPr>
              <w:spacing w:line="360" w:lineRule="auto"/>
              <w:jc w:val="both"/>
            </w:pPr>
            <w:r w:rsidRPr="000B0221">
              <w:t>Fatigue</w:t>
            </w:r>
          </w:p>
        </w:tc>
      </w:tr>
      <w:tr w:rsidR="00353EDE" w:rsidRPr="000B0221" w14:paraId="479F0E81" w14:textId="77777777" w:rsidTr="00353EDE">
        <w:trPr>
          <w:divId w:val="464155022"/>
        </w:trPr>
        <w:tc>
          <w:tcPr>
            <w:tcW w:w="3179" w:type="dxa"/>
          </w:tcPr>
          <w:p w14:paraId="7C02D702" w14:textId="77777777" w:rsidR="00353EDE" w:rsidRPr="000B0221" w:rsidRDefault="00353EDE" w:rsidP="00BC1C31">
            <w:pPr>
              <w:spacing w:line="360" w:lineRule="auto"/>
              <w:jc w:val="both"/>
            </w:pPr>
          </w:p>
        </w:tc>
        <w:tc>
          <w:tcPr>
            <w:tcW w:w="5523" w:type="dxa"/>
          </w:tcPr>
          <w:p w14:paraId="13FF63A9" w14:textId="77777777" w:rsidR="00353EDE" w:rsidRPr="000B0221" w:rsidRDefault="00353EDE" w:rsidP="00BC1C31">
            <w:pPr>
              <w:spacing w:line="360" w:lineRule="auto"/>
              <w:jc w:val="both"/>
            </w:pPr>
            <w:r w:rsidRPr="000B0221">
              <w:t>Falls</w:t>
            </w:r>
          </w:p>
        </w:tc>
      </w:tr>
      <w:tr w:rsidR="00353EDE" w:rsidRPr="000B0221" w14:paraId="0198F5F9" w14:textId="77777777" w:rsidTr="00353EDE">
        <w:trPr>
          <w:divId w:val="464155022"/>
        </w:trPr>
        <w:tc>
          <w:tcPr>
            <w:tcW w:w="3179" w:type="dxa"/>
          </w:tcPr>
          <w:p w14:paraId="3BFC48F9" w14:textId="77777777" w:rsidR="00353EDE" w:rsidRPr="000B0221" w:rsidRDefault="00353EDE" w:rsidP="00BC1C31">
            <w:pPr>
              <w:spacing w:line="360" w:lineRule="auto"/>
              <w:jc w:val="both"/>
            </w:pPr>
          </w:p>
        </w:tc>
        <w:tc>
          <w:tcPr>
            <w:tcW w:w="5523" w:type="dxa"/>
          </w:tcPr>
          <w:p w14:paraId="588857B1" w14:textId="77777777" w:rsidR="00353EDE" w:rsidRPr="000B0221" w:rsidRDefault="00353EDE" w:rsidP="00BC1C31">
            <w:pPr>
              <w:spacing w:line="360" w:lineRule="auto"/>
              <w:jc w:val="both"/>
            </w:pPr>
            <w:r w:rsidRPr="000B0221">
              <w:t>Mobility impairment</w:t>
            </w:r>
          </w:p>
        </w:tc>
      </w:tr>
      <w:tr w:rsidR="00353EDE" w:rsidRPr="000B0221" w14:paraId="2D78B0C7" w14:textId="77777777" w:rsidTr="00353EDE">
        <w:trPr>
          <w:divId w:val="464155022"/>
        </w:trPr>
        <w:tc>
          <w:tcPr>
            <w:tcW w:w="3179" w:type="dxa"/>
          </w:tcPr>
          <w:p w14:paraId="64210EAC" w14:textId="77777777" w:rsidR="00353EDE" w:rsidRPr="000B0221" w:rsidRDefault="00353EDE" w:rsidP="00BC1C31">
            <w:pPr>
              <w:spacing w:line="360" w:lineRule="auto"/>
              <w:jc w:val="both"/>
            </w:pPr>
          </w:p>
        </w:tc>
        <w:tc>
          <w:tcPr>
            <w:tcW w:w="5523" w:type="dxa"/>
          </w:tcPr>
          <w:p w14:paraId="633CC5AF" w14:textId="77777777" w:rsidR="00353EDE" w:rsidRPr="000B0221" w:rsidRDefault="00353EDE" w:rsidP="00BC1C31">
            <w:pPr>
              <w:spacing w:line="360" w:lineRule="auto"/>
              <w:jc w:val="both"/>
            </w:pPr>
            <w:r w:rsidRPr="000B0221">
              <w:t>Loss of energy</w:t>
            </w:r>
          </w:p>
        </w:tc>
      </w:tr>
      <w:tr w:rsidR="00353EDE" w:rsidRPr="000B0221" w14:paraId="1588F321" w14:textId="77777777" w:rsidTr="00353EDE">
        <w:trPr>
          <w:divId w:val="464155022"/>
        </w:trPr>
        <w:tc>
          <w:tcPr>
            <w:tcW w:w="3179" w:type="dxa"/>
          </w:tcPr>
          <w:p w14:paraId="0A2292D8" w14:textId="77777777" w:rsidR="00353EDE" w:rsidRPr="000B0221" w:rsidRDefault="00353EDE" w:rsidP="00BC1C31">
            <w:pPr>
              <w:spacing w:line="360" w:lineRule="auto"/>
              <w:jc w:val="both"/>
            </w:pPr>
          </w:p>
        </w:tc>
        <w:tc>
          <w:tcPr>
            <w:tcW w:w="5523" w:type="dxa"/>
          </w:tcPr>
          <w:p w14:paraId="6B68260F" w14:textId="77777777" w:rsidR="00353EDE" w:rsidRPr="000B0221" w:rsidRDefault="00353EDE" w:rsidP="00BC1C31">
            <w:pPr>
              <w:spacing w:line="360" w:lineRule="auto"/>
              <w:jc w:val="both"/>
            </w:pPr>
            <w:r w:rsidRPr="000B0221">
              <w:t>Difficulties in physical activities or activities of daily living</w:t>
            </w:r>
          </w:p>
        </w:tc>
      </w:tr>
      <w:tr w:rsidR="00353EDE" w:rsidRPr="000B0221" w14:paraId="47E979F9" w14:textId="77777777" w:rsidTr="00353EDE">
        <w:trPr>
          <w:divId w:val="464155022"/>
        </w:trPr>
        <w:tc>
          <w:tcPr>
            <w:tcW w:w="3179" w:type="dxa"/>
          </w:tcPr>
          <w:p w14:paraId="41E3FF32" w14:textId="77777777" w:rsidR="00353EDE" w:rsidRPr="000B0221" w:rsidRDefault="00353EDE" w:rsidP="00BC1C31">
            <w:pPr>
              <w:spacing w:line="360" w:lineRule="auto"/>
              <w:jc w:val="both"/>
            </w:pPr>
            <w:r w:rsidRPr="000B0221">
              <w:t>Clinician’s assessment</w:t>
            </w:r>
          </w:p>
        </w:tc>
        <w:tc>
          <w:tcPr>
            <w:tcW w:w="5523" w:type="dxa"/>
          </w:tcPr>
          <w:p w14:paraId="62C20292" w14:textId="77777777" w:rsidR="00353EDE" w:rsidRPr="000B0221" w:rsidRDefault="00353EDE" w:rsidP="00BC1C31">
            <w:pPr>
              <w:spacing w:line="360" w:lineRule="auto"/>
              <w:jc w:val="both"/>
            </w:pPr>
            <w:r>
              <w:t>N</w:t>
            </w:r>
            <w:r w:rsidRPr="000B0221">
              <w:t>utrition</w:t>
            </w:r>
          </w:p>
        </w:tc>
      </w:tr>
      <w:tr w:rsidR="00353EDE" w:rsidRPr="000B0221" w14:paraId="62C499C8" w14:textId="77777777" w:rsidTr="00353EDE">
        <w:trPr>
          <w:divId w:val="464155022"/>
        </w:trPr>
        <w:tc>
          <w:tcPr>
            <w:tcW w:w="3179" w:type="dxa"/>
          </w:tcPr>
          <w:p w14:paraId="62F9249D" w14:textId="77777777" w:rsidR="00353EDE" w:rsidRPr="000B0221" w:rsidRDefault="00353EDE" w:rsidP="00BC1C31">
            <w:pPr>
              <w:spacing w:line="360" w:lineRule="auto"/>
              <w:jc w:val="both"/>
            </w:pPr>
          </w:p>
        </w:tc>
        <w:tc>
          <w:tcPr>
            <w:tcW w:w="5523" w:type="dxa"/>
          </w:tcPr>
          <w:p w14:paraId="0AFE8F1A" w14:textId="77777777" w:rsidR="00353EDE" w:rsidRPr="000B0221" w:rsidRDefault="00353EDE" w:rsidP="00BC1C31">
            <w:pPr>
              <w:spacing w:line="360" w:lineRule="auto"/>
              <w:jc w:val="both"/>
            </w:pPr>
            <w:r>
              <w:t>B</w:t>
            </w:r>
            <w:r w:rsidRPr="000B0221">
              <w:t>ody weight</w:t>
            </w:r>
          </w:p>
        </w:tc>
      </w:tr>
      <w:tr w:rsidR="00353EDE" w:rsidRPr="000B0221" w14:paraId="16FE4CB9" w14:textId="77777777" w:rsidTr="00353EDE">
        <w:trPr>
          <w:divId w:val="464155022"/>
        </w:trPr>
        <w:tc>
          <w:tcPr>
            <w:tcW w:w="3179" w:type="dxa"/>
          </w:tcPr>
          <w:p w14:paraId="2B4C767C" w14:textId="77777777" w:rsidR="00353EDE" w:rsidRPr="000B0221" w:rsidRDefault="00353EDE" w:rsidP="00BC1C31">
            <w:pPr>
              <w:spacing w:line="360" w:lineRule="auto"/>
              <w:jc w:val="both"/>
            </w:pPr>
          </w:p>
        </w:tc>
        <w:tc>
          <w:tcPr>
            <w:tcW w:w="5523" w:type="dxa"/>
          </w:tcPr>
          <w:p w14:paraId="2F6A2AF2" w14:textId="77777777" w:rsidR="00353EDE" w:rsidRPr="000B0221" w:rsidRDefault="00353EDE" w:rsidP="00BC1C31">
            <w:pPr>
              <w:spacing w:line="360" w:lineRule="auto"/>
              <w:jc w:val="both"/>
            </w:pPr>
            <w:r w:rsidRPr="000B0221">
              <w:t>Physical activity</w:t>
            </w:r>
          </w:p>
        </w:tc>
      </w:tr>
    </w:tbl>
    <w:p w14:paraId="34D221A3" w14:textId="77777777" w:rsidR="00353EDE" w:rsidRPr="00C164A3" w:rsidRDefault="00353EDE" w:rsidP="00353EDE">
      <w:pPr>
        <w:pStyle w:val="ListParagraph"/>
        <w:spacing w:line="360" w:lineRule="auto"/>
        <w:ind w:left="284"/>
        <w:jc w:val="both"/>
        <w:divId w:val="464155022"/>
      </w:pPr>
      <w:r w:rsidRPr="00C164A3">
        <w:t>Nb. Red flags ha</w:t>
      </w:r>
      <w:r>
        <w:t>ve</w:t>
      </w:r>
      <w:r w:rsidRPr="00C164A3">
        <w:t xml:space="preserve"> been identified </w:t>
      </w:r>
      <w:r>
        <w:t xml:space="preserve">through reviewed papers identified by members of the group. </w:t>
      </w:r>
    </w:p>
    <w:p w14:paraId="0211679E" w14:textId="77777777" w:rsidR="00353EDE" w:rsidRPr="000B0221" w:rsidRDefault="00353EDE" w:rsidP="00353EDE">
      <w:pPr>
        <w:spacing w:line="360" w:lineRule="auto"/>
        <w:divId w:val="464155022"/>
      </w:pPr>
    </w:p>
    <w:p w14:paraId="74896439" w14:textId="2F96DDA6" w:rsidR="00353EDE" w:rsidRDefault="00353EDE">
      <w:pPr>
        <w:rPr>
          <w:rFonts w:ascii="Times New Roman" w:eastAsia="Times New Roman" w:hAnsi="Times New Roman" w:cs="Times New Roman"/>
          <w:sz w:val="24"/>
          <w:szCs w:val="24"/>
          <w:lang w:eastAsia="fr-BE"/>
        </w:rPr>
      </w:pPr>
      <w:r>
        <w:br w:type="page"/>
      </w:r>
    </w:p>
    <w:p w14:paraId="2F8FDBB0" w14:textId="77777777" w:rsidR="00353EDE" w:rsidRPr="000B0221" w:rsidRDefault="00353EDE" w:rsidP="00353EDE">
      <w:pPr>
        <w:tabs>
          <w:tab w:val="left" w:pos="426"/>
        </w:tabs>
        <w:spacing w:line="360" w:lineRule="auto"/>
        <w:divId w:val="464155022"/>
      </w:pPr>
      <w:r w:rsidRPr="000B0221">
        <w:lastRenderedPageBreak/>
        <w:t>Table 3. Pharmacological agents in development with potential for treating sarcopenia</w:t>
      </w:r>
    </w:p>
    <w:tbl>
      <w:tblPr>
        <w:tblStyle w:val="TableGrid"/>
        <w:tblW w:w="8646" w:type="dxa"/>
        <w:tblInd w:w="421" w:type="dxa"/>
        <w:tblBorders>
          <w:insideH w:val="none" w:sz="0" w:space="0" w:color="auto"/>
          <w:insideV w:val="none" w:sz="0" w:space="0" w:color="auto"/>
        </w:tblBorders>
        <w:tblLook w:val="04A0" w:firstRow="1" w:lastRow="0" w:firstColumn="1" w:lastColumn="0" w:noHBand="0" w:noVBand="1"/>
      </w:tblPr>
      <w:tblGrid>
        <w:gridCol w:w="1984"/>
        <w:gridCol w:w="1671"/>
        <w:gridCol w:w="1832"/>
        <w:gridCol w:w="1483"/>
        <w:gridCol w:w="1676"/>
      </w:tblGrid>
      <w:tr w:rsidR="00353EDE" w:rsidRPr="000B0221" w14:paraId="0C9627FA" w14:textId="77777777" w:rsidTr="00353EDE">
        <w:trPr>
          <w:divId w:val="464155022"/>
        </w:trPr>
        <w:tc>
          <w:tcPr>
            <w:tcW w:w="1984" w:type="dxa"/>
          </w:tcPr>
          <w:p w14:paraId="3CEBC362" w14:textId="77777777" w:rsidR="00353EDE" w:rsidRPr="000B0221" w:rsidRDefault="00353EDE" w:rsidP="00BC1C31">
            <w:pPr>
              <w:tabs>
                <w:tab w:val="left" w:pos="426"/>
              </w:tabs>
            </w:pPr>
            <w:r w:rsidRPr="000B0221">
              <w:t>Mechanism of action</w:t>
            </w:r>
          </w:p>
        </w:tc>
        <w:tc>
          <w:tcPr>
            <w:tcW w:w="1671" w:type="dxa"/>
          </w:tcPr>
          <w:p w14:paraId="3BB35547" w14:textId="77777777" w:rsidR="00353EDE" w:rsidRPr="000B0221" w:rsidRDefault="00353EDE" w:rsidP="00BC1C31">
            <w:pPr>
              <w:tabs>
                <w:tab w:val="left" w:pos="426"/>
              </w:tabs>
            </w:pPr>
            <w:r w:rsidRPr="000B0221">
              <w:t>Drug name</w:t>
            </w:r>
          </w:p>
        </w:tc>
        <w:tc>
          <w:tcPr>
            <w:tcW w:w="1832" w:type="dxa"/>
          </w:tcPr>
          <w:p w14:paraId="69DB53FD" w14:textId="77777777" w:rsidR="00353EDE" w:rsidRPr="000B0221" w:rsidRDefault="00353EDE" w:rsidP="00BC1C31">
            <w:pPr>
              <w:tabs>
                <w:tab w:val="left" w:pos="426"/>
              </w:tabs>
            </w:pPr>
            <w:r w:rsidRPr="000B0221">
              <w:t>Drug Developer</w:t>
            </w:r>
          </w:p>
        </w:tc>
        <w:tc>
          <w:tcPr>
            <w:tcW w:w="1483" w:type="dxa"/>
          </w:tcPr>
          <w:p w14:paraId="1E3210E4" w14:textId="77777777" w:rsidR="00353EDE" w:rsidRPr="000B0221" w:rsidRDefault="00353EDE" w:rsidP="00BC1C31">
            <w:pPr>
              <w:tabs>
                <w:tab w:val="left" w:pos="426"/>
              </w:tabs>
            </w:pPr>
            <w:r w:rsidRPr="000B0221">
              <w:t>Indication sought</w:t>
            </w:r>
          </w:p>
        </w:tc>
        <w:tc>
          <w:tcPr>
            <w:tcW w:w="1676" w:type="dxa"/>
          </w:tcPr>
          <w:p w14:paraId="01BEB799" w14:textId="77777777" w:rsidR="00353EDE" w:rsidRPr="000B0221" w:rsidRDefault="00353EDE" w:rsidP="00BC1C31">
            <w:pPr>
              <w:tabs>
                <w:tab w:val="left" w:pos="426"/>
              </w:tabs>
            </w:pPr>
            <w:r w:rsidRPr="000B0221">
              <w:t>Study phase</w:t>
            </w:r>
          </w:p>
        </w:tc>
      </w:tr>
      <w:tr w:rsidR="00353EDE" w:rsidRPr="000B0221" w14:paraId="7B142BC1" w14:textId="77777777" w:rsidTr="00353EDE">
        <w:trPr>
          <w:divId w:val="464155022"/>
        </w:trPr>
        <w:tc>
          <w:tcPr>
            <w:tcW w:w="1984" w:type="dxa"/>
          </w:tcPr>
          <w:p w14:paraId="7788488F" w14:textId="77777777" w:rsidR="00353EDE" w:rsidRPr="000B0221" w:rsidRDefault="00353EDE" w:rsidP="00BC1C31">
            <w:pPr>
              <w:tabs>
                <w:tab w:val="left" w:pos="426"/>
              </w:tabs>
            </w:pPr>
            <w:r w:rsidRPr="000B0221">
              <w:t>I. Myostatin Antagonists</w:t>
            </w:r>
          </w:p>
        </w:tc>
        <w:tc>
          <w:tcPr>
            <w:tcW w:w="1671" w:type="dxa"/>
          </w:tcPr>
          <w:p w14:paraId="42548343" w14:textId="77777777" w:rsidR="00353EDE" w:rsidRPr="000B0221" w:rsidRDefault="00353EDE" w:rsidP="00BC1C31">
            <w:pPr>
              <w:tabs>
                <w:tab w:val="left" w:pos="426"/>
              </w:tabs>
            </w:pPr>
          </w:p>
        </w:tc>
        <w:tc>
          <w:tcPr>
            <w:tcW w:w="1832" w:type="dxa"/>
          </w:tcPr>
          <w:p w14:paraId="3F3C6C7E" w14:textId="77777777" w:rsidR="00353EDE" w:rsidRPr="000B0221" w:rsidRDefault="00353EDE" w:rsidP="00BC1C31">
            <w:pPr>
              <w:tabs>
                <w:tab w:val="left" w:pos="426"/>
              </w:tabs>
            </w:pPr>
          </w:p>
        </w:tc>
        <w:tc>
          <w:tcPr>
            <w:tcW w:w="1483" w:type="dxa"/>
          </w:tcPr>
          <w:p w14:paraId="0C1AFEBC" w14:textId="77777777" w:rsidR="00353EDE" w:rsidRPr="000B0221" w:rsidRDefault="00353EDE" w:rsidP="00BC1C31">
            <w:pPr>
              <w:tabs>
                <w:tab w:val="left" w:pos="426"/>
              </w:tabs>
            </w:pPr>
          </w:p>
        </w:tc>
        <w:tc>
          <w:tcPr>
            <w:tcW w:w="1676" w:type="dxa"/>
          </w:tcPr>
          <w:p w14:paraId="02AB276D" w14:textId="77777777" w:rsidR="00353EDE" w:rsidRPr="000B0221" w:rsidRDefault="00353EDE" w:rsidP="00BC1C31">
            <w:pPr>
              <w:tabs>
                <w:tab w:val="left" w:pos="426"/>
              </w:tabs>
            </w:pPr>
          </w:p>
        </w:tc>
      </w:tr>
      <w:tr w:rsidR="00353EDE" w:rsidRPr="000B0221" w14:paraId="53D8A143" w14:textId="77777777" w:rsidTr="00353EDE">
        <w:trPr>
          <w:divId w:val="464155022"/>
        </w:trPr>
        <w:tc>
          <w:tcPr>
            <w:tcW w:w="1984" w:type="dxa"/>
          </w:tcPr>
          <w:p w14:paraId="4FDF7CEE" w14:textId="77777777" w:rsidR="00353EDE" w:rsidRPr="000B0221" w:rsidRDefault="00353EDE" w:rsidP="00BC1C31">
            <w:pPr>
              <w:tabs>
                <w:tab w:val="left" w:pos="426"/>
              </w:tabs>
            </w:pPr>
            <w:r w:rsidRPr="000B0221">
              <w:t>Activin receptor trap</w:t>
            </w:r>
          </w:p>
          <w:p w14:paraId="4BC8A3EE" w14:textId="77777777" w:rsidR="00353EDE" w:rsidRPr="000B0221" w:rsidRDefault="00353EDE" w:rsidP="00BC1C31">
            <w:pPr>
              <w:tabs>
                <w:tab w:val="left" w:pos="426"/>
              </w:tabs>
            </w:pPr>
          </w:p>
        </w:tc>
        <w:tc>
          <w:tcPr>
            <w:tcW w:w="1671" w:type="dxa"/>
          </w:tcPr>
          <w:p w14:paraId="6B45C9C2" w14:textId="77777777" w:rsidR="00353EDE" w:rsidRPr="000B0221" w:rsidRDefault="00353EDE" w:rsidP="00BC1C31">
            <w:pPr>
              <w:tabs>
                <w:tab w:val="left" w:pos="426"/>
              </w:tabs>
            </w:pPr>
            <w:r w:rsidRPr="000B0221">
              <w:t>ACE-031</w:t>
            </w:r>
          </w:p>
          <w:p w14:paraId="6F5A11AF" w14:textId="77777777" w:rsidR="00353EDE" w:rsidRPr="000B0221" w:rsidRDefault="00353EDE" w:rsidP="00BC1C31">
            <w:pPr>
              <w:tabs>
                <w:tab w:val="left" w:pos="426"/>
              </w:tabs>
            </w:pPr>
          </w:p>
        </w:tc>
        <w:tc>
          <w:tcPr>
            <w:tcW w:w="1832" w:type="dxa"/>
          </w:tcPr>
          <w:p w14:paraId="6D654A4D" w14:textId="77777777" w:rsidR="00353EDE" w:rsidRPr="000B0221" w:rsidRDefault="00353EDE" w:rsidP="00BC1C31">
            <w:pPr>
              <w:tabs>
                <w:tab w:val="left" w:pos="426"/>
              </w:tabs>
            </w:pPr>
            <w:r w:rsidRPr="000B0221">
              <w:t>Acceleron</w:t>
            </w:r>
          </w:p>
          <w:p w14:paraId="61E0632F" w14:textId="77777777" w:rsidR="00353EDE" w:rsidRPr="000B0221" w:rsidRDefault="00353EDE" w:rsidP="00BC1C31">
            <w:pPr>
              <w:tabs>
                <w:tab w:val="left" w:pos="426"/>
              </w:tabs>
            </w:pPr>
          </w:p>
        </w:tc>
        <w:tc>
          <w:tcPr>
            <w:tcW w:w="1483" w:type="dxa"/>
          </w:tcPr>
          <w:p w14:paraId="7849DB9C" w14:textId="77777777" w:rsidR="00353EDE" w:rsidRPr="000B0221" w:rsidRDefault="00353EDE" w:rsidP="00BC1C31">
            <w:pPr>
              <w:tabs>
                <w:tab w:val="left" w:pos="426"/>
              </w:tabs>
            </w:pPr>
            <w:r w:rsidRPr="000B0221">
              <w:t>Duchenne muscular dystrophy</w:t>
            </w:r>
          </w:p>
          <w:p w14:paraId="447AF232" w14:textId="77777777" w:rsidR="00353EDE" w:rsidRPr="000B0221" w:rsidRDefault="00353EDE" w:rsidP="00BC1C31">
            <w:pPr>
              <w:tabs>
                <w:tab w:val="left" w:pos="426"/>
              </w:tabs>
            </w:pPr>
          </w:p>
        </w:tc>
        <w:tc>
          <w:tcPr>
            <w:tcW w:w="1676" w:type="dxa"/>
          </w:tcPr>
          <w:p w14:paraId="3BAA520A" w14:textId="77777777" w:rsidR="00353EDE" w:rsidRPr="000B0221" w:rsidRDefault="00353EDE" w:rsidP="00BC1C31">
            <w:pPr>
              <w:tabs>
                <w:tab w:val="left" w:pos="426"/>
              </w:tabs>
            </w:pPr>
            <w:r w:rsidRPr="000B0221">
              <w:t>Phase 3 (trial terminated early)</w:t>
            </w:r>
          </w:p>
          <w:p w14:paraId="101A165D" w14:textId="77777777" w:rsidR="00353EDE" w:rsidRPr="000B0221" w:rsidRDefault="00353EDE" w:rsidP="00BC1C31">
            <w:pPr>
              <w:tabs>
                <w:tab w:val="left" w:pos="426"/>
              </w:tabs>
            </w:pPr>
          </w:p>
        </w:tc>
      </w:tr>
      <w:tr w:rsidR="00353EDE" w:rsidRPr="000B0221" w14:paraId="688A54EC" w14:textId="77777777" w:rsidTr="00353EDE">
        <w:trPr>
          <w:divId w:val="464155022"/>
        </w:trPr>
        <w:tc>
          <w:tcPr>
            <w:tcW w:w="1984" w:type="dxa"/>
          </w:tcPr>
          <w:p w14:paraId="38AF5903" w14:textId="77777777" w:rsidR="00353EDE" w:rsidRPr="000B0221" w:rsidRDefault="00353EDE" w:rsidP="00BC1C31">
            <w:pPr>
              <w:tabs>
                <w:tab w:val="left" w:pos="426"/>
              </w:tabs>
            </w:pPr>
            <w:r w:rsidRPr="000B0221">
              <w:t>Myostatin antibody</w:t>
            </w:r>
          </w:p>
          <w:p w14:paraId="39F6A17B" w14:textId="77777777" w:rsidR="00353EDE" w:rsidRPr="000B0221" w:rsidRDefault="00353EDE" w:rsidP="00BC1C31">
            <w:pPr>
              <w:tabs>
                <w:tab w:val="left" w:pos="426"/>
              </w:tabs>
            </w:pPr>
          </w:p>
        </w:tc>
        <w:tc>
          <w:tcPr>
            <w:tcW w:w="1671" w:type="dxa"/>
          </w:tcPr>
          <w:p w14:paraId="459DB9E9" w14:textId="77777777" w:rsidR="00353EDE" w:rsidRPr="000B0221" w:rsidRDefault="00353EDE" w:rsidP="00BC1C31">
            <w:pPr>
              <w:tabs>
                <w:tab w:val="left" w:pos="426"/>
              </w:tabs>
            </w:pPr>
            <w:r w:rsidRPr="000B0221">
              <w:t>REGN-1033</w:t>
            </w:r>
          </w:p>
          <w:p w14:paraId="4EF1EB65" w14:textId="77777777" w:rsidR="00353EDE" w:rsidRPr="000B0221" w:rsidRDefault="00353EDE" w:rsidP="00BC1C31">
            <w:pPr>
              <w:tabs>
                <w:tab w:val="left" w:pos="426"/>
              </w:tabs>
            </w:pPr>
          </w:p>
        </w:tc>
        <w:tc>
          <w:tcPr>
            <w:tcW w:w="1832" w:type="dxa"/>
          </w:tcPr>
          <w:p w14:paraId="31E07408" w14:textId="77777777" w:rsidR="00353EDE" w:rsidRPr="000B0221" w:rsidRDefault="00353EDE" w:rsidP="00BC1C31">
            <w:pPr>
              <w:tabs>
                <w:tab w:val="left" w:pos="426"/>
              </w:tabs>
            </w:pPr>
            <w:r w:rsidRPr="000B0221">
              <w:t>Regeneron/Sanofi</w:t>
            </w:r>
          </w:p>
          <w:p w14:paraId="0AD037CB" w14:textId="77777777" w:rsidR="00353EDE" w:rsidRPr="000B0221" w:rsidRDefault="00353EDE" w:rsidP="00BC1C31">
            <w:pPr>
              <w:tabs>
                <w:tab w:val="left" w:pos="426"/>
              </w:tabs>
            </w:pPr>
          </w:p>
        </w:tc>
        <w:tc>
          <w:tcPr>
            <w:tcW w:w="1483" w:type="dxa"/>
          </w:tcPr>
          <w:p w14:paraId="70F914E6" w14:textId="77777777" w:rsidR="00353EDE" w:rsidRPr="000B0221" w:rsidRDefault="00353EDE" w:rsidP="00BC1C31">
            <w:pPr>
              <w:tabs>
                <w:tab w:val="left" w:pos="426"/>
              </w:tabs>
            </w:pPr>
            <w:r w:rsidRPr="000B0221">
              <w:t>Sarcopenia</w:t>
            </w:r>
          </w:p>
          <w:p w14:paraId="1EA3B790" w14:textId="77777777" w:rsidR="00353EDE" w:rsidRPr="000B0221" w:rsidRDefault="00353EDE" w:rsidP="00BC1C31">
            <w:pPr>
              <w:tabs>
                <w:tab w:val="left" w:pos="426"/>
              </w:tabs>
            </w:pPr>
          </w:p>
        </w:tc>
        <w:tc>
          <w:tcPr>
            <w:tcW w:w="1676" w:type="dxa"/>
          </w:tcPr>
          <w:p w14:paraId="09C5DA78" w14:textId="77777777" w:rsidR="00353EDE" w:rsidRPr="000B0221" w:rsidRDefault="00353EDE" w:rsidP="00BC1C31">
            <w:pPr>
              <w:tabs>
                <w:tab w:val="left" w:pos="426"/>
              </w:tabs>
            </w:pPr>
            <w:r w:rsidRPr="000B0221">
              <w:t>Phase 2</w:t>
            </w:r>
          </w:p>
          <w:p w14:paraId="065AE831" w14:textId="77777777" w:rsidR="00353EDE" w:rsidRPr="000B0221" w:rsidRDefault="00353EDE" w:rsidP="00BC1C31">
            <w:pPr>
              <w:tabs>
                <w:tab w:val="left" w:pos="426"/>
              </w:tabs>
            </w:pPr>
          </w:p>
        </w:tc>
      </w:tr>
      <w:tr w:rsidR="00353EDE" w:rsidRPr="000B0221" w14:paraId="37DC636D" w14:textId="77777777" w:rsidTr="00353EDE">
        <w:trPr>
          <w:divId w:val="464155022"/>
        </w:trPr>
        <w:tc>
          <w:tcPr>
            <w:tcW w:w="1984" w:type="dxa"/>
          </w:tcPr>
          <w:p w14:paraId="1DE8D99F" w14:textId="77777777" w:rsidR="00353EDE" w:rsidRPr="000B0221" w:rsidRDefault="00353EDE" w:rsidP="00BC1C31">
            <w:pPr>
              <w:tabs>
                <w:tab w:val="left" w:pos="426"/>
              </w:tabs>
            </w:pPr>
          </w:p>
        </w:tc>
        <w:tc>
          <w:tcPr>
            <w:tcW w:w="1671" w:type="dxa"/>
          </w:tcPr>
          <w:p w14:paraId="08F17438" w14:textId="77777777" w:rsidR="00353EDE" w:rsidRPr="000B0221" w:rsidRDefault="00353EDE" w:rsidP="00BC1C31">
            <w:pPr>
              <w:tabs>
                <w:tab w:val="left" w:pos="426"/>
              </w:tabs>
            </w:pPr>
            <w:r w:rsidRPr="000B0221">
              <w:t>LY-2495655</w:t>
            </w:r>
          </w:p>
          <w:p w14:paraId="32043873" w14:textId="77777777" w:rsidR="00353EDE" w:rsidRPr="000B0221" w:rsidRDefault="00353EDE" w:rsidP="00BC1C31">
            <w:pPr>
              <w:tabs>
                <w:tab w:val="left" w:pos="426"/>
              </w:tabs>
            </w:pPr>
          </w:p>
        </w:tc>
        <w:tc>
          <w:tcPr>
            <w:tcW w:w="1832" w:type="dxa"/>
          </w:tcPr>
          <w:p w14:paraId="66F65EC7" w14:textId="77777777" w:rsidR="00353EDE" w:rsidRPr="000B0221" w:rsidRDefault="00353EDE" w:rsidP="00BC1C31">
            <w:pPr>
              <w:tabs>
                <w:tab w:val="left" w:pos="426"/>
              </w:tabs>
            </w:pPr>
            <w:r w:rsidRPr="000B0221">
              <w:t>Eli Lilly</w:t>
            </w:r>
          </w:p>
          <w:p w14:paraId="149EF1AE" w14:textId="77777777" w:rsidR="00353EDE" w:rsidRPr="000B0221" w:rsidRDefault="00353EDE" w:rsidP="00BC1C31">
            <w:pPr>
              <w:tabs>
                <w:tab w:val="left" w:pos="426"/>
              </w:tabs>
            </w:pPr>
          </w:p>
        </w:tc>
        <w:tc>
          <w:tcPr>
            <w:tcW w:w="1483" w:type="dxa"/>
          </w:tcPr>
          <w:p w14:paraId="30AA5D94" w14:textId="77777777" w:rsidR="00353EDE" w:rsidRPr="000B0221" w:rsidRDefault="00353EDE" w:rsidP="00BC1C31">
            <w:pPr>
              <w:tabs>
                <w:tab w:val="left" w:pos="426"/>
              </w:tabs>
            </w:pPr>
            <w:r w:rsidRPr="000B0221">
              <w:t>Hip arthroplasty</w:t>
            </w:r>
          </w:p>
          <w:p w14:paraId="12D4C78B" w14:textId="77777777" w:rsidR="00353EDE" w:rsidRPr="000B0221" w:rsidRDefault="00353EDE" w:rsidP="00BC1C31">
            <w:pPr>
              <w:tabs>
                <w:tab w:val="left" w:pos="426"/>
              </w:tabs>
            </w:pPr>
          </w:p>
          <w:p w14:paraId="07F7CBA2" w14:textId="77777777" w:rsidR="00353EDE" w:rsidRPr="000B0221" w:rsidRDefault="00353EDE" w:rsidP="00BC1C31">
            <w:pPr>
              <w:tabs>
                <w:tab w:val="left" w:pos="426"/>
              </w:tabs>
            </w:pPr>
            <w:r w:rsidRPr="000B0221">
              <w:t>Elderly Fallers</w:t>
            </w:r>
          </w:p>
          <w:p w14:paraId="484BB8CD" w14:textId="77777777" w:rsidR="00353EDE" w:rsidRPr="000B0221" w:rsidRDefault="00353EDE" w:rsidP="00BC1C31">
            <w:pPr>
              <w:tabs>
                <w:tab w:val="left" w:pos="426"/>
              </w:tabs>
            </w:pPr>
          </w:p>
          <w:p w14:paraId="1BFD7E18" w14:textId="77777777" w:rsidR="00353EDE" w:rsidRPr="000B0221" w:rsidRDefault="00353EDE" w:rsidP="00BC1C31">
            <w:pPr>
              <w:tabs>
                <w:tab w:val="left" w:pos="426"/>
              </w:tabs>
            </w:pPr>
            <w:r w:rsidRPr="000B0221">
              <w:t>Cancer Cachexia</w:t>
            </w:r>
          </w:p>
          <w:p w14:paraId="66DB2E97" w14:textId="77777777" w:rsidR="00353EDE" w:rsidRPr="000B0221" w:rsidRDefault="00353EDE" w:rsidP="00BC1C31">
            <w:pPr>
              <w:tabs>
                <w:tab w:val="left" w:pos="426"/>
              </w:tabs>
            </w:pPr>
          </w:p>
        </w:tc>
        <w:tc>
          <w:tcPr>
            <w:tcW w:w="1676" w:type="dxa"/>
          </w:tcPr>
          <w:p w14:paraId="019748D3" w14:textId="77777777" w:rsidR="00353EDE" w:rsidRPr="000B0221" w:rsidRDefault="00353EDE" w:rsidP="00BC1C31">
            <w:pPr>
              <w:tabs>
                <w:tab w:val="left" w:pos="426"/>
              </w:tabs>
            </w:pPr>
            <w:r w:rsidRPr="000B0221">
              <w:t>Phase 2</w:t>
            </w:r>
          </w:p>
          <w:p w14:paraId="23D184B2" w14:textId="77777777" w:rsidR="00353EDE" w:rsidRPr="000B0221" w:rsidRDefault="00353EDE" w:rsidP="00BC1C31">
            <w:pPr>
              <w:tabs>
                <w:tab w:val="left" w:pos="426"/>
              </w:tabs>
            </w:pPr>
          </w:p>
        </w:tc>
      </w:tr>
      <w:tr w:rsidR="00353EDE" w:rsidRPr="000B0221" w14:paraId="24A474BB" w14:textId="77777777" w:rsidTr="00353EDE">
        <w:trPr>
          <w:divId w:val="464155022"/>
        </w:trPr>
        <w:tc>
          <w:tcPr>
            <w:tcW w:w="1984" w:type="dxa"/>
          </w:tcPr>
          <w:p w14:paraId="1CDF2BDF" w14:textId="77777777" w:rsidR="00353EDE" w:rsidRPr="000B0221" w:rsidRDefault="00353EDE" w:rsidP="00BC1C31">
            <w:pPr>
              <w:tabs>
                <w:tab w:val="left" w:pos="426"/>
              </w:tabs>
            </w:pPr>
          </w:p>
        </w:tc>
        <w:tc>
          <w:tcPr>
            <w:tcW w:w="1671" w:type="dxa"/>
          </w:tcPr>
          <w:p w14:paraId="38A2CF05" w14:textId="77777777" w:rsidR="00353EDE" w:rsidRPr="000B0221" w:rsidRDefault="00353EDE" w:rsidP="00BC1C31">
            <w:pPr>
              <w:tabs>
                <w:tab w:val="left" w:pos="426"/>
              </w:tabs>
            </w:pPr>
            <w:r w:rsidRPr="000B0221">
              <w:t>PF-06252616</w:t>
            </w:r>
          </w:p>
          <w:p w14:paraId="58ECD7D2" w14:textId="77777777" w:rsidR="00353EDE" w:rsidRPr="000B0221" w:rsidRDefault="00353EDE" w:rsidP="00BC1C31">
            <w:pPr>
              <w:tabs>
                <w:tab w:val="left" w:pos="426"/>
              </w:tabs>
            </w:pPr>
          </w:p>
        </w:tc>
        <w:tc>
          <w:tcPr>
            <w:tcW w:w="1832" w:type="dxa"/>
          </w:tcPr>
          <w:p w14:paraId="11206770" w14:textId="77777777" w:rsidR="00353EDE" w:rsidRPr="000B0221" w:rsidRDefault="00353EDE" w:rsidP="00BC1C31">
            <w:pPr>
              <w:tabs>
                <w:tab w:val="left" w:pos="426"/>
              </w:tabs>
            </w:pPr>
            <w:r w:rsidRPr="000B0221">
              <w:t>Pfizer</w:t>
            </w:r>
          </w:p>
          <w:p w14:paraId="232CE67E" w14:textId="77777777" w:rsidR="00353EDE" w:rsidRPr="000B0221" w:rsidRDefault="00353EDE" w:rsidP="00BC1C31">
            <w:pPr>
              <w:tabs>
                <w:tab w:val="left" w:pos="426"/>
              </w:tabs>
            </w:pPr>
          </w:p>
        </w:tc>
        <w:tc>
          <w:tcPr>
            <w:tcW w:w="1483" w:type="dxa"/>
          </w:tcPr>
          <w:p w14:paraId="0C932919" w14:textId="77777777" w:rsidR="00353EDE" w:rsidRPr="000B0221" w:rsidRDefault="00353EDE" w:rsidP="00BC1C31">
            <w:pPr>
              <w:tabs>
                <w:tab w:val="left" w:pos="426"/>
              </w:tabs>
            </w:pPr>
            <w:r w:rsidRPr="000B0221">
              <w:t>Inclusion body myositis</w:t>
            </w:r>
          </w:p>
          <w:p w14:paraId="049C55D7" w14:textId="77777777" w:rsidR="00353EDE" w:rsidRPr="000B0221" w:rsidRDefault="00353EDE" w:rsidP="00BC1C31">
            <w:pPr>
              <w:tabs>
                <w:tab w:val="left" w:pos="426"/>
              </w:tabs>
            </w:pPr>
          </w:p>
        </w:tc>
        <w:tc>
          <w:tcPr>
            <w:tcW w:w="1676" w:type="dxa"/>
          </w:tcPr>
          <w:p w14:paraId="7C95BD98" w14:textId="77777777" w:rsidR="00353EDE" w:rsidRPr="000B0221" w:rsidRDefault="00353EDE" w:rsidP="00BC1C31">
            <w:pPr>
              <w:tabs>
                <w:tab w:val="left" w:pos="426"/>
              </w:tabs>
            </w:pPr>
            <w:r w:rsidRPr="000B0221">
              <w:t>Phase 1</w:t>
            </w:r>
          </w:p>
          <w:p w14:paraId="17975BAB" w14:textId="77777777" w:rsidR="00353EDE" w:rsidRPr="000B0221" w:rsidRDefault="00353EDE" w:rsidP="00BC1C31">
            <w:pPr>
              <w:tabs>
                <w:tab w:val="left" w:pos="426"/>
              </w:tabs>
            </w:pPr>
          </w:p>
        </w:tc>
      </w:tr>
      <w:tr w:rsidR="00353EDE" w:rsidRPr="000B0221" w14:paraId="58913396" w14:textId="77777777" w:rsidTr="00353EDE">
        <w:trPr>
          <w:divId w:val="464155022"/>
        </w:trPr>
        <w:tc>
          <w:tcPr>
            <w:tcW w:w="1984" w:type="dxa"/>
          </w:tcPr>
          <w:p w14:paraId="541EF9F5" w14:textId="77777777" w:rsidR="00353EDE" w:rsidRPr="000B0221" w:rsidRDefault="00353EDE" w:rsidP="00BC1C31">
            <w:pPr>
              <w:tabs>
                <w:tab w:val="left" w:pos="426"/>
              </w:tabs>
            </w:pPr>
            <w:r w:rsidRPr="000B0221">
              <w:t>Activin receptor inhibitor</w:t>
            </w:r>
          </w:p>
        </w:tc>
        <w:tc>
          <w:tcPr>
            <w:tcW w:w="1671" w:type="dxa"/>
          </w:tcPr>
          <w:p w14:paraId="4368058B" w14:textId="77777777" w:rsidR="00353EDE" w:rsidRPr="000B0221" w:rsidRDefault="00353EDE" w:rsidP="00BC1C31">
            <w:pPr>
              <w:tabs>
                <w:tab w:val="left" w:pos="426"/>
              </w:tabs>
            </w:pPr>
            <w:r w:rsidRPr="000B0221">
              <w:t>Bimagrumab (BMY338)</w:t>
            </w:r>
          </w:p>
        </w:tc>
        <w:tc>
          <w:tcPr>
            <w:tcW w:w="1832" w:type="dxa"/>
          </w:tcPr>
          <w:p w14:paraId="08A981A9" w14:textId="77777777" w:rsidR="00353EDE" w:rsidRPr="000B0221" w:rsidRDefault="00353EDE" w:rsidP="00BC1C31">
            <w:pPr>
              <w:tabs>
                <w:tab w:val="left" w:pos="426"/>
              </w:tabs>
            </w:pPr>
            <w:r w:rsidRPr="000B0221">
              <w:t>Novartis</w:t>
            </w:r>
          </w:p>
        </w:tc>
        <w:tc>
          <w:tcPr>
            <w:tcW w:w="1483" w:type="dxa"/>
          </w:tcPr>
          <w:p w14:paraId="69DFF3E7" w14:textId="77777777" w:rsidR="00353EDE" w:rsidRPr="000B0221" w:rsidRDefault="00353EDE" w:rsidP="00BC1C31">
            <w:pPr>
              <w:tabs>
                <w:tab w:val="left" w:pos="426"/>
              </w:tabs>
            </w:pPr>
            <w:r w:rsidRPr="000B0221">
              <w:t>Sarcopenia</w:t>
            </w:r>
          </w:p>
          <w:p w14:paraId="4F9CD802" w14:textId="77777777" w:rsidR="00353EDE" w:rsidRPr="000B0221" w:rsidRDefault="00353EDE" w:rsidP="00BC1C31">
            <w:pPr>
              <w:tabs>
                <w:tab w:val="left" w:pos="426"/>
              </w:tabs>
            </w:pPr>
          </w:p>
          <w:p w14:paraId="4F179E91" w14:textId="77777777" w:rsidR="00353EDE" w:rsidRPr="000B0221" w:rsidRDefault="00353EDE" w:rsidP="00BC1C31">
            <w:pPr>
              <w:tabs>
                <w:tab w:val="left" w:pos="426"/>
              </w:tabs>
            </w:pPr>
            <w:r w:rsidRPr="000B0221">
              <w:t>Hip fracture</w:t>
            </w:r>
          </w:p>
          <w:p w14:paraId="582AF259" w14:textId="77777777" w:rsidR="00353EDE" w:rsidRPr="000B0221" w:rsidRDefault="00353EDE" w:rsidP="00BC1C31">
            <w:pPr>
              <w:tabs>
                <w:tab w:val="left" w:pos="426"/>
              </w:tabs>
            </w:pPr>
          </w:p>
          <w:p w14:paraId="02A019BA" w14:textId="77777777" w:rsidR="00353EDE" w:rsidRPr="000B0221" w:rsidRDefault="00353EDE" w:rsidP="00BC1C31">
            <w:pPr>
              <w:tabs>
                <w:tab w:val="left" w:pos="426"/>
              </w:tabs>
            </w:pPr>
            <w:r w:rsidRPr="000B0221">
              <w:t>Cancer and COPD cachexia</w:t>
            </w:r>
          </w:p>
          <w:p w14:paraId="53079C6E" w14:textId="77777777" w:rsidR="00353EDE" w:rsidRPr="000B0221" w:rsidRDefault="00353EDE" w:rsidP="00BC1C31">
            <w:pPr>
              <w:tabs>
                <w:tab w:val="left" w:pos="426"/>
              </w:tabs>
            </w:pPr>
          </w:p>
        </w:tc>
        <w:tc>
          <w:tcPr>
            <w:tcW w:w="1676" w:type="dxa"/>
          </w:tcPr>
          <w:p w14:paraId="66091A14" w14:textId="77777777" w:rsidR="00353EDE" w:rsidRPr="000B0221" w:rsidRDefault="00353EDE" w:rsidP="00BC1C31">
            <w:pPr>
              <w:tabs>
                <w:tab w:val="left" w:pos="426"/>
              </w:tabs>
            </w:pPr>
            <w:r w:rsidRPr="000B0221">
              <w:t>Phase 2 and 3</w:t>
            </w:r>
          </w:p>
          <w:p w14:paraId="063A5440" w14:textId="77777777" w:rsidR="00353EDE" w:rsidRPr="000B0221" w:rsidRDefault="00353EDE" w:rsidP="00BC1C31">
            <w:pPr>
              <w:tabs>
                <w:tab w:val="left" w:pos="426"/>
              </w:tabs>
            </w:pPr>
          </w:p>
          <w:p w14:paraId="06BECCB5" w14:textId="77777777" w:rsidR="00353EDE" w:rsidRPr="000B0221" w:rsidRDefault="00353EDE" w:rsidP="00BC1C31">
            <w:pPr>
              <w:tabs>
                <w:tab w:val="left" w:pos="426"/>
              </w:tabs>
            </w:pPr>
          </w:p>
          <w:p w14:paraId="60BFEABB" w14:textId="77777777" w:rsidR="00353EDE" w:rsidRPr="000B0221" w:rsidRDefault="00353EDE" w:rsidP="00BC1C31">
            <w:pPr>
              <w:tabs>
                <w:tab w:val="left" w:pos="426"/>
              </w:tabs>
            </w:pPr>
          </w:p>
          <w:p w14:paraId="3D9D03DE" w14:textId="77777777" w:rsidR="00353EDE" w:rsidRPr="000B0221" w:rsidRDefault="00353EDE" w:rsidP="00BC1C31">
            <w:pPr>
              <w:tabs>
                <w:tab w:val="left" w:pos="426"/>
              </w:tabs>
            </w:pPr>
          </w:p>
          <w:p w14:paraId="4BAA1FC2" w14:textId="77777777" w:rsidR="00353EDE" w:rsidRPr="000B0221" w:rsidRDefault="00353EDE" w:rsidP="00BC1C31">
            <w:pPr>
              <w:tabs>
                <w:tab w:val="left" w:pos="426"/>
              </w:tabs>
            </w:pPr>
            <w:r w:rsidRPr="000B0221">
              <w:t>Phase 2</w:t>
            </w:r>
          </w:p>
        </w:tc>
      </w:tr>
      <w:tr w:rsidR="00353EDE" w:rsidRPr="000B0221" w14:paraId="46BCDEDF" w14:textId="77777777" w:rsidTr="00353EDE">
        <w:trPr>
          <w:divId w:val="464155022"/>
        </w:trPr>
        <w:tc>
          <w:tcPr>
            <w:tcW w:w="1984" w:type="dxa"/>
          </w:tcPr>
          <w:p w14:paraId="5574E0BA" w14:textId="77777777" w:rsidR="00353EDE" w:rsidRPr="000B0221" w:rsidRDefault="00353EDE" w:rsidP="00BC1C31">
            <w:pPr>
              <w:tabs>
                <w:tab w:val="left" w:pos="426"/>
              </w:tabs>
            </w:pPr>
            <w:r w:rsidRPr="000B0221">
              <w:t>II. Selective Androgen Receptor Modulators</w:t>
            </w:r>
          </w:p>
          <w:p w14:paraId="7FDE143C" w14:textId="77777777" w:rsidR="00353EDE" w:rsidRPr="000B0221" w:rsidRDefault="00353EDE" w:rsidP="00BC1C31">
            <w:pPr>
              <w:tabs>
                <w:tab w:val="left" w:pos="426"/>
              </w:tabs>
            </w:pPr>
          </w:p>
        </w:tc>
        <w:tc>
          <w:tcPr>
            <w:tcW w:w="1671" w:type="dxa"/>
          </w:tcPr>
          <w:p w14:paraId="05BB4BBE" w14:textId="77777777" w:rsidR="00353EDE" w:rsidRPr="000B0221" w:rsidRDefault="00353EDE" w:rsidP="00BC1C31">
            <w:pPr>
              <w:tabs>
                <w:tab w:val="left" w:pos="426"/>
              </w:tabs>
            </w:pPr>
            <w:r w:rsidRPr="000B0221">
              <w:t>Enobasarm (Ostarine)</w:t>
            </w:r>
          </w:p>
        </w:tc>
        <w:tc>
          <w:tcPr>
            <w:tcW w:w="1832" w:type="dxa"/>
          </w:tcPr>
          <w:p w14:paraId="7D557AEE" w14:textId="77777777" w:rsidR="00353EDE" w:rsidRPr="000B0221" w:rsidRDefault="00353EDE" w:rsidP="00BC1C31">
            <w:pPr>
              <w:tabs>
                <w:tab w:val="left" w:pos="426"/>
              </w:tabs>
            </w:pPr>
            <w:r w:rsidRPr="000B0221">
              <w:t>GTx</w:t>
            </w:r>
          </w:p>
        </w:tc>
        <w:tc>
          <w:tcPr>
            <w:tcW w:w="1483" w:type="dxa"/>
          </w:tcPr>
          <w:p w14:paraId="535A0488" w14:textId="77777777" w:rsidR="00353EDE" w:rsidRPr="000B0221" w:rsidRDefault="00353EDE" w:rsidP="00BC1C31">
            <w:pPr>
              <w:tabs>
                <w:tab w:val="left" w:pos="426"/>
              </w:tabs>
            </w:pPr>
            <w:r w:rsidRPr="000B0221">
              <w:t>Cancer Cachexia</w:t>
            </w:r>
          </w:p>
        </w:tc>
        <w:tc>
          <w:tcPr>
            <w:tcW w:w="1676" w:type="dxa"/>
          </w:tcPr>
          <w:p w14:paraId="3F6CA9DA" w14:textId="77777777" w:rsidR="00353EDE" w:rsidRPr="000B0221" w:rsidRDefault="00353EDE" w:rsidP="00BC1C31">
            <w:pPr>
              <w:tabs>
                <w:tab w:val="left" w:pos="426"/>
              </w:tabs>
            </w:pPr>
            <w:r w:rsidRPr="000B0221">
              <w:t>Phase 3 (did not meet primary endpoint)</w:t>
            </w:r>
          </w:p>
        </w:tc>
      </w:tr>
      <w:tr w:rsidR="00353EDE" w:rsidRPr="000B0221" w14:paraId="1D01A394" w14:textId="77777777" w:rsidTr="00353EDE">
        <w:trPr>
          <w:divId w:val="464155022"/>
        </w:trPr>
        <w:tc>
          <w:tcPr>
            <w:tcW w:w="1984" w:type="dxa"/>
          </w:tcPr>
          <w:p w14:paraId="56BEE036" w14:textId="77777777" w:rsidR="00353EDE" w:rsidRPr="000B0221" w:rsidRDefault="00353EDE" w:rsidP="00BC1C31">
            <w:pPr>
              <w:tabs>
                <w:tab w:val="left" w:pos="426"/>
              </w:tabs>
            </w:pPr>
            <w:r w:rsidRPr="000B0221">
              <w:t>III. Skeletal Troponin Activators</w:t>
            </w:r>
          </w:p>
        </w:tc>
        <w:tc>
          <w:tcPr>
            <w:tcW w:w="1671" w:type="dxa"/>
          </w:tcPr>
          <w:p w14:paraId="73AC513B" w14:textId="77777777" w:rsidR="00353EDE" w:rsidRPr="000B0221" w:rsidRDefault="00353EDE" w:rsidP="00BC1C31">
            <w:pPr>
              <w:tabs>
                <w:tab w:val="left" w:pos="426"/>
              </w:tabs>
            </w:pPr>
            <w:r w:rsidRPr="000B0221">
              <w:t>Tirasemtiv</w:t>
            </w:r>
          </w:p>
          <w:p w14:paraId="34B52791" w14:textId="77777777" w:rsidR="00353EDE" w:rsidRPr="000B0221" w:rsidRDefault="00353EDE" w:rsidP="00BC1C31">
            <w:pPr>
              <w:tabs>
                <w:tab w:val="left" w:pos="426"/>
              </w:tabs>
            </w:pPr>
            <w:r w:rsidRPr="000B0221">
              <w:t>CK-2017357</w:t>
            </w:r>
          </w:p>
        </w:tc>
        <w:tc>
          <w:tcPr>
            <w:tcW w:w="1832" w:type="dxa"/>
          </w:tcPr>
          <w:p w14:paraId="24BBA524" w14:textId="77777777" w:rsidR="00353EDE" w:rsidRPr="000B0221" w:rsidRDefault="00353EDE" w:rsidP="00BC1C31">
            <w:pPr>
              <w:tabs>
                <w:tab w:val="left" w:pos="426"/>
              </w:tabs>
            </w:pPr>
            <w:r w:rsidRPr="000B0221">
              <w:t>Cytokinetics</w:t>
            </w:r>
          </w:p>
        </w:tc>
        <w:tc>
          <w:tcPr>
            <w:tcW w:w="1483" w:type="dxa"/>
          </w:tcPr>
          <w:p w14:paraId="4DBB2A26" w14:textId="77777777" w:rsidR="00353EDE" w:rsidRPr="000B0221" w:rsidRDefault="00353EDE" w:rsidP="00BC1C31">
            <w:pPr>
              <w:tabs>
                <w:tab w:val="left" w:pos="426"/>
              </w:tabs>
            </w:pPr>
            <w:r w:rsidRPr="000B0221">
              <w:t>ALS</w:t>
            </w:r>
          </w:p>
          <w:p w14:paraId="204CC601" w14:textId="77777777" w:rsidR="00353EDE" w:rsidRPr="000B0221" w:rsidRDefault="00353EDE" w:rsidP="00BC1C31">
            <w:pPr>
              <w:tabs>
                <w:tab w:val="left" w:pos="426"/>
              </w:tabs>
            </w:pPr>
            <w:r w:rsidRPr="000B0221">
              <w:t>Myasthenia Gravis</w:t>
            </w:r>
          </w:p>
        </w:tc>
        <w:tc>
          <w:tcPr>
            <w:tcW w:w="1676" w:type="dxa"/>
          </w:tcPr>
          <w:p w14:paraId="3C54D1CE" w14:textId="77777777" w:rsidR="00353EDE" w:rsidRPr="000B0221" w:rsidRDefault="00353EDE" w:rsidP="00BC1C31">
            <w:pPr>
              <w:tabs>
                <w:tab w:val="left" w:pos="426"/>
              </w:tabs>
            </w:pPr>
            <w:r w:rsidRPr="000B0221">
              <w:t>Phase 2,3</w:t>
            </w:r>
          </w:p>
        </w:tc>
      </w:tr>
    </w:tbl>
    <w:p w14:paraId="62ED3324" w14:textId="77777777" w:rsidR="00353EDE" w:rsidRPr="000B0221" w:rsidRDefault="00353EDE" w:rsidP="00353EDE">
      <w:pPr>
        <w:tabs>
          <w:tab w:val="left" w:pos="426"/>
        </w:tabs>
        <w:spacing w:line="360" w:lineRule="auto"/>
        <w:divId w:val="464155022"/>
      </w:pPr>
    </w:p>
    <w:p w14:paraId="49C1EC37" w14:textId="77777777" w:rsidR="00960BFC" w:rsidRPr="00353EDE" w:rsidRDefault="00960BFC" w:rsidP="000D0863">
      <w:pPr>
        <w:pStyle w:val="NormalWeb"/>
        <w:ind w:left="640" w:hanging="640"/>
        <w:divId w:val="464155022"/>
        <w:rPr>
          <w:lang w:val="en-GB"/>
        </w:rPr>
      </w:pPr>
    </w:p>
    <w:sectPr w:rsidR="00960BFC" w:rsidRPr="00353EDE">
      <w:footerReference w:type="default" r:id="rId3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F46E39" w15:done="0"/>
  <w15:commentEx w15:paraId="7FF4296E" w15:done="0"/>
  <w15:commentEx w15:paraId="1B60747A" w15:done="0"/>
  <w15:commentEx w15:paraId="0F9CF5D6" w15:done="0"/>
  <w15:commentEx w15:paraId="5964ECC0" w15:done="0"/>
  <w15:commentEx w15:paraId="32FF3521" w15:done="0"/>
  <w15:commentEx w15:paraId="378ED5AC" w15:done="0"/>
  <w15:commentEx w15:paraId="422322DE" w15:done="0"/>
  <w15:commentEx w15:paraId="1A98F1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301E" w14:textId="77777777" w:rsidR="00EE57D1" w:rsidRDefault="00EE57D1" w:rsidP="001402FF">
      <w:pPr>
        <w:spacing w:after="0" w:line="240" w:lineRule="auto"/>
      </w:pPr>
      <w:r>
        <w:separator/>
      </w:r>
    </w:p>
  </w:endnote>
  <w:endnote w:type="continuationSeparator" w:id="0">
    <w:p w14:paraId="5EB4786A" w14:textId="77777777" w:rsidR="00EE57D1" w:rsidRDefault="00EE57D1" w:rsidP="0014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09007"/>
      <w:docPartObj>
        <w:docPartGallery w:val="Page Numbers (Bottom of Page)"/>
        <w:docPartUnique/>
      </w:docPartObj>
    </w:sdtPr>
    <w:sdtEndPr/>
    <w:sdtContent>
      <w:p w14:paraId="3456D438" w14:textId="41195962" w:rsidR="00A672A5" w:rsidRDefault="00A672A5">
        <w:pPr>
          <w:pStyle w:val="Footer"/>
          <w:jc w:val="right"/>
        </w:pPr>
        <w:r>
          <w:fldChar w:fldCharType="begin"/>
        </w:r>
        <w:r>
          <w:instrText>PAGE   \* MERGEFORMAT</w:instrText>
        </w:r>
        <w:r>
          <w:fldChar w:fldCharType="separate"/>
        </w:r>
        <w:r w:rsidR="00E60C07" w:rsidRPr="00E60C07">
          <w:rPr>
            <w:noProof/>
            <w:lang w:val="fr-FR"/>
          </w:rPr>
          <w:t>1</w:t>
        </w:r>
        <w:r>
          <w:fldChar w:fldCharType="end"/>
        </w:r>
      </w:p>
    </w:sdtContent>
  </w:sdt>
  <w:p w14:paraId="0218402A" w14:textId="77777777" w:rsidR="00A672A5" w:rsidRDefault="00A6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3B2BD" w14:textId="77777777" w:rsidR="00EE57D1" w:rsidRDefault="00EE57D1" w:rsidP="001402FF">
      <w:pPr>
        <w:spacing w:after="0" w:line="240" w:lineRule="auto"/>
      </w:pPr>
      <w:r>
        <w:separator/>
      </w:r>
    </w:p>
  </w:footnote>
  <w:footnote w:type="continuationSeparator" w:id="0">
    <w:p w14:paraId="1D111005" w14:textId="77777777" w:rsidR="00EE57D1" w:rsidRDefault="00EE57D1" w:rsidP="00140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5B"/>
    <w:multiLevelType w:val="hybridMultilevel"/>
    <w:tmpl w:val="FA0A0D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E05ECD"/>
    <w:multiLevelType w:val="hybridMultilevel"/>
    <w:tmpl w:val="BB38FC02"/>
    <w:lvl w:ilvl="0" w:tplc="8F2AEA6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78516F7"/>
    <w:multiLevelType w:val="hybridMultilevel"/>
    <w:tmpl w:val="1C427AFE"/>
    <w:lvl w:ilvl="0" w:tplc="8CF87C32">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CC21234"/>
    <w:multiLevelType w:val="hybridMultilevel"/>
    <w:tmpl w:val="C8A60C94"/>
    <w:lvl w:ilvl="0" w:tplc="5A9A460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03A295B"/>
    <w:multiLevelType w:val="hybridMultilevel"/>
    <w:tmpl w:val="000E9B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7E06E0"/>
    <w:multiLevelType w:val="hybridMultilevel"/>
    <w:tmpl w:val="4D6CA62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E7C34C2"/>
    <w:multiLevelType w:val="hybridMultilevel"/>
    <w:tmpl w:val="437AF672"/>
    <w:lvl w:ilvl="0" w:tplc="E5E29AB2">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8144790"/>
    <w:multiLevelType w:val="hybridMultilevel"/>
    <w:tmpl w:val="BB02BB94"/>
    <w:lvl w:ilvl="0" w:tplc="D472C3F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95612F0"/>
    <w:multiLevelType w:val="hybridMultilevel"/>
    <w:tmpl w:val="380EE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CC1DE4"/>
    <w:multiLevelType w:val="hybridMultilevel"/>
    <w:tmpl w:val="5966F27E"/>
    <w:lvl w:ilvl="0" w:tplc="0AF82CD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3F4057"/>
    <w:multiLevelType w:val="hybridMultilevel"/>
    <w:tmpl w:val="27E4E20C"/>
    <w:lvl w:ilvl="0" w:tplc="C706E2FA">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8D6BF7"/>
    <w:multiLevelType w:val="hybridMultilevel"/>
    <w:tmpl w:val="5F9440BC"/>
    <w:lvl w:ilvl="0" w:tplc="2370C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DF4D58"/>
    <w:multiLevelType w:val="hybridMultilevel"/>
    <w:tmpl w:val="85E875B2"/>
    <w:lvl w:ilvl="0" w:tplc="FCC4B3A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A756C2"/>
    <w:multiLevelType w:val="hybridMultilevel"/>
    <w:tmpl w:val="3E8CE798"/>
    <w:lvl w:ilvl="0" w:tplc="8F7E433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7184D39"/>
    <w:multiLevelType w:val="hybridMultilevel"/>
    <w:tmpl w:val="26A61FF2"/>
    <w:lvl w:ilvl="0" w:tplc="F30A731A">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B920746"/>
    <w:multiLevelType w:val="hybridMultilevel"/>
    <w:tmpl w:val="3EC2EB32"/>
    <w:lvl w:ilvl="0" w:tplc="E6225BFC">
      <w:start w:val="1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9D3854"/>
    <w:multiLevelType w:val="hybridMultilevel"/>
    <w:tmpl w:val="4CA4C0A4"/>
    <w:lvl w:ilvl="0" w:tplc="774869E8">
      <w:start w:val="1"/>
      <w:numFmt w:val="decimal"/>
      <w:lvlText w:val="%1."/>
      <w:lvlJc w:val="left"/>
      <w:pPr>
        <w:ind w:left="1353" w:hanging="360"/>
      </w:pPr>
      <w:rPr>
        <w:rFonts w:hint="default"/>
      </w:rPr>
    </w:lvl>
    <w:lvl w:ilvl="1" w:tplc="080C0019" w:tentative="1">
      <w:start w:val="1"/>
      <w:numFmt w:val="lowerLetter"/>
      <w:lvlText w:val="%2."/>
      <w:lvlJc w:val="left"/>
      <w:pPr>
        <w:ind w:left="2073" w:hanging="360"/>
      </w:pPr>
    </w:lvl>
    <w:lvl w:ilvl="2" w:tplc="080C001B" w:tentative="1">
      <w:start w:val="1"/>
      <w:numFmt w:val="lowerRoman"/>
      <w:lvlText w:val="%3."/>
      <w:lvlJc w:val="right"/>
      <w:pPr>
        <w:ind w:left="2793" w:hanging="180"/>
      </w:pPr>
    </w:lvl>
    <w:lvl w:ilvl="3" w:tplc="080C000F" w:tentative="1">
      <w:start w:val="1"/>
      <w:numFmt w:val="decimal"/>
      <w:lvlText w:val="%4."/>
      <w:lvlJc w:val="left"/>
      <w:pPr>
        <w:ind w:left="3513" w:hanging="360"/>
      </w:pPr>
    </w:lvl>
    <w:lvl w:ilvl="4" w:tplc="080C0019" w:tentative="1">
      <w:start w:val="1"/>
      <w:numFmt w:val="lowerLetter"/>
      <w:lvlText w:val="%5."/>
      <w:lvlJc w:val="left"/>
      <w:pPr>
        <w:ind w:left="4233" w:hanging="360"/>
      </w:pPr>
    </w:lvl>
    <w:lvl w:ilvl="5" w:tplc="080C001B" w:tentative="1">
      <w:start w:val="1"/>
      <w:numFmt w:val="lowerRoman"/>
      <w:lvlText w:val="%6."/>
      <w:lvlJc w:val="right"/>
      <w:pPr>
        <w:ind w:left="4953" w:hanging="180"/>
      </w:pPr>
    </w:lvl>
    <w:lvl w:ilvl="6" w:tplc="080C000F" w:tentative="1">
      <w:start w:val="1"/>
      <w:numFmt w:val="decimal"/>
      <w:lvlText w:val="%7."/>
      <w:lvlJc w:val="left"/>
      <w:pPr>
        <w:ind w:left="5673" w:hanging="360"/>
      </w:pPr>
    </w:lvl>
    <w:lvl w:ilvl="7" w:tplc="080C0019" w:tentative="1">
      <w:start w:val="1"/>
      <w:numFmt w:val="lowerLetter"/>
      <w:lvlText w:val="%8."/>
      <w:lvlJc w:val="left"/>
      <w:pPr>
        <w:ind w:left="6393" w:hanging="360"/>
      </w:pPr>
    </w:lvl>
    <w:lvl w:ilvl="8" w:tplc="080C001B" w:tentative="1">
      <w:start w:val="1"/>
      <w:numFmt w:val="lowerRoman"/>
      <w:lvlText w:val="%9."/>
      <w:lvlJc w:val="right"/>
      <w:pPr>
        <w:ind w:left="7113" w:hanging="180"/>
      </w:pPr>
    </w:lvl>
  </w:abstractNum>
  <w:abstractNum w:abstractNumId="17">
    <w:nsid w:val="3BE16583"/>
    <w:multiLevelType w:val="hybridMultilevel"/>
    <w:tmpl w:val="51A23B9C"/>
    <w:lvl w:ilvl="0" w:tplc="774869E8">
      <w:start w:val="1"/>
      <w:numFmt w:val="decimal"/>
      <w:lvlText w:val="%1."/>
      <w:lvlJc w:val="left"/>
      <w:pPr>
        <w:ind w:left="1353" w:hanging="360"/>
      </w:pPr>
      <w:rPr>
        <w:rFonts w:hint="default"/>
      </w:rPr>
    </w:lvl>
    <w:lvl w:ilvl="1" w:tplc="080C0019" w:tentative="1">
      <w:start w:val="1"/>
      <w:numFmt w:val="lowerLetter"/>
      <w:lvlText w:val="%2."/>
      <w:lvlJc w:val="left"/>
      <w:pPr>
        <w:ind w:left="2073" w:hanging="360"/>
      </w:pPr>
    </w:lvl>
    <w:lvl w:ilvl="2" w:tplc="080C001B" w:tentative="1">
      <w:start w:val="1"/>
      <w:numFmt w:val="lowerRoman"/>
      <w:lvlText w:val="%3."/>
      <w:lvlJc w:val="right"/>
      <w:pPr>
        <w:ind w:left="2793" w:hanging="180"/>
      </w:pPr>
    </w:lvl>
    <w:lvl w:ilvl="3" w:tplc="080C000F" w:tentative="1">
      <w:start w:val="1"/>
      <w:numFmt w:val="decimal"/>
      <w:lvlText w:val="%4."/>
      <w:lvlJc w:val="left"/>
      <w:pPr>
        <w:ind w:left="3513" w:hanging="360"/>
      </w:pPr>
    </w:lvl>
    <w:lvl w:ilvl="4" w:tplc="080C0019" w:tentative="1">
      <w:start w:val="1"/>
      <w:numFmt w:val="lowerLetter"/>
      <w:lvlText w:val="%5."/>
      <w:lvlJc w:val="left"/>
      <w:pPr>
        <w:ind w:left="4233" w:hanging="360"/>
      </w:pPr>
    </w:lvl>
    <w:lvl w:ilvl="5" w:tplc="080C001B" w:tentative="1">
      <w:start w:val="1"/>
      <w:numFmt w:val="lowerRoman"/>
      <w:lvlText w:val="%6."/>
      <w:lvlJc w:val="right"/>
      <w:pPr>
        <w:ind w:left="4953" w:hanging="180"/>
      </w:pPr>
    </w:lvl>
    <w:lvl w:ilvl="6" w:tplc="080C000F" w:tentative="1">
      <w:start w:val="1"/>
      <w:numFmt w:val="decimal"/>
      <w:lvlText w:val="%7."/>
      <w:lvlJc w:val="left"/>
      <w:pPr>
        <w:ind w:left="5673" w:hanging="360"/>
      </w:pPr>
    </w:lvl>
    <w:lvl w:ilvl="7" w:tplc="080C0019" w:tentative="1">
      <w:start w:val="1"/>
      <w:numFmt w:val="lowerLetter"/>
      <w:lvlText w:val="%8."/>
      <w:lvlJc w:val="left"/>
      <w:pPr>
        <w:ind w:left="6393" w:hanging="360"/>
      </w:pPr>
    </w:lvl>
    <w:lvl w:ilvl="8" w:tplc="080C001B" w:tentative="1">
      <w:start w:val="1"/>
      <w:numFmt w:val="lowerRoman"/>
      <w:lvlText w:val="%9."/>
      <w:lvlJc w:val="right"/>
      <w:pPr>
        <w:ind w:left="7113" w:hanging="180"/>
      </w:pPr>
    </w:lvl>
  </w:abstractNum>
  <w:abstractNum w:abstractNumId="18">
    <w:nsid w:val="3BEC0337"/>
    <w:multiLevelType w:val="hybridMultilevel"/>
    <w:tmpl w:val="95D0C980"/>
    <w:lvl w:ilvl="0" w:tplc="CA6646B2">
      <w:numFmt w:val="bullet"/>
      <w:lvlText w:val=""/>
      <w:lvlJc w:val="left"/>
      <w:pPr>
        <w:ind w:left="720" w:hanging="360"/>
      </w:pPr>
      <w:rPr>
        <w:rFonts w:ascii="Wingdings" w:eastAsiaTheme="minorHAnsi" w:hAnsi="Wingdings" w:cs="Times-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EF750B8"/>
    <w:multiLevelType w:val="hybridMultilevel"/>
    <w:tmpl w:val="6546A93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41D83597"/>
    <w:multiLevelType w:val="hybridMultilevel"/>
    <w:tmpl w:val="556479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42464A72"/>
    <w:multiLevelType w:val="hybridMultilevel"/>
    <w:tmpl w:val="174047C2"/>
    <w:lvl w:ilvl="0" w:tplc="B712BDC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3722973"/>
    <w:multiLevelType w:val="hybridMultilevel"/>
    <w:tmpl w:val="C6F4122C"/>
    <w:lvl w:ilvl="0" w:tplc="8532547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4A1166B"/>
    <w:multiLevelType w:val="hybridMultilevel"/>
    <w:tmpl w:val="D124F482"/>
    <w:lvl w:ilvl="0" w:tplc="072A41B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462D6BF2"/>
    <w:multiLevelType w:val="hybridMultilevel"/>
    <w:tmpl w:val="C77C5782"/>
    <w:lvl w:ilvl="0" w:tplc="CC9E5BA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48B57A12"/>
    <w:multiLevelType w:val="hybridMultilevel"/>
    <w:tmpl w:val="6546A93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4A2D5689"/>
    <w:multiLevelType w:val="hybridMultilevel"/>
    <w:tmpl w:val="3072ED78"/>
    <w:lvl w:ilvl="0" w:tplc="EF16E4EE">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3A54E9"/>
    <w:multiLevelType w:val="hybridMultilevel"/>
    <w:tmpl w:val="BA5AAEE4"/>
    <w:lvl w:ilvl="0" w:tplc="A5E483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B87AF4"/>
    <w:multiLevelType w:val="hybridMultilevel"/>
    <w:tmpl w:val="A3520350"/>
    <w:lvl w:ilvl="0" w:tplc="B8CCDC8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0DC2C31"/>
    <w:multiLevelType w:val="multilevel"/>
    <w:tmpl w:val="1D50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D1444C"/>
    <w:multiLevelType w:val="hybridMultilevel"/>
    <w:tmpl w:val="A71416C4"/>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1">
    <w:nsid w:val="64611AF7"/>
    <w:multiLevelType w:val="hybridMultilevel"/>
    <w:tmpl w:val="5F9440BC"/>
    <w:lvl w:ilvl="0" w:tplc="2370C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E31427"/>
    <w:multiLevelType w:val="hybridMultilevel"/>
    <w:tmpl w:val="6546A93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A6F712C"/>
    <w:multiLevelType w:val="hybridMultilevel"/>
    <w:tmpl w:val="B142B6C4"/>
    <w:lvl w:ilvl="0" w:tplc="4C1A1A00">
      <w:numFmt w:val="bullet"/>
      <w:lvlText w:val="-"/>
      <w:lvlJc w:val="left"/>
      <w:pPr>
        <w:ind w:left="720" w:hanging="360"/>
      </w:pPr>
      <w:rPr>
        <w:rFonts w:ascii="Times New Roman" w:eastAsia="Times New Roman" w:hAnsi="Times New Roman" w:cs="Times New Roman"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2F0F08"/>
    <w:multiLevelType w:val="hybridMultilevel"/>
    <w:tmpl w:val="5F9440BC"/>
    <w:lvl w:ilvl="0" w:tplc="2370C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C1E6D9A"/>
    <w:multiLevelType w:val="hybridMultilevel"/>
    <w:tmpl w:val="AAA2A026"/>
    <w:lvl w:ilvl="0" w:tplc="7430E0CC">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CDD72BC"/>
    <w:multiLevelType w:val="hybridMultilevel"/>
    <w:tmpl w:val="B05AEC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7E7532B6"/>
    <w:multiLevelType w:val="hybridMultilevel"/>
    <w:tmpl w:val="4C46A662"/>
    <w:lvl w:ilvl="0" w:tplc="0E7E550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37"/>
  </w:num>
  <w:num w:numId="4">
    <w:abstractNumId w:val="24"/>
  </w:num>
  <w:num w:numId="5">
    <w:abstractNumId w:val="21"/>
  </w:num>
  <w:num w:numId="6">
    <w:abstractNumId w:val="35"/>
  </w:num>
  <w:num w:numId="7">
    <w:abstractNumId w:val="17"/>
  </w:num>
  <w:num w:numId="8">
    <w:abstractNumId w:val="6"/>
  </w:num>
  <w:num w:numId="9">
    <w:abstractNumId w:val="2"/>
  </w:num>
  <w:num w:numId="10">
    <w:abstractNumId w:val="7"/>
  </w:num>
  <w:num w:numId="11">
    <w:abstractNumId w:val="29"/>
  </w:num>
  <w:num w:numId="12">
    <w:abstractNumId w:val="36"/>
  </w:num>
  <w:num w:numId="13">
    <w:abstractNumId w:val="5"/>
  </w:num>
  <w:num w:numId="14">
    <w:abstractNumId w:val="32"/>
  </w:num>
  <w:num w:numId="15">
    <w:abstractNumId w:val="20"/>
  </w:num>
  <w:num w:numId="16">
    <w:abstractNumId w:val="19"/>
  </w:num>
  <w:num w:numId="17">
    <w:abstractNumId w:val="25"/>
  </w:num>
  <w:num w:numId="18">
    <w:abstractNumId w:val="14"/>
  </w:num>
  <w:num w:numId="19">
    <w:abstractNumId w:val="22"/>
  </w:num>
  <w:num w:numId="20">
    <w:abstractNumId w:val="13"/>
  </w:num>
  <w:num w:numId="21">
    <w:abstractNumId w:val="18"/>
  </w:num>
  <w:num w:numId="22">
    <w:abstractNumId w:val="28"/>
  </w:num>
  <w:num w:numId="23">
    <w:abstractNumId w:val="23"/>
  </w:num>
  <w:num w:numId="24">
    <w:abstractNumId w:val="1"/>
  </w:num>
  <w:num w:numId="25">
    <w:abstractNumId w:val="3"/>
  </w:num>
  <w:num w:numId="26">
    <w:abstractNumId w:val="8"/>
  </w:num>
  <w:num w:numId="27">
    <w:abstractNumId w:val="31"/>
  </w:num>
  <w:num w:numId="28">
    <w:abstractNumId w:val="34"/>
  </w:num>
  <w:num w:numId="29">
    <w:abstractNumId w:val="11"/>
  </w:num>
  <w:num w:numId="30">
    <w:abstractNumId w:val="10"/>
  </w:num>
  <w:num w:numId="31">
    <w:abstractNumId w:val="12"/>
  </w:num>
  <w:num w:numId="32">
    <w:abstractNumId w:val="27"/>
  </w:num>
  <w:num w:numId="33">
    <w:abstractNumId w:val="9"/>
  </w:num>
  <w:num w:numId="34">
    <w:abstractNumId w:val="4"/>
  </w:num>
  <w:num w:numId="35">
    <w:abstractNumId w:val="0"/>
  </w:num>
  <w:num w:numId="36">
    <w:abstractNumId w:val="15"/>
  </w:num>
  <w:num w:numId="37">
    <w:abstractNumId w:val="26"/>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Beaudart">
    <w15:presenceInfo w15:providerId="Windows Live" w15:userId="2b951975f1af3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0D"/>
    <w:rsid w:val="000035F8"/>
    <w:rsid w:val="00004A6B"/>
    <w:rsid w:val="0000506E"/>
    <w:rsid w:val="00006B11"/>
    <w:rsid w:val="00006C19"/>
    <w:rsid w:val="00006D93"/>
    <w:rsid w:val="000148C5"/>
    <w:rsid w:val="000152F0"/>
    <w:rsid w:val="0001755D"/>
    <w:rsid w:val="000176F8"/>
    <w:rsid w:val="00020684"/>
    <w:rsid w:val="000226C3"/>
    <w:rsid w:val="00024142"/>
    <w:rsid w:val="00024DDE"/>
    <w:rsid w:val="00025DAC"/>
    <w:rsid w:val="00026DED"/>
    <w:rsid w:val="00030C5A"/>
    <w:rsid w:val="00032F85"/>
    <w:rsid w:val="000359E1"/>
    <w:rsid w:val="00035CB2"/>
    <w:rsid w:val="00035DB7"/>
    <w:rsid w:val="0003725B"/>
    <w:rsid w:val="0004275F"/>
    <w:rsid w:val="00045592"/>
    <w:rsid w:val="0004627D"/>
    <w:rsid w:val="000479F9"/>
    <w:rsid w:val="00054971"/>
    <w:rsid w:val="000579D3"/>
    <w:rsid w:val="0006148B"/>
    <w:rsid w:val="000667EF"/>
    <w:rsid w:val="0007446C"/>
    <w:rsid w:val="0007503E"/>
    <w:rsid w:val="00077E03"/>
    <w:rsid w:val="00086D3A"/>
    <w:rsid w:val="000872BA"/>
    <w:rsid w:val="0009331B"/>
    <w:rsid w:val="000937D8"/>
    <w:rsid w:val="0009637A"/>
    <w:rsid w:val="0009783E"/>
    <w:rsid w:val="000A3BC9"/>
    <w:rsid w:val="000A5DEF"/>
    <w:rsid w:val="000B0221"/>
    <w:rsid w:val="000B0A4A"/>
    <w:rsid w:val="000B228B"/>
    <w:rsid w:val="000B2871"/>
    <w:rsid w:val="000B30DD"/>
    <w:rsid w:val="000B3730"/>
    <w:rsid w:val="000B3FC0"/>
    <w:rsid w:val="000B5C25"/>
    <w:rsid w:val="000B62B0"/>
    <w:rsid w:val="000C043A"/>
    <w:rsid w:val="000C2405"/>
    <w:rsid w:val="000C2487"/>
    <w:rsid w:val="000C2E99"/>
    <w:rsid w:val="000C3C3C"/>
    <w:rsid w:val="000C3CEB"/>
    <w:rsid w:val="000D0863"/>
    <w:rsid w:val="000D4396"/>
    <w:rsid w:val="000D4452"/>
    <w:rsid w:val="000D5029"/>
    <w:rsid w:val="000D7927"/>
    <w:rsid w:val="000E2789"/>
    <w:rsid w:val="000E40F2"/>
    <w:rsid w:val="000E4726"/>
    <w:rsid w:val="000E55F7"/>
    <w:rsid w:val="000E6C30"/>
    <w:rsid w:val="000E7F6E"/>
    <w:rsid w:val="000F0E03"/>
    <w:rsid w:val="000F2F02"/>
    <w:rsid w:val="000F3741"/>
    <w:rsid w:val="000F50CF"/>
    <w:rsid w:val="000F78C3"/>
    <w:rsid w:val="00100874"/>
    <w:rsid w:val="00100967"/>
    <w:rsid w:val="00101141"/>
    <w:rsid w:val="00105E6E"/>
    <w:rsid w:val="001061AB"/>
    <w:rsid w:val="00106831"/>
    <w:rsid w:val="00114ED6"/>
    <w:rsid w:val="00115EC2"/>
    <w:rsid w:val="0011741B"/>
    <w:rsid w:val="00124E07"/>
    <w:rsid w:val="001256D1"/>
    <w:rsid w:val="001314F8"/>
    <w:rsid w:val="0013152A"/>
    <w:rsid w:val="00131988"/>
    <w:rsid w:val="00136B79"/>
    <w:rsid w:val="00137C99"/>
    <w:rsid w:val="001402FF"/>
    <w:rsid w:val="001412C1"/>
    <w:rsid w:val="001416E3"/>
    <w:rsid w:val="0014188B"/>
    <w:rsid w:val="0014243A"/>
    <w:rsid w:val="001437D5"/>
    <w:rsid w:val="00150790"/>
    <w:rsid w:val="001516EE"/>
    <w:rsid w:val="00151B27"/>
    <w:rsid w:val="001602EF"/>
    <w:rsid w:val="00161F5C"/>
    <w:rsid w:val="00162D8C"/>
    <w:rsid w:val="00163D56"/>
    <w:rsid w:val="0016513D"/>
    <w:rsid w:val="0017033C"/>
    <w:rsid w:val="00171400"/>
    <w:rsid w:val="00171D0C"/>
    <w:rsid w:val="00172934"/>
    <w:rsid w:val="00174DA8"/>
    <w:rsid w:val="00181CB7"/>
    <w:rsid w:val="001934ED"/>
    <w:rsid w:val="0019391F"/>
    <w:rsid w:val="001948C8"/>
    <w:rsid w:val="001A06D6"/>
    <w:rsid w:val="001A1E92"/>
    <w:rsid w:val="001A1F3C"/>
    <w:rsid w:val="001A30C6"/>
    <w:rsid w:val="001A35A2"/>
    <w:rsid w:val="001A690E"/>
    <w:rsid w:val="001A6DF0"/>
    <w:rsid w:val="001A761A"/>
    <w:rsid w:val="001B408D"/>
    <w:rsid w:val="001B5D79"/>
    <w:rsid w:val="001B7548"/>
    <w:rsid w:val="001C3302"/>
    <w:rsid w:val="001C635F"/>
    <w:rsid w:val="001C66D0"/>
    <w:rsid w:val="001D6EB3"/>
    <w:rsid w:val="001E077D"/>
    <w:rsid w:val="001E1296"/>
    <w:rsid w:val="001E5BDC"/>
    <w:rsid w:val="001E61F9"/>
    <w:rsid w:val="001E7364"/>
    <w:rsid w:val="0020588F"/>
    <w:rsid w:val="00205AC4"/>
    <w:rsid w:val="0020609D"/>
    <w:rsid w:val="00206310"/>
    <w:rsid w:val="00210F82"/>
    <w:rsid w:val="0021739A"/>
    <w:rsid w:val="002175AD"/>
    <w:rsid w:val="0022231F"/>
    <w:rsid w:val="00223752"/>
    <w:rsid w:val="00224EA7"/>
    <w:rsid w:val="002259EB"/>
    <w:rsid w:val="002268A6"/>
    <w:rsid w:val="00227077"/>
    <w:rsid w:val="0023072F"/>
    <w:rsid w:val="00230A67"/>
    <w:rsid w:val="00230A6E"/>
    <w:rsid w:val="00231495"/>
    <w:rsid w:val="0023277C"/>
    <w:rsid w:val="00232F2D"/>
    <w:rsid w:val="002332D2"/>
    <w:rsid w:val="00233FAC"/>
    <w:rsid w:val="002377FA"/>
    <w:rsid w:val="00244D29"/>
    <w:rsid w:val="00245632"/>
    <w:rsid w:val="00247F7A"/>
    <w:rsid w:val="002511CC"/>
    <w:rsid w:val="00251A65"/>
    <w:rsid w:val="00254886"/>
    <w:rsid w:val="002556E8"/>
    <w:rsid w:val="002558FF"/>
    <w:rsid w:val="00257482"/>
    <w:rsid w:val="00261994"/>
    <w:rsid w:val="002636F0"/>
    <w:rsid w:val="00265C75"/>
    <w:rsid w:val="00266743"/>
    <w:rsid w:val="00267D7A"/>
    <w:rsid w:val="0027112C"/>
    <w:rsid w:val="0027613D"/>
    <w:rsid w:val="0027769F"/>
    <w:rsid w:val="00281D80"/>
    <w:rsid w:val="00284B23"/>
    <w:rsid w:val="0028524F"/>
    <w:rsid w:val="002915AA"/>
    <w:rsid w:val="0029226E"/>
    <w:rsid w:val="0029293A"/>
    <w:rsid w:val="00293CDC"/>
    <w:rsid w:val="002A1554"/>
    <w:rsid w:val="002A70BF"/>
    <w:rsid w:val="002B27C6"/>
    <w:rsid w:val="002B376C"/>
    <w:rsid w:val="002B5848"/>
    <w:rsid w:val="002B6D61"/>
    <w:rsid w:val="002B6F3B"/>
    <w:rsid w:val="002C1372"/>
    <w:rsid w:val="002C2F80"/>
    <w:rsid w:val="002C461A"/>
    <w:rsid w:val="002C4B1F"/>
    <w:rsid w:val="002C6591"/>
    <w:rsid w:val="002C780D"/>
    <w:rsid w:val="002D0C3F"/>
    <w:rsid w:val="002D29B7"/>
    <w:rsid w:val="002D4147"/>
    <w:rsid w:val="002D6183"/>
    <w:rsid w:val="002D777E"/>
    <w:rsid w:val="002E48EF"/>
    <w:rsid w:val="002F0AAA"/>
    <w:rsid w:val="002F0EF6"/>
    <w:rsid w:val="002F4D82"/>
    <w:rsid w:val="00300D08"/>
    <w:rsid w:val="00302B82"/>
    <w:rsid w:val="003052A2"/>
    <w:rsid w:val="00305B87"/>
    <w:rsid w:val="00307630"/>
    <w:rsid w:val="003113DB"/>
    <w:rsid w:val="00311837"/>
    <w:rsid w:val="00313D1D"/>
    <w:rsid w:val="00315A96"/>
    <w:rsid w:val="00315EF9"/>
    <w:rsid w:val="003179A1"/>
    <w:rsid w:val="00324FC3"/>
    <w:rsid w:val="00334B0A"/>
    <w:rsid w:val="00337E21"/>
    <w:rsid w:val="00344B38"/>
    <w:rsid w:val="003537B5"/>
    <w:rsid w:val="00353EDE"/>
    <w:rsid w:val="00354D34"/>
    <w:rsid w:val="003603F4"/>
    <w:rsid w:val="00361DB6"/>
    <w:rsid w:val="00363129"/>
    <w:rsid w:val="00363504"/>
    <w:rsid w:val="00363F57"/>
    <w:rsid w:val="00366207"/>
    <w:rsid w:val="00366A00"/>
    <w:rsid w:val="003719A3"/>
    <w:rsid w:val="00373EEF"/>
    <w:rsid w:val="0037443C"/>
    <w:rsid w:val="00377240"/>
    <w:rsid w:val="003778D9"/>
    <w:rsid w:val="003826AA"/>
    <w:rsid w:val="00383534"/>
    <w:rsid w:val="00383F7C"/>
    <w:rsid w:val="0038400E"/>
    <w:rsid w:val="00385AB8"/>
    <w:rsid w:val="00387D00"/>
    <w:rsid w:val="003931AC"/>
    <w:rsid w:val="00393E87"/>
    <w:rsid w:val="00393EC9"/>
    <w:rsid w:val="003A0127"/>
    <w:rsid w:val="003A2C7B"/>
    <w:rsid w:val="003A6184"/>
    <w:rsid w:val="003A7F36"/>
    <w:rsid w:val="003B09AD"/>
    <w:rsid w:val="003B1CFB"/>
    <w:rsid w:val="003B69CE"/>
    <w:rsid w:val="003B7E12"/>
    <w:rsid w:val="003C0563"/>
    <w:rsid w:val="003C180C"/>
    <w:rsid w:val="003C24A5"/>
    <w:rsid w:val="003C5807"/>
    <w:rsid w:val="003C6C78"/>
    <w:rsid w:val="003C7953"/>
    <w:rsid w:val="003D0A8C"/>
    <w:rsid w:val="003D0F93"/>
    <w:rsid w:val="003D443B"/>
    <w:rsid w:val="003D5D3C"/>
    <w:rsid w:val="003D5D8A"/>
    <w:rsid w:val="003D675F"/>
    <w:rsid w:val="003D6A50"/>
    <w:rsid w:val="003D7361"/>
    <w:rsid w:val="003E68AB"/>
    <w:rsid w:val="003F2E52"/>
    <w:rsid w:val="00400880"/>
    <w:rsid w:val="004014CE"/>
    <w:rsid w:val="00401AC7"/>
    <w:rsid w:val="0040261D"/>
    <w:rsid w:val="004028D8"/>
    <w:rsid w:val="00403E53"/>
    <w:rsid w:val="004041AB"/>
    <w:rsid w:val="004120EA"/>
    <w:rsid w:val="00421510"/>
    <w:rsid w:val="00422D60"/>
    <w:rsid w:val="00426905"/>
    <w:rsid w:val="0044168A"/>
    <w:rsid w:val="00442075"/>
    <w:rsid w:val="00442E73"/>
    <w:rsid w:val="00443114"/>
    <w:rsid w:val="0044320D"/>
    <w:rsid w:val="00443D1E"/>
    <w:rsid w:val="004502FC"/>
    <w:rsid w:val="0045258D"/>
    <w:rsid w:val="00454CBA"/>
    <w:rsid w:val="0046124D"/>
    <w:rsid w:val="00462F42"/>
    <w:rsid w:val="00464179"/>
    <w:rsid w:val="0047108E"/>
    <w:rsid w:val="00471486"/>
    <w:rsid w:val="004740D4"/>
    <w:rsid w:val="0048043C"/>
    <w:rsid w:val="00480F8A"/>
    <w:rsid w:val="00483E3E"/>
    <w:rsid w:val="0048612B"/>
    <w:rsid w:val="004872D2"/>
    <w:rsid w:val="0049151A"/>
    <w:rsid w:val="004944A9"/>
    <w:rsid w:val="004946C8"/>
    <w:rsid w:val="0049615F"/>
    <w:rsid w:val="004969FE"/>
    <w:rsid w:val="00497414"/>
    <w:rsid w:val="00497B9A"/>
    <w:rsid w:val="00497EAA"/>
    <w:rsid w:val="004A0657"/>
    <w:rsid w:val="004A2645"/>
    <w:rsid w:val="004A49E6"/>
    <w:rsid w:val="004A7C70"/>
    <w:rsid w:val="004B0083"/>
    <w:rsid w:val="004B0C0A"/>
    <w:rsid w:val="004B2706"/>
    <w:rsid w:val="004B3D70"/>
    <w:rsid w:val="004B4CB6"/>
    <w:rsid w:val="004C2659"/>
    <w:rsid w:val="004C7A34"/>
    <w:rsid w:val="004D01E6"/>
    <w:rsid w:val="004D0AFE"/>
    <w:rsid w:val="004D3953"/>
    <w:rsid w:val="004D5318"/>
    <w:rsid w:val="004E035A"/>
    <w:rsid w:val="004E2698"/>
    <w:rsid w:val="004E7269"/>
    <w:rsid w:val="004E7AF7"/>
    <w:rsid w:val="004F45CC"/>
    <w:rsid w:val="005005A2"/>
    <w:rsid w:val="00503774"/>
    <w:rsid w:val="00507290"/>
    <w:rsid w:val="00511196"/>
    <w:rsid w:val="005119B3"/>
    <w:rsid w:val="00515473"/>
    <w:rsid w:val="00515608"/>
    <w:rsid w:val="00516BD3"/>
    <w:rsid w:val="00523066"/>
    <w:rsid w:val="00523DAB"/>
    <w:rsid w:val="005256A7"/>
    <w:rsid w:val="005318D9"/>
    <w:rsid w:val="00535061"/>
    <w:rsid w:val="00536332"/>
    <w:rsid w:val="005379B1"/>
    <w:rsid w:val="005405B8"/>
    <w:rsid w:val="005417DA"/>
    <w:rsid w:val="00541C18"/>
    <w:rsid w:val="00542E45"/>
    <w:rsid w:val="0054386D"/>
    <w:rsid w:val="00543A14"/>
    <w:rsid w:val="00544ECF"/>
    <w:rsid w:val="005464B6"/>
    <w:rsid w:val="00554607"/>
    <w:rsid w:val="005568E5"/>
    <w:rsid w:val="0055760C"/>
    <w:rsid w:val="0055794A"/>
    <w:rsid w:val="00560300"/>
    <w:rsid w:val="00563F48"/>
    <w:rsid w:val="005644D1"/>
    <w:rsid w:val="00565C51"/>
    <w:rsid w:val="005665CF"/>
    <w:rsid w:val="00567D5D"/>
    <w:rsid w:val="005718F2"/>
    <w:rsid w:val="00571C6D"/>
    <w:rsid w:val="005779B6"/>
    <w:rsid w:val="00584E8D"/>
    <w:rsid w:val="00592F37"/>
    <w:rsid w:val="00595C0F"/>
    <w:rsid w:val="005A1EBA"/>
    <w:rsid w:val="005A3185"/>
    <w:rsid w:val="005A5283"/>
    <w:rsid w:val="005A7780"/>
    <w:rsid w:val="005A7A05"/>
    <w:rsid w:val="005A7CE4"/>
    <w:rsid w:val="005B2F86"/>
    <w:rsid w:val="005B3EE3"/>
    <w:rsid w:val="005B78AE"/>
    <w:rsid w:val="005C0E6D"/>
    <w:rsid w:val="005C29A2"/>
    <w:rsid w:val="005D150F"/>
    <w:rsid w:val="005D2F3C"/>
    <w:rsid w:val="005D3DEA"/>
    <w:rsid w:val="005D504D"/>
    <w:rsid w:val="005D53E6"/>
    <w:rsid w:val="005D67AF"/>
    <w:rsid w:val="005D718F"/>
    <w:rsid w:val="005E082E"/>
    <w:rsid w:val="005F10A3"/>
    <w:rsid w:val="005F4827"/>
    <w:rsid w:val="005F54D5"/>
    <w:rsid w:val="006008F2"/>
    <w:rsid w:val="00602653"/>
    <w:rsid w:val="00602827"/>
    <w:rsid w:val="00605B0E"/>
    <w:rsid w:val="00606D70"/>
    <w:rsid w:val="00611E8B"/>
    <w:rsid w:val="00614511"/>
    <w:rsid w:val="00620506"/>
    <w:rsid w:val="00621171"/>
    <w:rsid w:val="00621372"/>
    <w:rsid w:val="006252E5"/>
    <w:rsid w:val="00632582"/>
    <w:rsid w:val="006326ED"/>
    <w:rsid w:val="00633A51"/>
    <w:rsid w:val="0063591D"/>
    <w:rsid w:val="006409F1"/>
    <w:rsid w:val="006417BA"/>
    <w:rsid w:val="0064190B"/>
    <w:rsid w:val="00641F3E"/>
    <w:rsid w:val="0064403A"/>
    <w:rsid w:val="00647306"/>
    <w:rsid w:val="00652DC0"/>
    <w:rsid w:val="0066471E"/>
    <w:rsid w:val="00666BCB"/>
    <w:rsid w:val="00670896"/>
    <w:rsid w:val="00671FF7"/>
    <w:rsid w:val="00673028"/>
    <w:rsid w:val="00673377"/>
    <w:rsid w:val="00682222"/>
    <w:rsid w:val="00683A01"/>
    <w:rsid w:val="00684736"/>
    <w:rsid w:val="00686653"/>
    <w:rsid w:val="00694992"/>
    <w:rsid w:val="00695946"/>
    <w:rsid w:val="0069775A"/>
    <w:rsid w:val="006A2C54"/>
    <w:rsid w:val="006A5004"/>
    <w:rsid w:val="006A67EE"/>
    <w:rsid w:val="006A75AD"/>
    <w:rsid w:val="006B0602"/>
    <w:rsid w:val="006B1BCC"/>
    <w:rsid w:val="006B2D2C"/>
    <w:rsid w:val="006B56D5"/>
    <w:rsid w:val="006B7D93"/>
    <w:rsid w:val="006C1DE9"/>
    <w:rsid w:val="006C644B"/>
    <w:rsid w:val="006D14B6"/>
    <w:rsid w:val="006D3D79"/>
    <w:rsid w:val="006D56B8"/>
    <w:rsid w:val="006D7A16"/>
    <w:rsid w:val="006E2013"/>
    <w:rsid w:val="006E24F7"/>
    <w:rsid w:val="006E3A97"/>
    <w:rsid w:val="006F1803"/>
    <w:rsid w:val="00703B85"/>
    <w:rsid w:val="0070666D"/>
    <w:rsid w:val="007072C2"/>
    <w:rsid w:val="00713553"/>
    <w:rsid w:val="007152FD"/>
    <w:rsid w:val="00715404"/>
    <w:rsid w:val="00720521"/>
    <w:rsid w:val="00720E15"/>
    <w:rsid w:val="0072362A"/>
    <w:rsid w:val="00723AE5"/>
    <w:rsid w:val="00724205"/>
    <w:rsid w:val="00724B6A"/>
    <w:rsid w:val="0072512D"/>
    <w:rsid w:val="00732C10"/>
    <w:rsid w:val="00732C56"/>
    <w:rsid w:val="007416FD"/>
    <w:rsid w:val="00741C9C"/>
    <w:rsid w:val="0074301F"/>
    <w:rsid w:val="00743664"/>
    <w:rsid w:val="00743D86"/>
    <w:rsid w:val="00745C14"/>
    <w:rsid w:val="00745C2B"/>
    <w:rsid w:val="00745CD5"/>
    <w:rsid w:val="00745F51"/>
    <w:rsid w:val="00746F82"/>
    <w:rsid w:val="007516E8"/>
    <w:rsid w:val="00752010"/>
    <w:rsid w:val="00752482"/>
    <w:rsid w:val="00752CBC"/>
    <w:rsid w:val="00753175"/>
    <w:rsid w:val="0075662D"/>
    <w:rsid w:val="007572E7"/>
    <w:rsid w:val="0076347B"/>
    <w:rsid w:val="007654F6"/>
    <w:rsid w:val="00770F79"/>
    <w:rsid w:val="007746EB"/>
    <w:rsid w:val="00775D91"/>
    <w:rsid w:val="00776130"/>
    <w:rsid w:val="00780A48"/>
    <w:rsid w:val="00780D1A"/>
    <w:rsid w:val="00783DE2"/>
    <w:rsid w:val="007845BD"/>
    <w:rsid w:val="00790CDC"/>
    <w:rsid w:val="00795713"/>
    <w:rsid w:val="00796BFB"/>
    <w:rsid w:val="007A00DF"/>
    <w:rsid w:val="007A12A8"/>
    <w:rsid w:val="007A2D8D"/>
    <w:rsid w:val="007A4121"/>
    <w:rsid w:val="007A6FE5"/>
    <w:rsid w:val="007A791E"/>
    <w:rsid w:val="007A796C"/>
    <w:rsid w:val="007B18DF"/>
    <w:rsid w:val="007B1DC9"/>
    <w:rsid w:val="007B3F7E"/>
    <w:rsid w:val="007B5D73"/>
    <w:rsid w:val="007D2D03"/>
    <w:rsid w:val="007D40B9"/>
    <w:rsid w:val="007E0281"/>
    <w:rsid w:val="007E0300"/>
    <w:rsid w:val="007E054C"/>
    <w:rsid w:val="007E08FB"/>
    <w:rsid w:val="007E7C30"/>
    <w:rsid w:val="007F03B3"/>
    <w:rsid w:val="007F55D2"/>
    <w:rsid w:val="008003A6"/>
    <w:rsid w:val="008029F7"/>
    <w:rsid w:val="00802DE1"/>
    <w:rsid w:val="008058C7"/>
    <w:rsid w:val="00805F0D"/>
    <w:rsid w:val="008069A0"/>
    <w:rsid w:val="008072F0"/>
    <w:rsid w:val="00810327"/>
    <w:rsid w:val="008115C0"/>
    <w:rsid w:val="008143EC"/>
    <w:rsid w:val="00814B11"/>
    <w:rsid w:val="00815C36"/>
    <w:rsid w:val="008208BA"/>
    <w:rsid w:val="008226C4"/>
    <w:rsid w:val="008238A9"/>
    <w:rsid w:val="00823A8B"/>
    <w:rsid w:val="008262D0"/>
    <w:rsid w:val="00827826"/>
    <w:rsid w:val="00827CCF"/>
    <w:rsid w:val="00831EC7"/>
    <w:rsid w:val="00836066"/>
    <w:rsid w:val="0083783F"/>
    <w:rsid w:val="00841703"/>
    <w:rsid w:val="00845845"/>
    <w:rsid w:val="00851A00"/>
    <w:rsid w:val="00855E4D"/>
    <w:rsid w:val="008604CC"/>
    <w:rsid w:val="00860627"/>
    <w:rsid w:val="0086193A"/>
    <w:rsid w:val="00862536"/>
    <w:rsid w:val="00866586"/>
    <w:rsid w:val="00870E13"/>
    <w:rsid w:val="0087185E"/>
    <w:rsid w:val="00871BD6"/>
    <w:rsid w:val="00876D4D"/>
    <w:rsid w:val="00877962"/>
    <w:rsid w:val="00877C19"/>
    <w:rsid w:val="008826CC"/>
    <w:rsid w:val="008840E3"/>
    <w:rsid w:val="00885A09"/>
    <w:rsid w:val="008861D1"/>
    <w:rsid w:val="008863EB"/>
    <w:rsid w:val="00891EA4"/>
    <w:rsid w:val="0089293E"/>
    <w:rsid w:val="0089454A"/>
    <w:rsid w:val="00897DD3"/>
    <w:rsid w:val="008A2AA5"/>
    <w:rsid w:val="008A2C01"/>
    <w:rsid w:val="008A30F1"/>
    <w:rsid w:val="008A4628"/>
    <w:rsid w:val="008B4214"/>
    <w:rsid w:val="008B4CC1"/>
    <w:rsid w:val="008B6352"/>
    <w:rsid w:val="008C0B81"/>
    <w:rsid w:val="008C1BE6"/>
    <w:rsid w:val="008C206C"/>
    <w:rsid w:val="008C3096"/>
    <w:rsid w:val="008C5172"/>
    <w:rsid w:val="008C5588"/>
    <w:rsid w:val="008D15C2"/>
    <w:rsid w:val="008D210A"/>
    <w:rsid w:val="008D24C6"/>
    <w:rsid w:val="008D4F06"/>
    <w:rsid w:val="008E6AD4"/>
    <w:rsid w:val="008F3215"/>
    <w:rsid w:val="008F478F"/>
    <w:rsid w:val="00905319"/>
    <w:rsid w:val="00910042"/>
    <w:rsid w:val="00911C72"/>
    <w:rsid w:val="00916EEB"/>
    <w:rsid w:val="0091781B"/>
    <w:rsid w:val="00925BD6"/>
    <w:rsid w:val="00926B36"/>
    <w:rsid w:val="00932252"/>
    <w:rsid w:val="00941B70"/>
    <w:rsid w:val="00943DEC"/>
    <w:rsid w:val="009440A0"/>
    <w:rsid w:val="009473BE"/>
    <w:rsid w:val="00953C57"/>
    <w:rsid w:val="00956088"/>
    <w:rsid w:val="00960BFC"/>
    <w:rsid w:val="00961ECE"/>
    <w:rsid w:val="00963970"/>
    <w:rsid w:val="0096729D"/>
    <w:rsid w:val="0096749A"/>
    <w:rsid w:val="009679B3"/>
    <w:rsid w:val="00967DC5"/>
    <w:rsid w:val="00970DC5"/>
    <w:rsid w:val="00973EF9"/>
    <w:rsid w:val="00976F90"/>
    <w:rsid w:val="00977BD1"/>
    <w:rsid w:val="009801E9"/>
    <w:rsid w:val="0098123C"/>
    <w:rsid w:val="009856ED"/>
    <w:rsid w:val="0098633E"/>
    <w:rsid w:val="00986593"/>
    <w:rsid w:val="00986E22"/>
    <w:rsid w:val="00986F9D"/>
    <w:rsid w:val="00987015"/>
    <w:rsid w:val="00987CE3"/>
    <w:rsid w:val="00994A35"/>
    <w:rsid w:val="00994FD1"/>
    <w:rsid w:val="009A055F"/>
    <w:rsid w:val="009A167B"/>
    <w:rsid w:val="009A28E0"/>
    <w:rsid w:val="009A2985"/>
    <w:rsid w:val="009B208C"/>
    <w:rsid w:val="009B3433"/>
    <w:rsid w:val="009B4798"/>
    <w:rsid w:val="009B5462"/>
    <w:rsid w:val="009B5D61"/>
    <w:rsid w:val="009C33F9"/>
    <w:rsid w:val="009C4BA0"/>
    <w:rsid w:val="009C5921"/>
    <w:rsid w:val="009D1449"/>
    <w:rsid w:val="009D32B6"/>
    <w:rsid w:val="009D5AEE"/>
    <w:rsid w:val="009E376D"/>
    <w:rsid w:val="009E3908"/>
    <w:rsid w:val="009E39A3"/>
    <w:rsid w:val="009E6065"/>
    <w:rsid w:val="009F1092"/>
    <w:rsid w:val="009F68D9"/>
    <w:rsid w:val="00A03A84"/>
    <w:rsid w:val="00A03F03"/>
    <w:rsid w:val="00A0595C"/>
    <w:rsid w:val="00A0628C"/>
    <w:rsid w:val="00A11A14"/>
    <w:rsid w:val="00A16EBD"/>
    <w:rsid w:val="00A20CD4"/>
    <w:rsid w:val="00A233D7"/>
    <w:rsid w:val="00A24F1C"/>
    <w:rsid w:val="00A26D46"/>
    <w:rsid w:val="00A31F7B"/>
    <w:rsid w:val="00A34B4D"/>
    <w:rsid w:val="00A36A2D"/>
    <w:rsid w:val="00A37223"/>
    <w:rsid w:val="00A40B88"/>
    <w:rsid w:val="00A41E8D"/>
    <w:rsid w:val="00A44A34"/>
    <w:rsid w:val="00A509BD"/>
    <w:rsid w:val="00A5187B"/>
    <w:rsid w:val="00A53DF6"/>
    <w:rsid w:val="00A544D7"/>
    <w:rsid w:val="00A62E93"/>
    <w:rsid w:val="00A62FC8"/>
    <w:rsid w:val="00A632BE"/>
    <w:rsid w:val="00A64EBF"/>
    <w:rsid w:val="00A672A5"/>
    <w:rsid w:val="00A678FF"/>
    <w:rsid w:val="00A70D59"/>
    <w:rsid w:val="00A82E2A"/>
    <w:rsid w:val="00A845E1"/>
    <w:rsid w:val="00A85BA3"/>
    <w:rsid w:val="00A87E44"/>
    <w:rsid w:val="00A900B2"/>
    <w:rsid w:val="00AA01DF"/>
    <w:rsid w:val="00AA180E"/>
    <w:rsid w:val="00AA438D"/>
    <w:rsid w:val="00AA57F3"/>
    <w:rsid w:val="00AB2054"/>
    <w:rsid w:val="00AC0510"/>
    <w:rsid w:val="00AC0C2D"/>
    <w:rsid w:val="00AC4831"/>
    <w:rsid w:val="00AC73F0"/>
    <w:rsid w:val="00AD0ABB"/>
    <w:rsid w:val="00AD1F1F"/>
    <w:rsid w:val="00AD2736"/>
    <w:rsid w:val="00AD2C6D"/>
    <w:rsid w:val="00AD77C8"/>
    <w:rsid w:val="00AD7D53"/>
    <w:rsid w:val="00AE1E43"/>
    <w:rsid w:val="00AE42C3"/>
    <w:rsid w:val="00AE5D55"/>
    <w:rsid w:val="00AF17EF"/>
    <w:rsid w:val="00B003E4"/>
    <w:rsid w:val="00B00C8F"/>
    <w:rsid w:val="00B035CB"/>
    <w:rsid w:val="00B03A2C"/>
    <w:rsid w:val="00B06CA7"/>
    <w:rsid w:val="00B0718E"/>
    <w:rsid w:val="00B11F75"/>
    <w:rsid w:val="00B12118"/>
    <w:rsid w:val="00B14B15"/>
    <w:rsid w:val="00B16B4C"/>
    <w:rsid w:val="00B1714A"/>
    <w:rsid w:val="00B171C3"/>
    <w:rsid w:val="00B172F9"/>
    <w:rsid w:val="00B20758"/>
    <w:rsid w:val="00B227E4"/>
    <w:rsid w:val="00B22FFA"/>
    <w:rsid w:val="00B235ED"/>
    <w:rsid w:val="00B30227"/>
    <w:rsid w:val="00B3232A"/>
    <w:rsid w:val="00B3323A"/>
    <w:rsid w:val="00B3711A"/>
    <w:rsid w:val="00B3722A"/>
    <w:rsid w:val="00B41C93"/>
    <w:rsid w:val="00B43758"/>
    <w:rsid w:val="00B456DD"/>
    <w:rsid w:val="00B47317"/>
    <w:rsid w:val="00B5012C"/>
    <w:rsid w:val="00B52A60"/>
    <w:rsid w:val="00B5364D"/>
    <w:rsid w:val="00B5423C"/>
    <w:rsid w:val="00B54625"/>
    <w:rsid w:val="00B54A5C"/>
    <w:rsid w:val="00B55242"/>
    <w:rsid w:val="00B5605F"/>
    <w:rsid w:val="00B573B6"/>
    <w:rsid w:val="00B6218E"/>
    <w:rsid w:val="00B63A53"/>
    <w:rsid w:val="00B6555D"/>
    <w:rsid w:val="00B7017F"/>
    <w:rsid w:val="00B70755"/>
    <w:rsid w:val="00B73138"/>
    <w:rsid w:val="00B75454"/>
    <w:rsid w:val="00B820BC"/>
    <w:rsid w:val="00B82F99"/>
    <w:rsid w:val="00B830D5"/>
    <w:rsid w:val="00B8456A"/>
    <w:rsid w:val="00B86859"/>
    <w:rsid w:val="00B95DD4"/>
    <w:rsid w:val="00BB0C77"/>
    <w:rsid w:val="00BB1A5C"/>
    <w:rsid w:val="00BB1AB9"/>
    <w:rsid w:val="00BB5D35"/>
    <w:rsid w:val="00BC0DCB"/>
    <w:rsid w:val="00BC1A8B"/>
    <w:rsid w:val="00BC765D"/>
    <w:rsid w:val="00BD3536"/>
    <w:rsid w:val="00BE14AB"/>
    <w:rsid w:val="00BE1808"/>
    <w:rsid w:val="00BE4A89"/>
    <w:rsid w:val="00BE4C19"/>
    <w:rsid w:val="00BE689A"/>
    <w:rsid w:val="00BF08D4"/>
    <w:rsid w:val="00BF0B86"/>
    <w:rsid w:val="00BF1BF8"/>
    <w:rsid w:val="00BF6758"/>
    <w:rsid w:val="00C01C83"/>
    <w:rsid w:val="00C06F7E"/>
    <w:rsid w:val="00C15B33"/>
    <w:rsid w:val="00C16418"/>
    <w:rsid w:val="00C164A3"/>
    <w:rsid w:val="00C17F68"/>
    <w:rsid w:val="00C20D9A"/>
    <w:rsid w:val="00C21BC7"/>
    <w:rsid w:val="00C227F8"/>
    <w:rsid w:val="00C23123"/>
    <w:rsid w:val="00C24568"/>
    <w:rsid w:val="00C25276"/>
    <w:rsid w:val="00C254F9"/>
    <w:rsid w:val="00C25D9C"/>
    <w:rsid w:val="00C27560"/>
    <w:rsid w:val="00C32315"/>
    <w:rsid w:val="00C324CF"/>
    <w:rsid w:val="00C32D1B"/>
    <w:rsid w:val="00C32EE4"/>
    <w:rsid w:val="00C43B0F"/>
    <w:rsid w:val="00C46900"/>
    <w:rsid w:val="00C47210"/>
    <w:rsid w:val="00C47317"/>
    <w:rsid w:val="00C54572"/>
    <w:rsid w:val="00C54CF4"/>
    <w:rsid w:val="00C57343"/>
    <w:rsid w:val="00C60D54"/>
    <w:rsid w:val="00C6129A"/>
    <w:rsid w:val="00C6501F"/>
    <w:rsid w:val="00C657CC"/>
    <w:rsid w:val="00C67664"/>
    <w:rsid w:val="00C7196A"/>
    <w:rsid w:val="00C73AF7"/>
    <w:rsid w:val="00C75604"/>
    <w:rsid w:val="00C75CFC"/>
    <w:rsid w:val="00C8041B"/>
    <w:rsid w:val="00C83473"/>
    <w:rsid w:val="00C83A74"/>
    <w:rsid w:val="00C85CC8"/>
    <w:rsid w:val="00C868CE"/>
    <w:rsid w:val="00C86E9A"/>
    <w:rsid w:val="00C87595"/>
    <w:rsid w:val="00C96FF4"/>
    <w:rsid w:val="00CA4856"/>
    <w:rsid w:val="00CA4A11"/>
    <w:rsid w:val="00CA55A3"/>
    <w:rsid w:val="00CA7008"/>
    <w:rsid w:val="00CB4EE2"/>
    <w:rsid w:val="00CB507F"/>
    <w:rsid w:val="00CB66E1"/>
    <w:rsid w:val="00CB6793"/>
    <w:rsid w:val="00CC7ABB"/>
    <w:rsid w:val="00CD1FB4"/>
    <w:rsid w:val="00CD35F5"/>
    <w:rsid w:val="00CE3997"/>
    <w:rsid w:val="00CE4A82"/>
    <w:rsid w:val="00CE615C"/>
    <w:rsid w:val="00CF030E"/>
    <w:rsid w:val="00CF25AC"/>
    <w:rsid w:val="00CF4D73"/>
    <w:rsid w:val="00D0264F"/>
    <w:rsid w:val="00D05002"/>
    <w:rsid w:val="00D20B97"/>
    <w:rsid w:val="00D23650"/>
    <w:rsid w:val="00D243E1"/>
    <w:rsid w:val="00D2603A"/>
    <w:rsid w:val="00D26CC2"/>
    <w:rsid w:val="00D36EF3"/>
    <w:rsid w:val="00D37162"/>
    <w:rsid w:val="00D41CDC"/>
    <w:rsid w:val="00D45A46"/>
    <w:rsid w:val="00D47152"/>
    <w:rsid w:val="00D50E7C"/>
    <w:rsid w:val="00D5176B"/>
    <w:rsid w:val="00D53FC0"/>
    <w:rsid w:val="00D54A5D"/>
    <w:rsid w:val="00D55EEE"/>
    <w:rsid w:val="00D57FBE"/>
    <w:rsid w:val="00D60801"/>
    <w:rsid w:val="00D62C8F"/>
    <w:rsid w:val="00D635C6"/>
    <w:rsid w:val="00D65583"/>
    <w:rsid w:val="00D705F0"/>
    <w:rsid w:val="00D71690"/>
    <w:rsid w:val="00D74D10"/>
    <w:rsid w:val="00D7736D"/>
    <w:rsid w:val="00D7787B"/>
    <w:rsid w:val="00D8180F"/>
    <w:rsid w:val="00D82D2F"/>
    <w:rsid w:val="00D83C89"/>
    <w:rsid w:val="00D8487C"/>
    <w:rsid w:val="00D86C21"/>
    <w:rsid w:val="00D90230"/>
    <w:rsid w:val="00D9208B"/>
    <w:rsid w:val="00D924F7"/>
    <w:rsid w:val="00D92704"/>
    <w:rsid w:val="00D929AB"/>
    <w:rsid w:val="00D97B6E"/>
    <w:rsid w:val="00DA1C6A"/>
    <w:rsid w:val="00DA4C14"/>
    <w:rsid w:val="00DA72D7"/>
    <w:rsid w:val="00DA7861"/>
    <w:rsid w:val="00DB11D9"/>
    <w:rsid w:val="00DB13B6"/>
    <w:rsid w:val="00DB3498"/>
    <w:rsid w:val="00DB591F"/>
    <w:rsid w:val="00DB5B0E"/>
    <w:rsid w:val="00DB642A"/>
    <w:rsid w:val="00DB652C"/>
    <w:rsid w:val="00DB7904"/>
    <w:rsid w:val="00DC0FBF"/>
    <w:rsid w:val="00DC1839"/>
    <w:rsid w:val="00DD07B5"/>
    <w:rsid w:val="00DD5CA2"/>
    <w:rsid w:val="00DE629C"/>
    <w:rsid w:val="00DF24BA"/>
    <w:rsid w:val="00DF63B0"/>
    <w:rsid w:val="00DF642C"/>
    <w:rsid w:val="00E0782D"/>
    <w:rsid w:val="00E10833"/>
    <w:rsid w:val="00E14941"/>
    <w:rsid w:val="00E14D68"/>
    <w:rsid w:val="00E15251"/>
    <w:rsid w:val="00E167FF"/>
    <w:rsid w:val="00E20DBD"/>
    <w:rsid w:val="00E23B62"/>
    <w:rsid w:val="00E24A57"/>
    <w:rsid w:val="00E30550"/>
    <w:rsid w:val="00E32096"/>
    <w:rsid w:val="00E333F6"/>
    <w:rsid w:val="00E3627A"/>
    <w:rsid w:val="00E42A53"/>
    <w:rsid w:val="00E437E5"/>
    <w:rsid w:val="00E4430D"/>
    <w:rsid w:val="00E54C5A"/>
    <w:rsid w:val="00E60C07"/>
    <w:rsid w:val="00E6310D"/>
    <w:rsid w:val="00E634FF"/>
    <w:rsid w:val="00E642F9"/>
    <w:rsid w:val="00E64BD2"/>
    <w:rsid w:val="00E6615D"/>
    <w:rsid w:val="00E67A2A"/>
    <w:rsid w:val="00E67C10"/>
    <w:rsid w:val="00E70199"/>
    <w:rsid w:val="00E7351F"/>
    <w:rsid w:val="00E877EE"/>
    <w:rsid w:val="00E87F8D"/>
    <w:rsid w:val="00E90872"/>
    <w:rsid w:val="00E90C62"/>
    <w:rsid w:val="00E92181"/>
    <w:rsid w:val="00EA224C"/>
    <w:rsid w:val="00EA3D86"/>
    <w:rsid w:val="00EB1D73"/>
    <w:rsid w:val="00EB20FB"/>
    <w:rsid w:val="00EB4970"/>
    <w:rsid w:val="00EB76F0"/>
    <w:rsid w:val="00EC15AB"/>
    <w:rsid w:val="00EC1620"/>
    <w:rsid w:val="00EC26D8"/>
    <w:rsid w:val="00EC4B42"/>
    <w:rsid w:val="00EC5483"/>
    <w:rsid w:val="00EC5CC0"/>
    <w:rsid w:val="00EC77D8"/>
    <w:rsid w:val="00ED07D8"/>
    <w:rsid w:val="00ED5E9D"/>
    <w:rsid w:val="00ED649E"/>
    <w:rsid w:val="00ED69D0"/>
    <w:rsid w:val="00ED7BD4"/>
    <w:rsid w:val="00EE081E"/>
    <w:rsid w:val="00EE0BDA"/>
    <w:rsid w:val="00EE2280"/>
    <w:rsid w:val="00EE2EC5"/>
    <w:rsid w:val="00EE54F6"/>
    <w:rsid w:val="00EE57D1"/>
    <w:rsid w:val="00EE5A69"/>
    <w:rsid w:val="00EE71CB"/>
    <w:rsid w:val="00EF0DF0"/>
    <w:rsid w:val="00EF1E9B"/>
    <w:rsid w:val="00EF2E47"/>
    <w:rsid w:val="00EF5B1D"/>
    <w:rsid w:val="00F01B4A"/>
    <w:rsid w:val="00F03640"/>
    <w:rsid w:val="00F03E2C"/>
    <w:rsid w:val="00F04414"/>
    <w:rsid w:val="00F06B2C"/>
    <w:rsid w:val="00F07F9B"/>
    <w:rsid w:val="00F10EF2"/>
    <w:rsid w:val="00F12771"/>
    <w:rsid w:val="00F13C0A"/>
    <w:rsid w:val="00F13E66"/>
    <w:rsid w:val="00F15208"/>
    <w:rsid w:val="00F1694B"/>
    <w:rsid w:val="00F224DA"/>
    <w:rsid w:val="00F23712"/>
    <w:rsid w:val="00F31930"/>
    <w:rsid w:val="00F31CE8"/>
    <w:rsid w:val="00F36542"/>
    <w:rsid w:val="00F40D7E"/>
    <w:rsid w:val="00F43B72"/>
    <w:rsid w:val="00F45717"/>
    <w:rsid w:val="00F45B45"/>
    <w:rsid w:val="00F50CDB"/>
    <w:rsid w:val="00F527C8"/>
    <w:rsid w:val="00F542F0"/>
    <w:rsid w:val="00F55454"/>
    <w:rsid w:val="00F60367"/>
    <w:rsid w:val="00F6114D"/>
    <w:rsid w:val="00F612C9"/>
    <w:rsid w:val="00F662AD"/>
    <w:rsid w:val="00F66C40"/>
    <w:rsid w:val="00F713FE"/>
    <w:rsid w:val="00F7210A"/>
    <w:rsid w:val="00F7678C"/>
    <w:rsid w:val="00F767F0"/>
    <w:rsid w:val="00F8167C"/>
    <w:rsid w:val="00F8650D"/>
    <w:rsid w:val="00F908C6"/>
    <w:rsid w:val="00F90EA9"/>
    <w:rsid w:val="00F92944"/>
    <w:rsid w:val="00F93695"/>
    <w:rsid w:val="00FA36DE"/>
    <w:rsid w:val="00FA4F23"/>
    <w:rsid w:val="00FB077F"/>
    <w:rsid w:val="00FB6511"/>
    <w:rsid w:val="00FC0E26"/>
    <w:rsid w:val="00FC2D67"/>
    <w:rsid w:val="00FC598B"/>
    <w:rsid w:val="00FD0A1F"/>
    <w:rsid w:val="00FD2603"/>
    <w:rsid w:val="00FD6EA5"/>
    <w:rsid w:val="00FE4DB1"/>
    <w:rsid w:val="00FE574E"/>
    <w:rsid w:val="00FE5E37"/>
    <w:rsid w:val="00FF1187"/>
    <w:rsid w:val="00FF31B0"/>
    <w:rsid w:val="00FF5094"/>
    <w:rsid w:val="00FF6190"/>
    <w:rsid w:val="00FF69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C9"/>
    <w:rPr>
      <w:lang w:val="en-GB"/>
    </w:rPr>
  </w:style>
  <w:style w:type="paragraph" w:styleId="Heading1">
    <w:name w:val="heading 1"/>
    <w:basedOn w:val="Normal"/>
    <w:link w:val="Heading1Char"/>
    <w:uiPriority w:val="9"/>
    <w:qFormat/>
    <w:rsid w:val="00F23712"/>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3">
    <w:name w:val="heading 3"/>
    <w:basedOn w:val="Normal"/>
    <w:next w:val="Normal"/>
    <w:link w:val="Heading3Char"/>
    <w:uiPriority w:val="9"/>
    <w:unhideWhenUsed/>
    <w:qFormat/>
    <w:rsid w:val="00AE1E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310"/>
    <w:pPr>
      <w:ind w:left="720"/>
      <w:contextualSpacing/>
    </w:pPr>
  </w:style>
  <w:style w:type="paragraph" w:styleId="Header">
    <w:name w:val="header"/>
    <w:basedOn w:val="Normal"/>
    <w:link w:val="HeaderChar"/>
    <w:uiPriority w:val="99"/>
    <w:unhideWhenUsed/>
    <w:rsid w:val="00140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2FF"/>
    <w:rPr>
      <w:lang w:val="en-GB"/>
    </w:rPr>
  </w:style>
  <w:style w:type="paragraph" w:styleId="Footer">
    <w:name w:val="footer"/>
    <w:basedOn w:val="Normal"/>
    <w:link w:val="FooterChar"/>
    <w:uiPriority w:val="99"/>
    <w:unhideWhenUsed/>
    <w:rsid w:val="00140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2FF"/>
    <w:rPr>
      <w:lang w:val="en-GB"/>
    </w:rPr>
  </w:style>
  <w:style w:type="character" w:styleId="CommentReference">
    <w:name w:val="annotation reference"/>
    <w:basedOn w:val="DefaultParagraphFont"/>
    <w:uiPriority w:val="99"/>
    <w:semiHidden/>
    <w:unhideWhenUsed/>
    <w:rsid w:val="00B5605F"/>
    <w:rPr>
      <w:sz w:val="16"/>
      <w:szCs w:val="16"/>
    </w:rPr>
  </w:style>
  <w:style w:type="paragraph" w:styleId="CommentText">
    <w:name w:val="annotation text"/>
    <w:basedOn w:val="Normal"/>
    <w:link w:val="CommentTextChar"/>
    <w:uiPriority w:val="99"/>
    <w:unhideWhenUsed/>
    <w:rsid w:val="00B5605F"/>
    <w:pPr>
      <w:spacing w:line="240" w:lineRule="auto"/>
    </w:pPr>
    <w:rPr>
      <w:sz w:val="20"/>
      <w:szCs w:val="20"/>
    </w:rPr>
  </w:style>
  <w:style w:type="character" w:customStyle="1" w:styleId="CommentTextChar">
    <w:name w:val="Comment Text Char"/>
    <w:basedOn w:val="DefaultParagraphFont"/>
    <w:link w:val="CommentText"/>
    <w:uiPriority w:val="99"/>
    <w:rsid w:val="00B5605F"/>
    <w:rPr>
      <w:sz w:val="20"/>
      <w:szCs w:val="20"/>
      <w:lang w:val="en-GB"/>
    </w:rPr>
  </w:style>
  <w:style w:type="paragraph" w:styleId="CommentSubject">
    <w:name w:val="annotation subject"/>
    <w:basedOn w:val="CommentText"/>
    <w:next w:val="CommentText"/>
    <w:link w:val="CommentSubjectChar"/>
    <w:uiPriority w:val="99"/>
    <w:semiHidden/>
    <w:unhideWhenUsed/>
    <w:rsid w:val="00B5605F"/>
    <w:rPr>
      <w:b/>
      <w:bCs/>
    </w:rPr>
  </w:style>
  <w:style w:type="character" w:customStyle="1" w:styleId="CommentSubjectChar">
    <w:name w:val="Comment Subject Char"/>
    <w:basedOn w:val="CommentTextChar"/>
    <w:link w:val="CommentSubject"/>
    <w:uiPriority w:val="99"/>
    <w:semiHidden/>
    <w:rsid w:val="00B5605F"/>
    <w:rPr>
      <w:b/>
      <w:bCs/>
      <w:sz w:val="20"/>
      <w:szCs w:val="20"/>
      <w:lang w:val="en-GB"/>
    </w:rPr>
  </w:style>
  <w:style w:type="paragraph" w:styleId="BalloonText">
    <w:name w:val="Balloon Text"/>
    <w:basedOn w:val="Normal"/>
    <w:link w:val="BalloonTextChar"/>
    <w:uiPriority w:val="99"/>
    <w:semiHidden/>
    <w:unhideWhenUsed/>
    <w:rsid w:val="00B5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05F"/>
    <w:rPr>
      <w:rFonts w:ascii="Segoe UI" w:hAnsi="Segoe UI" w:cs="Segoe UI"/>
      <w:sz w:val="18"/>
      <w:szCs w:val="18"/>
      <w:lang w:val="en-GB"/>
    </w:rPr>
  </w:style>
  <w:style w:type="table" w:styleId="TableGrid">
    <w:name w:val="Table Grid"/>
    <w:basedOn w:val="TableNormal"/>
    <w:uiPriority w:val="59"/>
    <w:rsid w:val="006A7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315"/>
    <w:rPr>
      <w:color w:val="0563C1" w:themeColor="hyperlink"/>
      <w:u w:val="single"/>
    </w:rPr>
  </w:style>
  <w:style w:type="paragraph" w:styleId="NormalWeb">
    <w:name w:val="Normal (Web)"/>
    <w:basedOn w:val="Normal"/>
    <w:uiPriority w:val="99"/>
    <w:unhideWhenUsed/>
    <w:rsid w:val="008C0B8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1Char">
    <w:name w:val="Heading 1 Char"/>
    <w:basedOn w:val="DefaultParagraphFont"/>
    <w:link w:val="Heading1"/>
    <w:uiPriority w:val="9"/>
    <w:rsid w:val="00F23712"/>
    <w:rPr>
      <w:rFonts w:ascii="Times New Roman" w:eastAsia="Times New Roman" w:hAnsi="Times New Roman" w:cs="Times New Roman"/>
      <w:b/>
      <w:bCs/>
      <w:kern w:val="36"/>
      <w:sz w:val="48"/>
      <w:szCs w:val="48"/>
      <w:lang w:eastAsia="fr-BE"/>
    </w:rPr>
  </w:style>
  <w:style w:type="character" w:customStyle="1" w:styleId="apple-converted-space">
    <w:name w:val="apple-converted-space"/>
    <w:basedOn w:val="DefaultParagraphFont"/>
    <w:rsid w:val="00F23712"/>
  </w:style>
  <w:style w:type="character" w:customStyle="1" w:styleId="Heading3Char">
    <w:name w:val="Heading 3 Char"/>
    <w:basedOn w:val="DefaultParagraphFont"/>
    <w:link w:val="Heading3"/>
    <w:uiPriority w:val="9"/>
    <w:rsid w:val="00AE1E43"/>
    <w:rPr>
      <w:rFonts w:asciiTheme="majorHAnsi" w:eastAsiaTheme="majorEastAsia" w:hAnsiTheme="majorHAnsi" w:cstheme="majorBidi"/>
      <w:color w:val="1F4D78" w:themeColor="accent1" w:themeShade="7F"/>
      <w:sz w:val="24"/>
      <w:szCs w:val="24"/>
      <w:lang w:val="en-GB"/>
    </w:rPr>
  </w:style>
  <w:style w:type="character" w:customStyle="1" w:styleId="highlight">
    <w:name w:val="highlight"/>
    <w:basedOn w:val="DefaultParagraphFont"/>
    <w:rsid w:val="003113DB"/>
  </w:style>
  <w:style w:type="paragraph" w:customStyle="1" w:styleId="p">
    <w:name w:val="p"/>
    <w:basedOn w:val="Normal"/>
    <w:rsid w:val="003113D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Emphasis">
    <w:name w:val="Emphasis"/>
    <w:basedOn w:val="DefaultParagraphFont"/>
    <w:uiPriority w:val="20"/>
    <w:qFormat/>
    <w:rsid w:val="00115EC2"/>
    <w:rPr>
      <w:i/>
      <w:iCs/>
    </w:rPr>
  </w:style>
  <w:style w:type="paragraph" w:styleId="Revision">
    <w:name w:val="Revision"/>
    <w:hidden/>
    <w:uiPriority w:val="99"/>
    <w:semiHidden/>
    <w:rsid w:val="00BF6758"/>
    <w:pPr>
      <w:spacing w:after="0" w:line="240" w:lineRule="auto"/>
    </w:pPr>
    <w:rPr>
      <w:lang w:val="en-GB"/>
    </w:rPr>
  </w:style>
  <w:style w:type="character" w:styleId="FollowedHyperlink">
    <w:name w:val="FollowedHyperlink"/>
    <w:basedOn w:val="DefaultParagraphFont"/>
    <w:uiPriority w:val="99"/>
    <w:semiHidden/>
    <w:unhideWhenUsed/>
    <w:rsid w:val="003D0F9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C9"/>
    <w:rPr>
      <w:lang w:val="en-GB"/>
    </w:rPr>
  </w:style>
  <w:style w:type="paragraph" w:styleId="Heading1">
    <w:name w:val="heading 1"/>
    <w:basedOn w:val="Normal"/>
    <w:link w:val="Heading1Char"/>
    <w:uiPriority w:val="9"/>
    <w:qFormat/>
    <w:rsid w:val="00F23712"/>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3">
    <w:name w:val="heading 3"/>
    <w:basedOn w:val="Normal"/>
    <w:next w:val="Normal"/>
    <w:link w:val="Heading3Char"/>
    <w:uiPriority w:val="9"/>
    <w:unhideWhenUsed/>
    <w:qFormat/>
    <w:rsid w:val="00AE1E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310"/>
    <w:pPr>
      <w:ind w:left="720"/>
      <w:contextualSpacing/>
    </w:pPr>
  </w:style>
  <w:style w:type="paragraph" w:styleId="Header">
    <w:name w:val="header"/>
    <w:basedOn w:val="Normal"/>
    <w:link w:val="HeaderChar"/>
    <w:uiPriority w:val="99"/>
    <w:unhideWhenUsed/>
    <w:rsid w:val="00140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2FF"/>
    <w:rPr>
      <w:lang w:val="en-GB"/>
    </w:rPr>
  </w:style>
  <w:style w:type="paragraph" w:styleId="Footer">
    <w:name w:val="footer"/>
    <w:basedOn w:val="Normal"/>
    <w:link w:val="FooterChar"/>
    <w:uiPriority w:val="99"/>
    <w:unhideWhenUsed/>
    <w:rsid w:val="00140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2FF"/>
    <w:rPr>
      <w:lang w:val="en-GB"/>
    </w:rPr>
  </w:style>
  <w:style w:type="character" w:styleId="CommentReference">
    <w:name w:val="annotation reference"/>
    <w:basedOn w:val="DefaultParagraphFont"/>
    <w:uiPriority w:val="99"/>
    <w:semiHidden/>
    <w:unhideWhenUsed/>
    <w:rsid w:val="00B5605F"/>
    <w:rPr>
      <w:sz w:val="16"/>
      <w:szCs w:val="16"/>
    </w:rPr>
  </w:style>
  <w:style w:type="paragraph" w:styleId="CommentText">
    <w:name w:val="annotation text"/>
    <w:basedOn w:val="Normal"/>
    <w:link w:val="CommentTextChar"/>
    <w:uiPriority w:val="99"/>
    <w:unhideWhenUsed/>
    <w:rsid w:val="00B5605F"/>
    <w:pPr>
      <w:spacing w:line="240" w:lineRule="auto"/>
    </w:pPr>
    <w:rPr>
      <w:sz w:val="20"/>
      <w:szCs w:val="20"/>
    </w:rPr>
  </w:style>
  <w:style w:type="character" w:customStyle="1" w:styleId="CommentTextChar">
    <w:name w:val="Comment Text Char"/>
    <w:basedOn w:val="DefaultParagraphFont"/>
    <w:link w:val="CommentText"/>
    <w:uiPriority w:val="99"/>
    <w:rsid w:val="00B5605F"/>
    <w:rPr>
      <w:sz w:val="20"/>
      <w:szCs w:val="20"/>
      <w:lang w:val="en-GB"/>
    </w:rPr>
  </w:style>
  <w:style w:type="paragraph" w:styleId="CommentSubject">
    <w:name w:val="annotation subject"/>
    <w:basedOn w:val="CommentText"/>
    <w:next w:val="CommentText"/>
    <w:link w:val="CommentSubjectChar"/>
    <w:uiPriority w:val="99"/>
    <w:semiHidden/>
    <w:unhideWhenUsed/>
    <w:rsid w:val="00B5605F"/>
    <w:rPr>
      <w:b/>
      <w:bCs/>
    </w:rPr>
  </w:style>
  <w:style w:type="character" w:customStyle="1" w:styleId="CommentSubjectChar">
    <w:name w:val="Comment Subject Char"/>
    <w:basedOn w:val="CommentTextChar"/>
    <w:link w:val="CommentSubject"/>
    <w:uiPriority w:val="99"/>
    <w:semiHidden/>
    <w:rsid w:val="00B5605F"/>
    <w:rPr>
      <w:b/>
      <w:bCs/>
      <w:sz w:val="20"/>
      <w:szCs w:val="20"/>
      <w:lang w:val="en-GB"/>
    </w:rPr>
  </w:style>
  <w:style w:type="paragraph" w:styleId="BalloonText">
    <w:name w:val="Balloon Text"/>
    <w:basedOn w:val="Normal"/>
    <w:link w:val="BalloonTextChar"/>
    <w:uiPriority w:val="99"/>
    <w:semiHidden/>
    <w:unhideWhenUsed/>
    <w:rsid w:val="00B5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05F"/>
    <w:rPr>
      <w:rFonts w:ascii="Segoe UI" w:hAnsi="Segoe UI" w:cs="Segoe UI"/>
      <w:sz w:val="18"/>
      <w:szCs w:val="18"/>
      <w:lang w:val="en-GB"/>
    </w:rPr>
  </w:style>
  <w:style w:type="table" w:styleId="TableGrid">
    <w:name w:val="Table Grid"/>
    <w:basedOn w:val="TableNormal"/>
    <w:uiPriority w:val="59"/>
    <w:rsid w:val="006A7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315"/>
    <w:rPr>
      <w:color w:val="0563C1" w:themeColor="hyperlink"/>
      <w:u w:val="single"/>
    </w:rPr>
  </w:style>
  <w:style w:type="paragraph" w:styleId="NormalWeb">
    <w:name w:val="Normal (Web)"/>
    <w:basedOn w:val="Normal"/>
    <w:uiPriority w:val="99"/>
    <w:unhideWhenUsed/>
    <w:rsid w:val="008C0B8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1Char">
    <w:name w:val="Heading 1 Char"/>
    <w:basedOn w:val="DefaultParagraphFont"/>
    <w:link w:val="Heading1"/>
    <w:uiPriority w:val="9"/>
    <w:rsid w:val="00F23712"/>
    <w:rPr>
      <w:rFonts w:ascii="Times New Roman" w:eastAsia="Times New Roman" w:hAnsi="Times New Roman" w:cs="Times New Roman"/>
      <w:b/>
      <w:bCs/>
      <w:kern w:val="36"/>
      <w:sz w:val="48"/>
      <w:szCs w:val="48"/>
      <w:lang w:eastAsia="fr-BE"/>
    </w:rPr>
  </w:style>
  <w:style w:type="character" w:customStyle="1" w:styleId="apple-converted-space">
    <w:name w:val="apple-converted-space"/>
    <w:basedOn w:val="DefaultParagraphFont"/>
    <w:rsid w:val="00F23712"/>
  </w:style>
  <w:style w:type="character" w:customStyle="1" w:styleId="Heading3Char">
    <w:name w:val="Heading 3 Char"/>
    <w:basedOn w:val="DefaultParagraphFont"/>
    <w:link w:val="Heading3"/>
    <w:uiPriority w:val="9"/>
    <w:rsid w:val="00AE1E43"/>
    <w:rPr>
      <w:rFonts w:asciiTheme="majorHAnsi" w:eastAsiaTheme="majorEastAsia" w:hAnsiTheme="majorHAnsi" w:cstheme="majorBidi"/>
      <w:color w:val="1F4D78" w:themeColor="accent1" w:themeShade="7F"/>
      <w:sz w:val="24"/>
      <w:szCs w:val="24"/>
      <w:lang w:val="en-GB"/>
    </w:rPr>
  </w:style>
  <w:style w:type="character" w:customStyle="1" w:styleId="highlight">
    <w:name w:val="highlight"/>
    <w:basedOn w:val="DefaultParagraphFont"/>
    <w:rsid w:val="003113DB"/>
  </w:style>
  <w:style w:type="paragraph" w:customStyle="1" w:styleId="p">
    <w:name w:val="p"/>
    <w:basedOn w:val="Normal"/>
    <w:rsid w:val="003113DB"/>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Emphasis">
    <w:name w:val="Emphasis"/>
    <w:basedOn w:val="DefaultParagraphFont"/>
    <w:uiPriority w:val="20"/>
    <w:qFormat/>
    <w:rsid w:val="00115EC2"/>
    <w:rPr>
      <w:i/>
      <w:iCs/>
    </w:rPr>
  </w:style>
  <w:style w:type="paragraph" w:styleId="Revision">
    <w:name w:val="Revision"/>
    <w:hidden/>
    <w:uiPriority w:val="99"/>
    <w:semiHidden/>
    <w:rsid w:val="00BF6758"/>
    <w:pPr>
      <w:spacing w:after="0" w:line="240" w:lineRule="auto"/>
    </w:pPr>
    <w:rPr>
      <w:lang w:val="en-GB"/>
    </w:rPr>
  </w:style>
  <w:style w:type="character" w:styleId="FollowedHyperlink">
    <w:name w:val="FollowedHyperlink"/>
    <w:basedOn w:val="DefaultParagraphFont"/>
    <w:uiPriority w:val="99"/>
    <w:semiHidden/>
    <w:unhideWhenUsed/>
    <w:rsid w:val="003D0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7683">
      <w:bodyDiv w:val="1"/>
      <w:marLeft w:val="0"/>
      <w:marRight w:val="0"/>
      <w:marTop w:val="0"/>
      <w:marBottom w:val="0"/>
      <w:divBdr>
        <w:top w:val="none" w:sz="0" w:space="0" w:color="auto"/>
        <w:left w:val="none" w:sz="0" w:space="0" w:color="auto"/>
        <w:bottom w:val="none" w:sz="0" w:space="0" w:color="auto"/>
        <w:right w:val="none" w:sz="0" w:space="0" w:color="auto"/>
      </w:divBdr>
      <w:divsChild>
        <w:div w:id="293561573">
          <w:marLeft w:val="0"/>
          <w:marRight w:val="0"/>
          <w:marTop w:val="0"/>
          <w:marBottom w:val="0"/>
          <w:divBdr>
            <w:top w:val="none" w:sz="0" w:space="0" w:color="auto"/>
            <w:left w:val="none" w:sz="0" w:space="0" w:color="auto"/>
            <w:bottom w:val="none" w:sz="0" w:space="0" w:color="auto"/>
            <w:right w:val="none" w:sz="0" w:space="0" w:color="auto"/>
          </w:divBdr>
          <w:divsChild>
            <w:div w:id="1886600104">
              <w:marLeft w:val="0"/>
              <w:marRight w:val="0"/>
              <w:marTop w:val="0"/>
              <w:marBottom w:val="0"/>
              <w:divBdr>
                <w:top w:val="none" w:sz="0" w:space="0" w:color="auto"/>
                <w:left w:val="none" w:sz="0" w:space="0" w:color="auto"/>
                <w:bottom w:val="none" w:sz="0" w:space="0" w:color="auto"/>
                <w:right w:val="none" w:sz="0" w:space="0" w:color="auto"/>
              </w:divBdr>
              <w:divsChild>
                <w:div w:id="838302475">
                  <w:marLeft w:val="0"/>
                  <w:marRight w:val="0"/>
                  <w:marTop w:val="0"/>
                  <w:marBottom w:val="0"/>
                  <w:divBdr>
                    <w:top w:val="none" w:sz="0" w:space="0" w:color="auto"/>
                    <w:left w:val="none" w:sz="0" w:space="0" w:color="auto"/>
                    <w:bottom w:val="none" w:sz="0" w:space="0" w:color="auto"/>
                    <w:right w:val="none" w:sz="0" w:space="0" w:color="auto"/>
                  </w:divBdr>
                  <w:divsChild>
                    <w:div w:id="79834233">
                      <w:marLeft w:val="0"/>
                      <w:marRight w:val="0"/>
                      <w:marTop w:val="0"/>
                      <w:marBottom w:val="0"/>
                      <w:divBdr>
                        <w:top w:val="none" w:sz="0" w:space="0" w:color="auto"/>
                        <w:left w:val="none" w:sz="0" w:space="0" w:color="auto"/>
                        <w:bottom w:val="none" w:sz="0" w:space="0" w:color="auto"/>
                        <w:right w:val="none" w:sz="0" w:space="0" w:color="auto"/>
                      </w:divBdr>
                      <w:divsChild>
                        <w:div w:id="366028722">
                          <w:marLeft w:val="0"/>
                          <w:marRight w:val="0"/>
                          <w:marTop w:val="0"/>
                          <w:marBottom w:val="0"/>
                          <w:divBdr>
                            <w:top w:val="none" w:sz="0" w:space="0" w:color="auto"/>
                            <w:left w:val="none" w:sz="0" w:space="0" w:color="auto"/>
                            <w:bottom w:val="none" w:sz="0" w:space="0" w:color="auto"/>
                            <w:right w:val="none" w:sz="0" w:space="0" w:color="auto"/>
                          </w:divBdr>
                          <w:divsChild>
                            <w:div w:id="1867519589">
                              <w:marLeft w:val="0"/>
                              <w:marRight w:val="0"/>
                              <w:marTop w:val="0"/>
                              <w:marBottom w:val="0"/>
                              <w:divBdr>
                                <w:top w:val="none" w:sz="0" w:space="0" w:color="auto"/>
                                <w:left w:val="none" w:sz="0" w:space="0" w:color="auto"/>
                                <w:bottom w:val="none" w:sz="0" w:space="0" w:color="auto"/>
                                <w:right w:val="none" w:sz="0" w:space="0" w:color="auto"/>
                              </w:divBdr>
                              <w:divsChild>
                                <w:div w:id="81529117">
                                  <w:marLeft w:val="0"/>
                                  <w:marRight w:val="0"/>
                                  <w:marTop w:val="0"/>
                                  <w:marBottom w:val="0"/>
                                  <w:divBdr>
                                    <w:top w:val="none" w:sz="0" w:space="0" w:color="auto"/>
                                    <w:left w:val="none" w:sz="0" w:space="0" w:color="auto"/>
                                    <w:bottom w:val="none" w:sz="0" w:space="0" w:color="auto"/>
                                    <w:right w:val="none" w:sz="0" w:space="0" w:color="auto"/>
                                  </w:divBdr>
                                  <w:divsChild>
                                    <w:div w:id="1963534241">
                                      <w:marLeft w:val="0"/>
                                      <w:marRight w:val="0"/>
                                      <w:marTop w:val="0"/>
                                      <w:marBottom w:val="0"/>
                                      <w:divBdr>
                                        <w:top w:val="none" w:sz="0" w:space="0" w:color="auto"/>
                                        <w:left w:val="none" w:sz="0" w:space="0" w:color="auto"/>
                                        <w:bottom w:val="none" w:sz="0" w:space="0" w:color="auto"/>
                                        <w:right w:val="none" w:sz="0" w:space="0" w:color="auto"/>
                                      </w:divBdr>
                                      <w:divsChild>
                                        <w:div w:id="4641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642793">
      <w:bodyDiv w:val="1"/>
      <w:marLeft w:val="0"/>
      <w:marRight w:val="0"/>
      <w:marTop w:val="0"/>
      <w:marBottom w:val="0"/>
      <w:divBdr>
        <w:top w:val="none" w:sz="0" w:space="0" w:color="auto"/>
        <w:left w:val="none" w:sz="0" w:space="0" w:color="auto"/>
        <w:bottom w:val="none" w:sz="0" w:space="0" w:color="auto"/>
        <w:right w:val="none" w:sz="0" w:space="0" w:color="auto"/>
      </w:divBdr>
    </w:div>
    <w:div w:id="338198406">
      <w:bodyDiv w:val="1"/>
      <w:marLeft w:val="0"/>
      <w:marRight w:val="0"/>
      <w:marTop w:val="0"/>
      <w:marBottom w:val="0"/>
      <w:divBdr>
        <w:top w:val="none" w:sz="0" w:space="0" w:color="auto"/>
        <w:left w:val="none" w:sz="0" w:space="0" w:color="auto"/>
        <w:bottom w:val="none" w:sz="0" w:space="0" w:color="auto"/>
        <w:right w:val="none" w:sz="0" w:space="0" w:color="auto"/>
      </w:divBdr>
      <w:divsChild>
        <w:div w:id="644241117">
          <w:marLeft w:val="0"/>
          <w:marRight w:val="0"/>
          <w:marTop w:val="0"/>
          <w:marBottom w:val="0"/>
          <w:divBdr>
            <w:top w:val="none" w:sz="0" w:space="0" w:color="auto"/>
            <w:left w:val="none" w:sz="0" w:space="0" w:color="auto"/>
            <w:bottom w:val="none" w:sz="0" w:space="0" w:color="auto"/>
            <w:right w:val="none" w:sz="0" w:space="0" w:color="auto"/>
          </w:divBdr>
        </w:div>
        <w:div w:id="2090878945">
          <w:marLeft w:val="0"/>
          <w:marRight w:val="0"/>
          <w:marTop w:val="0"/>
          <w:marBottom w:val="0"/>
          <w:divBdr>
            <w:top w:val="none" w:sz="0" w:space="0" w:color="auto"/>
            <w:left w:val="none" w:sz="0" w:space="0" w:color="auto"/>
            <w:bottom w:val="none" w:sz="0" w:space="0" w:color="auto"/>
            <w:right w:val="none" w:sz="0" w:space="0" w:color="auto"/>
          </w:divBdr>
        </w:div>
      </w:divsChild>
    </w:div>
    <w:div w:id="377172492">
      <w:bodyDiv w:val="1"/>
      <w:marLeft w:val="0"/>
      <w:marRight w:val="0"/>
      <w:marTop w:val="0"/>
      <w:marBottom w:val="0"/>
      <w:divBdr>
        <w:top w:val="none" w:sz="0" w:space="0" w:color="auto"/>
        <w:left w:val="none" w:sz="0" w:space="0" w:color="auto"/>
        <w:bottom w:val="none" w:sz="0" w:space="0" w:color="auto"/>
        <w:right w:val="none" w:sz="0" w:space="0" w:color="auto"/>
      </w:divBdr>
      <w:divsChild>
        <w:div w:id="462963914">
          <w:marLeft w:val="0"/>
          <w:marRight w:val="0"/>
          <w:marTop w:val="0"/>
          <w:marBottom w:val="0"/>
          <w:divBdr>
            <w:top w:val="none" w:sz="0" w:space="0" w:color="auto"/>
            <w:left w:val="none" w:sz="0" w:space="0" w:color="auto"/>
            <w:bottom w:val="none" w:sz="0" w:space="0" w:color="auto"/>
            <w:right w:val="none" w:sz="0" w:space="0" w:color="auto"/>
          </w:divBdr>
        </w:div>
        <w:div w:id="529417435">
          <w:marLeft w:val="0"/>
          <w:marRight w:val="0"/>
          <w:marTop w:val="0"/>
          <w:marBottom w:val="0"/>
          <w:divBdr>
            <w:top w:val="none" w:sz="0" w:space="0" w:color="auto"/>
            <w:left w:val="none" w:sz="0" w:space="0" w:color="auto"/>
            <w:bottom w:val="none" w:sz="0" w:space="0" w:color="auto"/>
            <w:right w:val="none" w:sz="0" w:space="0" w:color="auto"/>
          </w:divBdr>
        </w:div>
        <w:div w:id="820314539">
          <w:marLeft w:val="0"/>
          <w:marRight w:val="0"/>
          <w:marTop w:val="0"/>
          <w:marBottom w:val="0"/>
          <w:divBdr>
            <w:top w:val="none" w:sz="0" w:space="0" w:color="auto"/>
            <w:left w:val="none" w:sz="0" w:space="0" w:color="auto"/>
            <w:bottom w:val="none" w:sz="0" w:space="0" w:color="auto"/>
            <w:right w:val="none" w:sz="0" w:space="0" w:color="auto"/>
          </w:divBdr>
        </w:div>
        <w:div w:id="1992828325">
          <w:marLeft w:val="0"/>
          <w:marRight w:val="0"/>
          <w:marTop w:val="0"/>
          <w:marBottom w:val="0"/>
          <w:divBdr>
            <w:top w:val="none" w:sz="0" w:space="0" w:color="auto"/>
            <w:left w:val="none" w:sz="0" w:space="0" w:color="auto"/>
            <w:bottom w:val="none" w:sz="0" w:space="0" w:color="auto"/>
            <w:right w:val="none" w:sz="0" w:space="0" w:color="auto"/>
          </w:divBdr>
        </w:div>
        <w:div w:id="987054522">
          <w:marLeft w:val="0"/>
          <w:marRight w:val="0"/>
          <w:marTop w:val="0"/>
          <w:marBottom w:val="0"/>
          <w:divBdr>
            <w:top w:val="none" w:sz="0" w:space="0" w:color="auto"/>
            <w:left w:val="none" w:sz="0" w:space="0" w:color="auto"/>
            <w:bottom w:val="none" w:sz="0" w:space="0" w:color="auto"/>
            <w:right w:val="none" w:sz="0" w:space="0" w:color="auto"/>
          </w:divBdr>
        </w:div>
        <w:div w:id="347030692">
          <w:marLeft w:val="0"/>
          <w:marRight w:val="0"/>
          <w:marTop w:val="0"/>
          <w:marBottom w:val="0"/>
          <w:divBdr>
            <w:top w:val="none" w:sz="0" w:space="0" w:color="auto"/>
            <w:left w:val="none" w:sz="0" w:space="0" w:color="auto"/>
            <w:bottom w:val="none" w:sz="0" w:space="0" w:color="auto"/>
            <w:right w:val="none" w:sz="0" w:space="0" w:color="auto"/>
          </w:divBdr>
        </w:div>
        <w:div w:id="1867710665">
          <w:marLeft w:val="0"/>
          <w:marRight w:val="0"/>
          <w:marTop w:val="0"/>
          <w:marBottom w:val="0"/>
          <w:divBdr>
            <w:top w:val="none" w:sz="0" w:space="0" w:color="auto"/>
            <w:left w:val="none" w:sz="0" w:space="0" w:color="auto"/>
            <w:bottom w:val="none" w:sz="0" w:space="0" w:color="auto"/>
            <w:right w:val="none" w:sz="0" w:space="0" w:color="auto"/>
          </w:divBdr>
        </w:div>
      </w:divsChild>
    </w:div>
    <w:div w:id="680813320">
      <w:bodyDiv w:val="1"/>
      <w:marLeft w:val="0"/>
      <w:marRight w:val="0"/>
      <w:marTop w:val="0"/>
      <w:marBottom w:val="0"/>
      <w:divBdr>
        <w:top w:val="none" w:sz="0" w:space="0" w:color="auto"/>
        <w:left w:val="none" w:sz="0" w:space="0" w:color="auto"/>
        <w:bottom w:val="none" w:sz="0" w:space="0" w:color="auto"/>
        <w:right w:val="none" w:sz="0" w:space="0" w:color="auto"/>
      </w:divBdr>
    </w:div>
    <w:div w:id="1328823558">
      <w:bodyDiv w:val="1"/>
      <w:marLeft w:val="0"/>
      <w:marRight w:val="0"/>
      <w:marTop w:val="0"/>
      <w:marBottom w:val="0"/>
      <w:divBdr>
        <w:top w:val="none" w:sz="0" w:space="0" w:color="auto"/>
        <w:left w:val="none" w:sz="0" w:space="0" w:color="auto"/>
        <w:bottom w:val="none" w:sz="0" w:space="0" w:color="auto"/>
        <w:right w:val="none" w:sz="0" w:space="0" w:color="auto"/>
      </w:divBdr>
      <w:divsChild>
        <w:div w:id="371999945">
          <w:marLeft w:val="0"/>
          <w:marRight w:val="0"/>
          <w:marTop w:val="0"/>
          <w:marBottom w:val="0"/>
          <w:divBdr>
            <w:top w:val="none" w:sz="0" w:space="0" w:color="auto"/>
            <w:left w:val="none" w:sz="0" w:space="0" w:color="auto"/>
            <w:bottom w:val="none" w:sz="0" w:space="0" w:color="auto"/>
            <w:right w:val="none" w:sz="0" w:space="0" w:color="auto"/>
          </w:divBdr>
          <w:divsChild>
            <w:div w:id="220332732">
              <w:marLeft w:val="0"/>
              <w:marRight w:val="0"/>
              <w:marTop w:val="0"/>
              <w:marBottom w:val="0"/>
              <w:divBdr>
                <w:top w:val="none" w:sz="0" w:space="0" w:color="auto"/>
                <w:left w:val="none" w:sz="0" w:space="0" w:color="auto"/>
                <w:bottom w:val="none" w:sz="0" w:space="0" w:color="auto"/>
                <w:right w:val="none" w:sz="0" w:space="0" w:color="auto"/>
              </w:divBdr>
            </w:div>
            <w:div w:id="1545411072">
              <w:marLeft w:val="0"/>
              <w:marRight w:val="0"/>
              <w:marTop w:val="0"/>
              <w:marBottom w:val="0"/>
              <w:divBdr>
                <w:top w:val="none" w:sz="0" w:space="0" w:color="auto"/>
                <w:left w:val="none" w:sz="0" w:space="0" w:color="auto"/>
                <w:bottom w:val="none" w:sz="0" w:space="0" w:color="auto"/>
                <w:right w:val="none" w:sz="0" w:space="0" w:color="auto"/>
              </w:divBdr>
            </w:div>
            <w:div w:id="2074963593">
              <w:marLeft w:val="0"/>
              <w:marRight w:val="0"/>
              <w:marTop w:val="0"/>
              <w:marBottom w:val="0"/>
              <w:divBdr>
                <w:top w:val="none" w:sz="0" w:space="0" w:color="auto"/>
                <w:left w:val="none" w:sz="0" w:space="0" w:color="auto"/>
                <w:bottom w:val="none" w:sz="0" w:space="0" w:color="auto"/>
                <w:right w:val="none" w:sz="0" w:space="0" w:color="auto"/>
              </w:divBdr>
            </w:div>
            <w:div w:id="472330723">
              <w:marLeft w:val="0"/>
              <w:marRight w:val="0"/>
              <w:marTop w:val="0"/>
              <w:marBottom w:val="0"/>
              <w:divBdr>
                <w:top w:val="none" w:sz="0" w:space="0" w:color="auto"/>
                <w:left w:val="none" w:sz="0" w:space="0" w:color="auto"/>
                <w:bottom w:val="none" w:sz="0" w:space="0" w:color="auto"/>
                <w:right w:val="none" w:sz="0" w:space="0" w:color="auto"/>
              </w:divBdr>
            </w:div>
            <w:div w:id="1820071329">
              <w:marLeft w:val="0"/>
              <w:marRight w:val="0"/>
              <w:marTop w:val="0"/>
              <w:marBottom w:val="0"/>
              <w:divBdr>
                <w:top w:val="none" w:sz="0" w:space="0" w:color="auto"/>
                <w:left w:val="none" w:sz="0" w:space="0" w:color="auto"/>
                <w:bottom w:val="none" w:sz="0" w:space="0" w:color="auto"/>
                <w:right w:val="none" w:sz="0" w:space="0" w:color="auto"/>
              </w:divBdr>
            </w:div>
            <w:div w:id="1023093408">
              <w:marLeft w:val="0"/>
              <w:marRight w:val="0"/>
              <w:marTop w:val="0"/>
              <w:marBottom w:val="0"/>
              <w:divBdr>
                <w:top w:val="none" w:sz="0" w:space="0" w:color="auto"/>
                <w:left w:val="none" w:sz="0" w:space="0" w:color="auto"/>
                <w:bottom w:val="none" w:sz="0" w:space="0" w:color="auto"/>
                <w:right w:val="none" w:sz="0" w:space="0" w:color="auto"/>
              </w:divBdr>
            </w:div>
            <w:div w:id="1109742683">
              <w:marLeft w:val="0"/>
              <w:marRight w:val="0"/>
              <w:marTop w:val="0"/>
              <w:marBottom w:val="0"/>
              <w:divBdr>
                <w:top w:val="none" w:sz="0" w:space="0" w:color="auto"/>
                <w:left w:val="none" w:sz="0" w:space="0" w:color="auto"/>
                <w:bottom w:val="none" w:sz="0" w:space="0" w:color="auto"/>
                <w:right w:val="none" w:sz="0" w:space="0" w:color="auto"/>
              </w:divBdr>
            </w:div>
            <w:div w:id="1133716705">
              <w:marLeft w:val="0"/>
              <w:marRight w:val="0"/>
              <w:marTop w:val="0"/>
              <w:marBottom w:val="0"/>
              <w:divBdr>
                <w:top w:val="none" w:sz="0" w:space="0" w:color="auto"/>
                <w:left w:val="none" w:sz="0" w:space="0" w:color="auto"/>
                <w:bottom w:val="none" w:sz="0" w:space="0" w:color="auto"/>
                <w:right w:val="none" w:sz="0" w:space="0" w:color="auto"/>
              </w:divBdr>
            </w:div>
            <w:div w:id="1827941766">
              <w:marLeft w:val="0"/>
              <w:marRight w:val="0"/>
              <w:marTop w:val="0"/>
              <w:marBottom w:val="0"/>
              <w:divBdr>
                <w:top w:val="none" w:sz="0" w:space="0" w:color="auto"/>
                <w:left w:val="none" w:sz="0" w:space="0" w:color="auto"/>
                <w:bottom w:val="none" w:sz="0" w:space="0" w:color="auto"/>
                <w:right w:val="none" w:sz="0" w:space="0" w:color="auto"/>
              </w:divBdr>
            </w:div>
          </w:divsChild>
        </w:div>
        <w:div w:id="1733652320">
          <w:marLeft w:val="0"/>
          <w:marRight w:val="0"/>
          <w:marTop w:val="0"/>
          <w:marBottom w:val="0"/>
          <w:divBdr>
            <w:top w:val="none" w:sz="0" w:space="0" w:color="auto"/>
            <w:left w:val="none" w:sz="0" w:space="0" w:color="auto"/>
            <w:bottom w:val="none" w:sz="0" w:space="0" w:color="auto"/>
            <w:right w:val="none" w:sz="0" w:space="0" w:color="auto"/>
          </w:divBdr>
        </w:div>
      </w:divsChild>
    </w:div>
    <w:div w:id="1355234024">
      <w:bodyDiv w:val="1"/>
      <w:marLeft w:val="0"/>
      <w:marRight w:val="0"/>
      <w:marTop w:val="0"/>
      <w:marBottom w:val="0"/>
      <w:divBdr>
        <w:top w:val="none" w:sz="0" w:space="0" w:color="auto"/>
        <w:left w:val="none" w:sz="0" w:space="0" w:color="auto"/>
        <w:bottom w:val="none" w:sz="0" w:space="0" w:color="auto"/>
        <w:right w:val="none" w:sz="0" w:space="0" w:color="auto"/>
      </w:divBdr>
    </w:div>
    <w:div w:id="1575163644">
      <w:bodyDiv w:val="1"/>
      <w:marLeft w:val="0"/>
      <w:marRight w:val="0"/>
      <w:marTop w:val="0"/>
      <w:marBottom w:val="0"/>
      <w:divBdr>
        <w:top w:val="none" w:sz="0" w:space="0" w:color="auto"/>
        <w:left w:val="none" w:sz="0" w:space="0" w:color="auto"/>
        <w:bottom w:val="none" w:sz="0" w:space="0" w:color="auto"/>
        <w:right w:val="none" w:sz="0" w:space="0" w:color="auto"/>
      </w:divBdr>
    </w:div>
    <w:div w:id="1677459804">
      <w:bodyDiv w:val="1"/>
      <w:marLeft w:val="0"/>
      <w:marRight w:val="0"/>
      <w:marTop w:val="0"/>
      <w:marBottom w:val="0"/>
      <w:divBdr>
        <w:top w:val="none" w:sz="0" w:space="0" w:color="auto"/>
        <w:left w:val="none" w:sz="0" w:space="0" w:color="auto"/>
        <w:bottom w:val="none" w:sz="0" w:space="0" w:color="auto"/>
        <w:right w:val="none" w:sz="0" w:space="0" w:color="auto"/>
      </w:divBdr>
    </w:div>
    <w:div w:id="18981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lland.y@chu-toulouse.fr" TargetMode="External"/><Relationship Id="rId18" Type="http://schemas.openxmlformats.org/officeDocument/2006/relationships/hyperlink" Target="mailto:mcbertiere@cerin.org" TargetMode="External"/><Relationship Id="rId26" Type="http://schemas.openxmlformats.org/officeDocument/2006/relationships/hyperlink" Target="mailto:jean.petermans@chu.ulg.ac.be" TargetMode="External"/><Relationship Id="rId3" Type="http://schemas.openxmlformats.org/officeDocument/2006/relationships/styles" Target="styles.xml"/><Relationship Id="rId21" Type="http://schemas.openxmlformats.org/officeDocument/2006/relationships/hyperlink" Target="mailto:nansaburlet@gmail.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acesari@gmail.com" TargetMode="External"/><Relationship Id="rId17" Type="http://schemas.openxmlformats.org/officeDocument/2006/relationships/hyperlink" Target="mailto:ivan.bautmans@vub.ac.be" TargetMode="External"/><Relationship Id="rId25" Type="http://schemas.openxmlformats.org/officeDocument/2006/relationships/hyperlink" Target="mailto:francesco.landi@rm.unicatt.it" TargetMode="External"/><Relationship Id="rId33"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amuthavallithiya@who.int" TargetMode="External"/><Relationship Id="rId20" Type="http://schemas.openxmlformats.org/officeDocument/2006/relationships/hyperlink" Target="mailto:aldaghri2011@gmail.com" TargetMode="External"/><Relationship Id="rId29" Type="http://schemas.openxmlformats.org/officeDocument/2006/relationships/hyperlink" Target="mailto:jakanis@outloo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ivier.bruyere@ulg.ac.be" TargetMode="External"/><Relationship Id="rId24" Type="http://schemas.openxmlformats.org/officeDocument/2006/relationships/hyperlink" Target="mailto:evelien.gielen@uzleuven.be" TargetMode="External"/><Relationship Id="rId32" Type="http://schemas.openxmlformats.org/officeDocument/2006/relationships/hyperlink" Target="http://www.who.int/dietphysicalactivity/factsheet_olderadults/en/"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araujodecarvalho@who.int" TargetMode="External"/><Relationship Id="rId23" Type="http://schemas.openxmlformats.org/officeDocument/2006/relationships/hyperlink" Target="mailto:francesca.cerreta@ema.europa.eu" TargetMode="External"/><Relationship Id="rId28" Type="http://schemas.openxmlformats.org/officeDocument/2006/relationships/hyperlink" Target="mailto:m.visser@vu.nl" TargetMode="External"/><Relationship Id="rId10" Type="http://schemas.openxmlformats.org/officeDocument/2006/relationships/hyperlink" Target="mailto:e.v.mccloskey@sheffield.ac.uk" TargetMode="External"/><Relationship Id="rId19" Type="http://schemas.openxmlformats.org/officeDocument/2006/relationships/hyperlink" Target="mailto:marialuisa.brandi@unifi.it" TargetMode="External"/><Relationship Id="rId31" Type="http://schemas.openxmlformats.org/officeDocument/2006/relationships/hyperlink" Target="mailto:c.beaudart@ulg.ac.be" TargetMode="External"/><Relationship Id="rId4" Type="http://schemas.microsoft.com/office/2007/relationships/stylesWithEffects" Target="stylesWithEffects.xml"/><Relationship Id="rId9" Type="http://schemas.openxmlformats.org/officeDocument/2006/relationships/hyperlink" Target="mailto:c.beaudart@ulg.ac.be" TargetMode="External"/><Relationship Id="rId14" Type="http://schemas.openxmlformats.org/officeDocument/2006/relationships/hyperlink" Target="mailto:rene.rizzoli@unige.ch" TargetMode="External"/><Relationship Id="rId22" Type="http://schemas.openxmlformats.org/officeDocument/2006/relationships/hyperlink" Target="mailto:etienne.cavalier@chu.ulg.ac.be" TargetMode="External"/><Relationship Id="rId27" Type="http://schemas.openxmlformats.org/officeDocument/2006/relationships/hyperlink" Target="mailto:jyr.ch@bluewin.ch" TargetMode="External"/><Relationship Id="rId30" Type="http://schemas.openxmlformats.org/officeDocument/2006/relationships/hyperlink" Target="mailto:cc@mrc.soton.ac.uk"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85335-304B-4FD5-BD0A-39E0C488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72060</Words>
  <Characters>410743</Characters>
  <Application>Microsoft Office Word</Application>
  <DocSecurity>4</DocSecurity>
  <Lines>3422</Lines>
  <Paragraphs>963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481840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Beaudart</dc:creator>
  <cp:lastModifiedBy>Karen Drake</cp:lastModifiedBy>
  <cp:revision>2</cp:revision>
  <cp:lastPrinted>2016-02-25T08:53:00Z</cp:lastPrinted>
  <dcterms:created xsi:type="dcterms:W3CDTF">2016-10-11T09:41:00Z</dcterms:created>
  <dcterms:modified xsi:type="dcterms:W3CDTF">2016-10-11T09:41:00Z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c.beaudart@ulg.ac.be@www.mendeley.com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