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5DEF7" w14:textId="2E0850F7" w:rsidR="00962EB5" w:rsidRDefault="00BF52A3" w:rsidP="00460FC4">
      <w:pPr>
        <w:spacing w:line="480" w:lineRule="auto"/>
        <w:rPr>
          <w:b/>
          <w:bCs/>
          <w:lang w:val="en-GB"/>
        </w:rPr>
      </w:pPr>
      <w:r>
        <w:rPr>
          <w:b/>
          <w:bCs/>
          <w:lang w:val="en-GB"/>
        </w:rPr>
        <w:t>Informed trading,</w:t>
      </w:r>
      <w:r w:rsidR="00962EB5">
        <w:rPr>
          <w:b/>
          <w:bCs/>
          <w:lang w:val="en-GB"/>
        </w:rPr>
        <w:t xml:space="preserve"> market</w:t>
      </w:r>
      <w:r w:rsidR="008026E0">
        <w:rPr>
          <w:b/>
          <w:bCs/>
          <w:lang w:val="en-GB"/>
        </w:rPr>
        <w:t xml:space="preserve"> efficiency and</w:t>
      </w:r>
      <w:r w:rsidR="00962EB5">
        <w:rPr>
          <w:b/>
          <w:bCs/>
          <w:lang w:val="en-GB"/>
        </w:rPr>
        <w:t xml:space="preserve"> volatility</w:t>
      </w:r>
    </w:p>
    <w:p w14:paraId="72B76AB1" w14:textId="77777777" w:rsidR="00962EB5" w:rsidRPr="00837F85" w:rsidRDefault="00962EB5" w:rsidP="00962EB5">
      <w:pPr>
        <w:spacing w:line="480" w:lineRule="auto"/>
        <w:rPr>
          <w:b/>
          <w:bCs/>
          <w:lang w:val="en-GB"/>
        </w:rPr>
      </w:pPr>
    </w:p>
    <w:p w14:paraId="0184F4A7" w14:textId="6CBB1035" w:rsidR="00962EB5" w:rsidRDefault="00962EB5" w:rsidP="00962EB5">
      <w:pPr>
        <w:outlineLvl w:val="0"/>
        <w:rPr>
          <w:sz w:val="22"/>
          <w:szCs w:val="22"/>
        </w:rPr>
      </w:pPr>
      <w:r w:rsidRPr="00377C9B">
        <w:rPr>
          <w:sz w:val="22"/>
          <w:szCs w:val="22"/>
        </w:rPr>
        <w:t>Ming-</w:t>
      </w:r>
      <w:proofErr w:type="spellStart"/>
      <w:r w:rsidRPr="00377C9B">
        <w:rPr>
          <w:sz w:val="22"/>
          <w:szCs w:val="22"/>
        </w:rPr>
        <w:t>Chien</w:t>
      </w:r>
      <w:proofErr w:type="spellEnd"/>
      <w:r w:rsidRPr="00377C9B">
        <w:rPr>
          <w:sz w:val="22"/>
          <w:szCs w:val="22"/>
        </w:rPr>
        <w:t xml:space="preserve"> Sung</w:t>
      </w:r>
      <w:r w:rsidR="00DF6BB9">
        <w:rPr>
          <w:sz w:val="22"/>
          <w:szCs w:val="22"/>
        </w:rPr>
        <w:t>*</w:t>
      </w:r>
      <w:r w:rsidR="00CB6250" w:rsidRPr="00CB6250">
        <w:rPr>
          <w:sz w:val="22"/>
          <w:szCs w:val="22"/>
          <w:vertAlign w:val="superscript"/>
        </w:rPr>
        <w:t>1</w:t>
      </w:r>
      <w:r w:rsidR="00701D5C">
        <w:rPr>
          <w:sz w:val="22"/>
          <w:szCs w:val="22"/>
        </w:rPr>
        <w:t xml:space="preserve">, </w:t>
      </w:r>
      <w:r w:rsidRPr="00377C9B">
        <w:rPr>
          <w:sz w:val="22"/>
          <w:szCs w:val="22"/>
        </w:rPr>
        <w:t>Johnnie E. V. Johnson</w:t>
      </w:r>
      <w:r w:rsidR="00CB6250" w:rsidRPr="00CB6250">
        <w:rPr>
          <w:sz w:val="22"/>
          <w:szCs w:val="22"/>
          <w:vertAlign w:val="superscript"/>
        </w:rPr>
        <w:t>1</w:t>
      </w:r>
      <w:r w:rsidR="00701D5C">
        <w:rPr>
          <w:sz w:val="22"/>
          <w:szCs w:val="22"/>
        </w:rPr>
        <w:t>, D</w:t>
      </w:r>
      <w:r w:rsidRPr="00377C9B">
        <w:rPr>
          <w:sz w:val="22"/>
          <w:szCs w:val="22"/>
        </w:rPr>
        <w:t>avid C. J. McDonald</w:t>
      </w:r>
      <w:r w:rsidR="00CB6250" w:rsidRPr="00CB6250">
        <w:rPr>
          <w:sz w:val="22"/>
          <w:szCs w:val="22"/>
          <w:vertAlign w:val="superscript"/>
        </w:rPr>
        <w:t>1</w:t>
      </w:r>
    </w:p>
    <w:p w14:paraId="05B467BB" w14:textId="77777777" w:rsidR="00701D5C" w:rsidRPr="00377C9B" w:rsidRDefault="00701D5C" w:rsidP="00962EB5">
      <w:pPr>
        <w:outlineLvl w:val="0"/>
        <w:rPr>
          <w:sz w:val="22"/>
          <w:szCs w:val="22"/>
        </w:rPr>
      </w:pPr>
    </w:p>
    <w:p w14:paraId="30A84647" w14:textId="2952F655" w:rsidR="00962EB5" w:rsidRPr="00377C9B" w:rsidRDefault="00CB6250" w:rsidP="0033421A">
      <w:pPr>
        <w:outlineLvl w:val="0"/>
        <w:rPr>
          <w:sz w:val="22"/>
          <w:szCs w:val="22"/>
        </w:rPr>
      </w:pPr>
      <w:proofErr w:type="gramStart"/>
      <w:r w:rsidRPr="00CB6250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 xml:space="preserve"> </w:t>
      </w:r>
      <w:r w:rsidR="00962EB5" w:rsidRPr="00377C9B">
        <w:rPr>
          <w:sz w:val="22"/>
          <w:szCs w:val="22"/>
        </w:rPr>
        <w:t>Centre for Risk Research</w:t>
      </w:r>
      <w:r w:rsidR="00701D5C">
        <w:rPr>
          <w:sz w:val="22"/>
          <w:szCs w:val="22"/>
        </w:rPr>
        <w:t xml:space="preserve">, </w:t>
      </w:r>
      <w:r w:rsidR="00962EB5" w:rsidRPr="00377C9B">
        <w:rPr>
          <w:sz w:val="22"/>
          <w:szCs w:val="22"/>
        </w:rPr>
        <w:t>University of Southampton</w:t>
      </w:r>
      <w:r w:rsidR="00701D5C">
        <w:rPr>
          <w:sz w:val="22"/>
          <w:szCs w:val="22"/>
        </w:rPr>
        <w:t xml:space="preserve">, </w:t>
      </w:r>
      <w:r w:rsidR="00962EB5" w:rsidRPr="00377C9B">
        <w:rPr>
          <w:sz w:val="22"/>
          <w:szCs w:val="22"/>
        </w:rPr>
        <w:t>Southampton</w:t>
      </w:r>
      <w:r w:rsidR="00701D5C">
        <w:rPr>
          <w:sz w:val="22"/>
          <w:szCs w:val="22"/>
        </w:rPr>
        <w:t xml:space="preserve">, </w:t>
      </w:r>
      <w:r w:rsidR="00377C9B" w:rsidRPr="002E1012">
        <w:rPr>
          <w:sz w:val="22"/>
          <w:szCs w:val="22"/>
          <w:lang w:val="en-GB"/>
        </w:rPr>
        <w:t>SO17 1BJ</w:t>
      </w:r>
      <w:r w:rsidR="00701D5C" w:rsidRPr="002E1012">
        <w:rPr>
          <w:sz w:val="22"/>
          <w:szCs w:val="22"/>
          <w:lang w:val="en-GB"/>
        </w:rPr>
        <w:t>, UK.</w:t>
      </w:r>
      <w:proofErr w:type="gramEnd"/>
    </w:p>
    <w:p w14:paraId="1A38395B" w14:textId="106AA0D3" w:rsidR="00962EB5" w:rsidRDefault="00CB6250" w:rsidP="00CB6250">
      <w:pPr>
        <w:outlineLvl w:val="0"/>
        <w:rPr>
          <w:rStyle w:val="Hyperlink"/>
          <w:sz w:val="22"/>
          <w:szCs w:val="22"/>
          <w:lang w:val="fr-FR"/>
        </w:rPr>
      </w:pPr>
      <w:r w:rsidRPr="002E1012">
        <w:rPr>
          <w:sz w:val="22"/>
          <w:szCs w:val="22"/>
          <w:lang w:val="fr-FR"/>
        </w:rPr>
        <w:t>(</w:t>
      </w:r>
      <w:r w:rsidR="00962EB5" w:rsidRPr="002E1012">
        <w:rPr>
          <w:sz w:val="22"/>
          <w:szCs w:val="22"/>
          <w:lang w:val="fr-FR"/>
        </w:rPr>
        <w:t>Tel: +44(0) 23 80598974</w:t>
      </w:r>
      <w:r w:rsidRPr="002E1012">
        <w:rPr>
          <w:sz w:val="22"/>
          <w:szCs w:val="22"/>
          <w:lang w:val="fr-FR"/>
        </w:rPr>
        <w:t xml:space="preserve">; </w:t>
      </w:r>
      <w:r w:rsidR="00962EB5" w:rsidRPr="002E1012">
        <w:rPr>
          <w:sz w:val="22"/>
          <w:szCs w:val="22"/>
          <w:lang w:val="fr-FR"/>
        </w:rPr>
        <w:t>+44(0) 23 80592546</w:t>
      </w:r>
      <w:r w:rsidRPr="002E1012">
        <w:rPr>
          <w:sz w:val="22"/>
          <w:szCs w:val="22"/>
          <w:lang w:val="fr-FR"/>
        </w:rPr>
        <w:t>;</w:t>
      </w:r>
      <w:r w:rsidR="00962EB5" w:rsidRPr="002E1012">
        <w:rPr>
          <w:sz w:val="22"/>
          <w:szCs w:val="22"/>
          <w:lang w:val="fr-FR"/>
        </w:rPr>
        <w:tab/>
        <w:t>+44(0) 23 80599248</w:t>
      </w:r>
      <w:r w:rsidRPr="002E1012">
        <w:rPr>
          <w:sz w:val="22"/>
          <w:szCs w:val="22"/>
          <w:lang w:val="fr-FR"/>
        </w:rPr>
        <w:t xml:space="preserve">. Email: </w:t>
      </w:r>
      <w:hyperlink r:id="rId9" w:history="1">
        <w:r w:rsidR="00962EB5" w:rsidRPr="00D2301D">
          <w:rPr>
            <w:rStyle w:val="Hyperlink"/>
            <w:sz w:val="22"/>
            <w:szCs w:val="22"/>
            <w:lang w:val="fr-FR"/>
          </w:rPr>
          <w:t>m.sung@soton.ac.uk</w:t>
        </w:r>
      </w:hyperlink>
      <w:r>
        <w:rPr>
          <w:rStyle w:val="Hyperlink"/>
          <w:sz w:val="22"/>
          <w:szCs w:val="22"/>
          <w:lang w:val="fr-FR"/>
        </w:rPr>
        <w:t xml:space="preserve">; </w:t>
      </w:r>
      <w:hyperlink r:id="rId10" w:history="1">
        <w:r w:rsidR="00962EB5" w:rsidRPr="00D2301D">
          <w:rPr>
            <w:rStyle w:val="Hyperlink"/>
            <w:sz w:val="22"/>
            <w:szCs w:val="22"/>
            <w:lang w:val="fr-FR"/>
          </w:rPr>
          <w:t>jej@soton.ac.uk</w:t>
        </w:r>
      </w:hyperlink>
      <w:r>
        <w:rPr>
          <w:rStyle w:val="Hyperlink"/>
          <w:sz w:val="22"/>
          <w:szCs w:val="22"/>
          <w:lang w:val="fr-FR"/>
        </w:rPr>
        <w:t xml:space="preserve">; </w:t>
      </w:r>
      <w:hyperlink r:id="rId11" w:history="1">
        <w:r w:rsidR="00962EB5" w:rsidRPr="00D2301D">
          <w:rPr>
            <w:rStyle w:val="Hyperlink"/>
            <w:sz w:val="22"/>
            <w:szCs w:val="22"/>
            <w:lang w:val="fr-FR"/>
          </w:rPr>
          <w:t>d.mcdonald@soton.ac.uk</w:t>
        </w:r>
      </w:hyperlink>
      <w:r w:rsidR="00D50DFD" w:rsidRPr="00D50DFD">
        <w:rPr>
          <w:rStyle w:val="Hyperlink"/>
          <w:color w:val="auto"/>
          <w:sz w:val="22"/>
          <w:szCs w:val="22"/>
          <w:lang w:val="fr-FR"/>
        </w:rPr>
        <w:t>)</w:t>
      </w:r>
    </w:p>
    <w:p w14:paraId="4523C80A" w14:textId="77777777" w:rsidR="00CB6250" w:rsidRPr="00D2301D" w:rsidRDefault="00CB6250" w:rsidP="00CB6250">
      <w:pPr>
        <w:outlineLvl w:val="0"/>
        <w:rPr>
          <w:sz w:val="22"/>
          <w:szCs w:val="22"/>
          <w:lang w:val="fr-FR"/>
        </w:rPr>
      </w:pPr>
    </w:p>
    <w:p w14:paraId="79FD0CA8" w14:textId="503120DA" w:rsidR="00962EB5" w:rsidRPr="00CB6250" w:rsidRDefault="00DF6BB9" w:rsidP="00962EB5">
      <w:pPr>
        <w:spacing w:line="480" w:lineRule="auto"/>
        <w:jc w:val="both"/>
        <w:rPr>
          <w:rFonts w:eastAsia="PMingLiU"/>
          <w:sz w:val="22"/>
          <w:szCs w:val="22"/>
          <w:lang w:val="en-GB" w:eastAsia="zh-TW"/>
        </w:rPr>
      </w:pPr>
      <w:r w:rsidRPr="00CB6250">
        <w:rPr>
          <w:rFonts w:eastAsia="PMingLiU"/>
          <w:sz w:val="22"/>
          <w:szCs w:val="22"/>
          <w:lang w:val="en-GB" w:eastAsia="zh-TW"/>
        </w:rPr>
        <w:t>*corresponding author</w:t>
      </w:r>
    </w:p>
    <w:p w14:paraId="07C638F8" w14:textId="77777777" w:rsidR="00DF6BB9" w:rsidRDefault="00DF6BB9" w:rsidP="00962EB5">
      <w:pPr>
        <w:spacing w:line="480" w:lineRule="auto"/>
        <w:jc w:val="both"/>
        <w:rPr>
          <w:rFonts w:eastAsia="PMingLiU"/>
          <w:b/>
          <w:lang w:eastAsia="zh-TW"/>
        </w:rPr>
      </w:pPr>
    </w:p>
    <w:p w14:paraId="7BDB7680" w14:textId="77777777" w:rsidR="00962EB5" w:rsidRPr="00A44871" w:rsidRDefault="00962EB5" w:rsidP="00962EB5">
      <w:pPr>
        <w:spacing w:line="480" w:lineRule="auto"/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Abstract</w:t>
      </w:r>
    </w:p>
    <w:p w14:paraId="2D5DF4E0" w14:textId="77777777" w:rsidR="00962EB5" w:rsidRPr="00C92ED3" w:rsidRDefault="00962EB5" w:rsidP="00962EB5">
      <w:pPr>
        <w:spacing w:line="480" w:lineRule="auto"/>
        <w:jc w:val="both"/>
        <w:rPr>
          <w:b/>
        </w:rPr>
      </w:pPr>
    </w:p>
    <w:p w14:paraId="66E4C0D7" w14:textId="1178BF0A" w:rsidR="00962EB5" w:rsidRPr="0032333D" w:rsidRDefault="00962EB5" w:rsidP="005E03FF">
      <w:pPr>
        <w:spacing w:line="480" w:lineRule="auto"/>
        <w:jc w:val="both"/>
      </w:pPr>
      <w:r w:rsidRPr="00C92ED3">
        <w:t xml:space="preserve">We </w:t>
      </w:r>
      <w:r w:rsidR="00D2301D">
        <w:t xml:space="preserve">establish </w:t>
      </w:r>
      <w:r w:rsidR="00CB6250">
        <w:t>relationships that</w:t>
      </w:r>
      <w:r w:rsidR="00D2301D">
        <w:t xml:space="preserve"> have proved difficult to </w:t>
      </w:r>
      <w:r w:rsidR="005E03FF">
        <w:t>capture</w:t>
      </w:r>
      <w:r w:rsidR="00D2301D">
        <w:t xml:space="preserve"> in financial markets, between informed trading, efficiency and volatility. </w:t>
      </w:r>
      <w:r w:rsidR="00D50DFD">
        <w:t>W</w:t>
      </w:r>
      <w:r w:rsidR="005E03FF">
        <w:t xml:space="preserve">e </w:t>
      </w:r>
      <w:r w:rsidR="00D2301D">
        <w:t xml:space="preserve">examine the </w:t>
      </w:r>
      <w:r w:rsidR="008026E0">
        <w:rPr>
          <w:rFonts w:eastAsia="PMingLiU"/>
          <w:lang w:eastAsia="zh-TW"/>
        </w:rPr>
        <w:t xml:space="preserve">efficiency </w:t>
      </w:r>
      <w:r w:rsidR="00D2301D">
        <w:rPr>
          <w:rFonts w:eastAsia="PMingLiU"/>
          <w:lang w:eastAsia="zh-TW"/>
        </w:rPr>
        <w:t xml:space="preserve">and volatility </w:t>
      </w:r>
      <w:r w:rsidR="008026E0">
        <w:rPr>
          <w:rFonts w:eastAsia="PMingLiU"/>
          <w:lang w:eastAsia="zh-TW"/>
        </w:rPr>
        <w:t>of</w:t>
      </w:r>
      <w:r w:rsidR="00A524EC">
        <w:rPr>
          <w:rFonts w:eastAsia="PMingLiU"/>
          <w:lang w:eastAsia="zh-TW"/>
        </w:rPr>
        <w:t xml:space="preserve"> </w:t>
      </w:r>
      <w:r w:rsidR="008026E0">
        <w:rPr>
          <w:rFonts w:eastAsia="PMingLiU"/>
          <w:lang w:eastAsia="zh-TW"/>
        </w:rPr>
        <w:t>market prices</w:t>
      </w:r>
      <w:r w:rsidR="0032333D">
        <w:t xml:space="preserve"> </w:t>
      </w:r>
      <w:r w:rsidR="00D2301D">
        <w:t>in</w:t>
      </w:r>
      <w:r w:rsidR="00EF3AFF">
        <w:t xml:space="preserve"> 6058</w:t>
      </w:r>
      <w:r w:rsidRPr="00C92ED3">
        <w:t xml:space="preserve"> </w:t>
      </w:r>
      <w:r>
        <w:t xml:space="preserve">parallel </w:t>
      </w:r>
      <w:r w:rsidR="00EF3AFF">
        <w:t xml:space="preserve">horserace </w:t>
      </w:r>
      <w:r>
        <w:t>betting</w:t>
      </w:r>
      <w:r w:rsidRPr="00C92ED3">
        <w:t xml:space="preserve"> </w:t>
      </w:r>
      <w:r>
        <w:t>exchange and bookmaker markets</w:t>
      </w:r>
      <w:r w:rsidR="00EF3AFF" w:rsidRPr="0038011C">
        <w:t xml:space="preserve"> </w:t>
      </w:r>
      <w:r w:rsidR="0038011C" w:rsidRPr="0038011C">
        <w:t>(1.8</w:t>
      </w:r>
      <w:r w:rsidR="008C2DDC">
        <w:t xml:space="preserve"> million price points). We find that i</w:t>
      </w:r>
      <w:r w:rsidR="00A524EC">
        <w:t>nformed</w:t>
      </w:r>
      <w:r w:rsidR="00BB6A99">
        <w:t xml:space="preserve"> trading is associated with</w:t>
      </w:r>
      <w:r w:rsidRPr="00C92ED3">
        <w:t xml:space="preserve"> </w:t>
      </w:r>
      <w:r w:rsidR="008026E0">
        <w:t xml:space="preserve">increased </w:t>
      </w:r>
      <w:r w:rsidRPr="00C92ED3">
        <w:t>efficiency</w:t>
      </w:r>
      <w:r w:rsidR="008026E0">
        <w:t xml:space="preserve"> and volatility</w:t>
      </w:r>
      <w:r w:rsidR="0047088D">
        <w:t>.</w:t>
      </w:r>
    </w:p>
    <w:p w14:paraId="5C223F9E" w14:textId="3C9F5129" w:rsidR="00B10C12" w:rsidRDefault="0031222C" w:rsidP="00962EB5">
      <w:pPr>
        <w:spacing w:line="480" w:lineRule="auto"/>
        <w:jc w:val="both"/>
        <w:rPr>
          <w:rFonts w:eastAsia="PMingLiU"/>
          <w:lang w:eastAsia="zh-TW"/>
        </w:rPr>
      </w:pPr>
      <w:r w:rsidRPr="0031222C">
        <w:rPr>
          <w:rFonts w:eastAsia="PMingLiU"/>
          <w:b/>
          <w:bCs/>
          <w:lang w:eastAsia="zh-TW"/>
        </w:rPr>
        <w:t>Key words</w:t>
      </w:r>
      <w:r>
        <w:rPr>
          <w:rFonts w:eastAsia="PMingLiU"/>
          <w:lang w:eastAsia="zh-TW"/>
        </w:rPr>
        <w:t>: informed trading, efficiency, volatility</w:t>
      </w:r>
    </w:p>
    <w:p w14:paraId="46F95A20" w14:textId="67035B5C" w:rsidR="0031222C" w:rsidRDefault="0031222C" w:rsidP="00962EB5">
      <w:pPr>
        <w:spacing w:line="480" w:lineRule="auto"/>
        <w:jc w:val="both"/>
        <w:rPr>
          <w:rFonts w:eastAsia="PMingLiU"/>
          <w:lang w:eastAsia="zh-TW"/>
        </w:rPr>
      </w:pPr>
      <w:r w:rsidRPr="0031222C">
        <w:rPr>
          <w:rFonts w:eastAsia="PMingLiU"/>
          <w:b/>
          <w:bCs/>
          <w:lang w:eastAsia="zh-TW"/>
        </w:rPr>
        <w:t>JEL classification</w:t>
      </w:r>
      <w:r>
        <w:rPr>
          <w:rFonts w:eastAsia="PMingLiU"/>
          <w:lang w:eastAsia="zh-TW"/>
        </w:rPr>
        <w:t>: G12, G14</w:t>
      </w:r>
    </w:p>
    <w:p w14:paraId="50D906F1" w14:textId="10EE52F5" w:rsidR="00FA4DA6" w:rsidRPr="00F86415" w:rsidRDefault="00962EB5" w:rsidP="00962EB5">
      <w:pPr>
        <w:spacing w:line="480" w:lineRule="auto"/>
        <w:jc w:val="both"/>
        <w:rPr>
          <w:rFonts w:eastAsia="PMingLiU"/>
          <w:b/>
          <w:bCs/>
          <w:lang w:val="en-GB" w:eastAsia="zh-TW"/>
        </w:rPr>
      </w:pPr>
      <w:r>
        <w:rPr>
          <w:rFonts w:eastAsia="PMingLiU"/>
          <w:b/>
          <w:bCs/>
          <w:lang w:val="en-GB" w:eastAsia="zh-TW"/>
        </w:rPr>
        <w:t>1. Introduction</w:t>
      </w:r>
    </w:p>
    <w:p w14:paraId="268E2876" w14:textId="77777777" w:rsidR="00A1490E" w:rsidRDefault="00A1490E" w:rsidP="00A1490E">
      <w:pPr>
        <w:spacing w:line="480" w:lineRule="auto"/>
        <w:jc w:val="both"/>
      </w:pPr>
    </w:p>
    <w:p w14:paraId="6A2C4040" w14:textId="046EA6CD" w:rsidR="005E03FF" w:rsidRDefault="00A1490E" w:rsidP="001C238A">
      <w:pPr>
        <w:spacing w:line="480" w:lineRule="auto"/>
        <w:jc w:val="both"/>
      </w:pPr>
      <w:r w:rsidRPr="007B023F">
        <w:tab/>
      </w:r>
      <w:r w:rsidR="005E03FF">
        <w:t>We examine relationships</w:t>
      </w:r>
      <w:r w:rsidR="001C238A">
        <w:t xml:space="preserve"> </w:t>
      </w:r>
      <w:r w:rsidR="005E03FF">
        <w:t>between informed trading</w:t>
      </w:r>
      <w:r w:rsidR="001C238A">
        <w:t xml:space="preserve"> and two important </w:t>
      </w:r>
      <w:r w:rsidR="006A1DEF">
        <w:t>market features</w:t>
      </w:r>
      <w:r w:rsidR="001C238A">
        <w:t xml:space="preserve">: </w:t>
      </w:r>
      <w:r w:rsidR="005E03FF">
        <w:t>efficiency</w:t>
      </w:r>
      <w:r w:rsidR="001C238A">
        <w:t xml:space="preserve">, </w:t>
      </w:r>
      <w:r w:rsidR="005E03FF">
        <w:t xml:space="preserve">the predictive accuracy of prices with respect to </w:t>
      </w:r>
      <w:r w:rsidR="006A1DEF">
        <w:t xml:space="preserve">underlying </w:t>
      </w:r>
      <w:r w:rsidR="005E03FF">
        <w:t>fundamentals</w:t>
      </w:r>
      <w:r w:rsidR="001C238A">
        <w:t xml:space="preserve">, </w:t>
      </w:r>
      <w:r w:rsidR="005E03FF">
        <w:t>and volatility</w:t>
      </w:r>
      <w:r w:rsidR="001C238A">
        <w:t xml:space="preserve">, </w:t>
      </w:r>
      <w:r w:rsidR="005E03FF">
        <w:t>variations in market prices around</w:t>
      </w:r>
      <w:r w:rsidR="006A1DEF">
        <w:t xml:space="preserve"> </w:t>
      </w:r>
      <w:r w:rsidR="005E03FF">
        <w:t xml:space="preserve">fundamentals. </w:t>
      </w:r>
      <w:r w:rsidR="006A1DEF">
        <w:t xml:space="preserve"> </w:t>
      </w:r>
      <w:r w:rsidR="007A1895">
        <w:t>F</w:t>
      </w:r>
      <w:r w:rsidR="006A1DEF">
        <w:t>inancial market</w:t>
      </w:r>
      <w:r w:rsidR="005E03FF">
        <w:t xml:space="preserve"> </w:t>
      </w:r>
      <w:r w:rsidR="007A1895">
        <w:t xml:space="preserve">studies </w:t>
      </w:r>
      <w:r w:rsidR="005E03FF">
        <w:t>provide only limited evidence concerning these relationships</w:t>
      </w:r>
      <w:r w:rsidR="006A1DEF">
        <w:t>.</w:t>
      </w:r>
    </w:p>
    <w:p w14:paraId="3EA9D02F" w14:textId="787FD05C" w:rsidR="005E03FF" w:rsidRDefault="005E03FF" w:rsidP="00110256">
      <w:pPr>
        <w:spacing w:line="480" w:lineRule="auto"/>
        <w:jc w:val="both"/>
      </w:pPr>
      <w:r>
        <w:lastRenderedPageBreak/>
        <w:tab/>
      </w:r>
      <w:r w:rsidR="00110256">
        <w:t>New information has an unpredictable effect on share prices (Johnstone, 2016). However, i</w:t>
      </w:r>
      <w:r w:rsidR="004A023B">
        <w:t xml:space="preserve">t </w:t>
      </w:r>
      <w:r w:rsidR="00D50DFD">
        <w:t>might</w:t>
      </w:r>
      <w:r w:rsidR="004A023B">
        <w:t xml:space="preserve"> be expected that informed trading is</w:t>
      </w:r>
      <w:r w:rsidR="007A1895">
        <w:t xml:space="preserve"> positively associated with market efficiency (e.g., </w:t>
      </w:r>
      <w:proofErr w:type="spellStart"/>
      <w:r w:rsidR="007A1895">
        <w:t>Tavakoli</w:t>
      </w:r>
      <w:proofErr w:type="spellEnd"/>
      <w:r w:rsidR="007A1895">
        <w:t xml:space="preserve"> et al., 2012).</w:t>
      </w:r>
      <w:r w:rsidR="004A023B">
        <w:t xml:space="preserve"> Uninformed trading introduces risks for risk-averse informed traders, encouraging inefficiency (</w:t>
      </w:r>
      <w:r w:rsidRPr="00C92ED3">
        <w:t>Shiller</w:t>
      </w:r>
      <w:r w:rsidR="004A023B">
        <w:t xml:space="preserve">, </w:t>
      </w:r>
      <w:r>
        <w:t>1990</w:t>
      </w:r>
      <w:r w:rsidR="004A023B">
        <w:t xml:space="preserve">; </w:t>
      </w:r>
      <w:r w:rsidR="00C01E51">
        <w:t xml:space="preserve">e.g., </w:t>
      </w:r>
      <w:r w:rsidR="004A023B">
        <w:rPr>
          <w:lang w:val="en-GB"/>
        </w:rPr>
        <w:t>markets may</w:t>
      </w:r>
      <w:r w:rsidR="001C238A">
        <w:rPr>
          <w:lang w:val="en-GB"/>
        </w:rPr>
        <w:t xml:space="preserve"> </w:t>
      </w:r>
      <w:r w:rsidRPr="00C92ED3">
        <w:rPr>
          <w:lang w:val="en-GB"/>
        </w:rPr>
        <w:t>remain ineff</w:t>
      </w:r>
      <w:r>
        <w:rPr>
          <w:lang w:val="en-GB"/>
        </w:rPr>
        <w:t xml:space="preserve">icient longer than </w:t>
      </w:r>
      <w:r w:rsidR="001C238A">
        <w:rPr>
          <w:lang w:val="en-GB"/>
        </w:rPr>
        <w:t xml:space="preserve">informed </w:t>
      </w:r>
      <w:r w:rsidRPr="00C92ED3">
        <w:rPr>
          <w:lang w:val="en-GB"/>
        </w:rPr>
        <w:t>trader</w:t>
      </w:r>
      <w:r w:rsidR="004A023B">
        <w:rPr>
          <w:lang w:val="en-GB"/>
        </w:rPr>
        <w:t>s</w:t>
      </w:r>
      <w:r w:rsidRPr="00C92ED3">
        <w:rPr>
          <w:lang w:val="en-GB"/>
        </w:rPr>
        <w:t xml:space="preserve"> can remain liquid</w:t>
      </w:r>
      <w:r w:rsidR="007A1895">
        <w:rPr>
          <w:lang w:val="en-GB"/>
        </w:rPr>
        <w:t xml:space="preserve">, causing </w:t>
      </w:r>
      <w:r>
        <w:rPr>
          <w:lang w:val="en-GB"/>
        </w:rPr>
        <w:t>them to</w:t>
      </w:r>
      <w:r w:rsidRPr="00C92ED3">
        <w:rPr>
          <w:lang w:val="en-GB"/>
        </w:rPr>
        <w:t xml:space="preserve"> limit arbitrage</w:t>
      </w:r>
      <w:r w:rsidR="00C01E51">
        <w:rPr>
          <w:lang w:val="en-GB"/>
        </w:rPr>
        <w:t>)</w:t>
      </w:r>
      <w:r>
        <w:rPr>
          <w:lang w:val="en-GB"/>
        </w:rPr>
        <w:t xml:space="preserve">. </w:t>
      </w:r>
      <w:r w:rsidR="004A023B">
        <w:rPr>
          <w:lang w:val="en-GB"/>
        </w:rPr>
        <w:t>An alternative possibility</w:t>
      </w:r>
      <w:r w:rsidR="00CB6250">
        <w:rPr>
          <w:lang w:val="en-GB"/>
        </w:rPr>
        <w:t xml:space="preserve"> is</w:t>
      </w:r>
      <w:r w:rsidR="004A023B">
        <w:rPr>
          <w:lang w:val="en-GB"/>
        </w:rPr>
        <w:t xml:space="preserve"> observed</w:t>
      </w:r>
      <w:r>
        <w:rPr>
          <w:lang w:val="en-GB"/>
        </w:rPr>
        <w:t xml:space="preserve"> in</w:t>
      </w:r>
      <w:r w:rsidRPr="00C92ED3">
        <w:rPr>
          <w:lang w:val="en-GB"/>
        </w:rPr>
        <w:t xml:space="preserve"> </w:t>
      </w:r>
      <w:r w:rsidR="00D50DFD" w:rsidRPr="00C92ED3">
        <w:rPr>
          <w:lang w:val="en-GB"/>
        </w:rPr>
        <w:t>Bloomfield</w:t>
      </w:r>
      <w:r w:rsidR="00D50DFD">
        <w:rPr>
          <w:lang w:val="en-GB"/>
        </w:rPr>
        <w:t xml:space="preserve"> et al.’s (2009)</w:t>
      </w:r>
      <w:r w:rsidRPr="00C92ED3">
        <w:rPr>
          <w:lang w:val="en-GB"/>
        </w:rPr>
        <w:t xml:space="preserve"> experimental market</w:t>
      </w:r>
      <w:r w:rsidR="004A023B">
        <w:rPr>
          <w:lang w:val="en-GB"/>
        </w:rPr>
        <w:t xml:space="preserve">: </w:t>
      </w:r>
      <w:r w:rsidR="00D50DFD">
        <w:rPr>
          <w:lang w:val="en-GB"/>
        </w:rPr>
        <w:t>provided</w:t>
      </w:r>
      <w:r w:rsidR="004A023B">
        <w:rPr>
          <w:lang w:val="en-GB"/>
        </w:rPr>
        <w:t xml:space="preserve"> prices are not extreme, </w:t>
      </w:r>
      <w:r>
        <w:rPr>
          <w:lang w:val="en-GB"/>
        </w:rPr>
        <w:t>noise</w:t>
      </w:r>
      <w:r w:rsidRPr="00C92ED3">
        <w:rPr>
          <w:lang w:val="en-GB"/>
        </w:rPr>
        <w:t xml:space="preserve"> make</w:t>
      </w:r>
      <w:r w:rsidR="007A1895">
        <w:rPr>
          <w:lang w:val="en-GB"/>
        </w:rPr>
        <w:t>s</w:t>
      </w:r>
      <w:r w:rsidRPr="00C92ED3">
        <w:rPr>
          <w:lang w:val="en-GB"/>
        </w:rPr>
        <w:t xml:space="preserve"> prices </w:t>
      </w:r>
      <w:r w:rsidRPr="00C92ED3">
        <w:rPr>
          <w:i/>
          <w:iCs/>
          <w:lang w:val="en-GB"/>
        </w:rPr>
        <w:t>more</w:t>
      </w:r>
      <w:r w:rsidRPr="00C92ED3">
        <w:rPr>
          <w:lang w:val="en-GB"/>
        </w:rPr>
        <w:t xml:space="preserve"> efficient</w:t>
      </w:r>
      <w:r>
        <w:rPr>
          <w:lang w:val="en-GB"/>
        </w:rPr>
        <w:t xml:space="preserve"> by providing liquidity</w:t>
      </w:r>
      <w:r w:rsidR="004A023B">
        <w:rPr>
          <w:lang w:val="en-GB"/>
        </w:rPr>
        <w:t>.</w:t>
      </w:r>
    </w:p>
    <w:p w14:paraId="14777990" w14:textId="2E40D389" w:rsidR="002F0AFE" w:rsidRDefault="005E03FF" w:rsidP="00C01E51">
      <w:pPr>
        <w:spacing w:line="480" w:lineRule="auto"/>
        <w:jc w:val="both"/>
        <w:rPr>
          <w:lang w:val="en-GB"/>
        </w:rPr>
      </w:pPr>
      <w:r>
        <w:tab/>
      </w:r>
      <w:r w:rsidR="004A023B">
        <w:t xml:space="preserve">The relationship between informed trading and volatility is </w:t>
      </w:r>
      <w:r w:rsidR="002F0AFE">
        <w:t>less clear.</w:t>
      </w:r>
      <w:r w:rsidR="004A023B">
        <w:t xml:space="preserve"> </w:t>
      </w:r>
      <w:r>
        <w:t xml:space="preserve">French and Roll (1986) </w:t>
      </w:r>
      <w:r w:rsidR="00C01E51">
        <w:t>find</w:t>
      </w:r>
      <w:r w:rsidR="002F0AFE">
        <w:t xml:space="preserve"> t</w:t>
      </w:r>
      <w:r>
        <w:t>hat greater volatility in trading (cf. non-trading) hours can only be explained by private information</w:t>
      </w:r>
      <w:r w:rsidR="00C01E51">
        <w:t xml:space="preserve"> (cf.</w:t>
      </w:r>
      <w:r>
        <w:t xml:space="preserve"> noise</w:t>
      </w:r>
      <w:r w:rsidR="00C01E51">
        <w:t>)</w:t>
      </w:r>
      <w:r>
        <w:t xml:space="preserve">. </w:t>
      </w:r>
      <w:r w:rsidR="00C01E51">
        <w:t>However</w:t>
      </w:r>
      <w:r>
        <w:t>, De Long et al. (1990) predict that,</w:t>
      </w:r>
      <w:r w:rsidRPr="00C92ED3">
        <w:rPr>
          <w:lang w:val="en-GB"/>
        </w:rPr>
        <w:t xml:space="preserve"> in the absence of new information, </w:t>
      </w:r>
      <w:r w:rsidR="006E13C4">
        <w:rPr>
          <w:lang w:val="en-GB"/>
        </w:rPr>
        <w:t xml:space="preserve">uninformed </w:t>
      </w:r>
      <w:r w:rsidRPr="00C92ED3">
        <w:rPr>
          <w:lang w:val="en-GB"/>
        </w:rPr>
        <w:t xml:space="preserve">trading </w:t>
      </w:r>
      <w:r w:rsidR="00307E51">
        <w:rPr>
          <w:lang w:val="en-GB"/>
        </w:rPr>
        <w:t>i</w:t>
      </w:r>
      <w:r>
        <w:rPr>
          <w:lang w:val="en-GB"/>
        </w:rPr>
        <w:t>ncrease</w:t>
      </w:r>
      <w:r w:rsidR="00D50DFD">
        <w:rPr>
          <w:lang w:val="en-GB"/>
        </w:rPr>
        <w:t>s</w:t>
      </w:r>
      <w:r>
        <w:rPr>
          <w:lang w:val="en-GB"/>
        </w:rPr>
        <w:t xml:space="preserve"> </w:t>
      </w:r>
      <w:r w:rsidRPr="00C92ED3">
        <w:rPr>
          <w:lang w:val="en-GB"/>
        </w:rPr>
        <w:t>short</w:t>
      </w:r>
      <w:r>
        <w:rPr>
          <w:lang w:val="en-GB"/>
        </w:rPr>
        <w:t>-</w:t>
      </w:r>
      <w:r w:rsidRPr="00C92ED3">
        <w:rPr>
          <w:lang w:val="en-GB"/>
        </w:rPr>
        <w:t xml:space="preserve">term volatility. Previous tests </w:t>
      </w:r>
      <w:r w:rsidR="00C01E51">
        <w:rPr>
          <w:lang w:val="en-GB"/>
        </w:rPr>
        <w:t>have proved</w:t>
      </w:r>
      <w:r w:rsidR="00082762">
        <w:rPr>
          <w:lang w:val="en-GB"/>
        </w:rPr>
        <w:t xml:space="preserve"> in</w:t>
      </w:r>
      <w:r w:rsidRPr="00C92ED3">
        <w:rPr>
          <w:lang w:val="en-GB"/>
        </w:rPr>
        <w:t>conclusive</w:t>
      </w:r>
      <w:r>
        <w:rPr>
          <w:lang w:val="en-GB"/>
        </w:rPr>
        <w:t>.</w:t>
      </w:r>
    </w:p>
    <w:p w14:paraId="34984431" w14:textId="490B5081" w:rsidR="00A1490E" w:rsidRDefault="002F0AFE" w:rsidP="00C01E51">
      <w:pPr>
        <w:spacing w:line="480" w:lineRule="auto"/>
        <w:jc w:val="both"/>
      </w:pPr>
      <w:r>
        <w:rPr>
          <w:lang w:val="en-GB"/>
        </w:rPr>
        <w:tab/>
        <w:t>We shed light on these relationships</w:t>
      </w:r>
      <w:r w:rsidR="0050739D">
        <w:rPr>
          <w:lang w:val="en-GB"/>
        </w:rPr>
        <w:t xml:space="preserve"> using a dataset valuable for exploring the role of informed trading: </w:t>
      </w:r>
      <w:r w:rsidR="00C01E51">
        <w:rPr>
          <w:lang w:val="en-GB"/>
        </w:rPr>
        <w:t xml:space="preserve">horserace </w:t>
      </w:r>
      <w:r w:rsidR="0050739D">
        <w:rPr>
          <w:lang w:val="en-GB"/>
        </w:rPr>
        <w:t>betting market</w:t>
      </w:r>
      <w:r w:rsidR="00C01E51">
        <w:rPr>
          <w:lang w:val="en-GB"/>
        </w:rPr>
        <w:t xml:space="preserve"> data</w:t>
      </w:r>
      <w:r w:rsidR="0050739D">
        <w:rPr>
          <w:lang w:val="en-GB"/>
        </w:rPr>
        <w:t xml:space="preserve">. </w:t>
      </w:r>
      <w:r w:rsidR="00307E51">
        <w:t>These</w:t>
      </w:r>
      <w:r w:rsidR="0050739D">
        <w:t xml:space="preserve"> </w:t>
      </w:r>
      <w:r w:rsidR="00C01E51">
        <w:t xml:space="preserve">markets </w:t>
      </w:r>
      <w:r w:rsidR="00A1490E">
        <w:t>share many characteristics</w:t>
      </w:r>
      <w:r w:rsidR="001D2CF2">
        <w:t xml:space="preserve"> with wider financial markets</w:t>
      </w:r>
      <w:r w:rsidR="00A1490E">
        <w:t>,</w:t>
      </w:r>
      <w:r w:rsidR="00307E51">
        <w:t xml:space="preserve"> incorporate</w:t>
      </w:r>
      <w:r w:rsidR="00A1490E">
        <w:t xml:space="preserve"> </w:t>
      </w:r>
      <w:r w:rsidR="00A1490E" w:rsidRPr="00C92ED3">
        <w:rPr>
          <w:lang w:val="en-GB"/>
        </w:rPr>
        <w:t>a defined end</w:t>
      </w:r>
      <w:r w:rsidR="00A1490E">
        <w:rPr>
          <w:lang w:val="en-GB"/>
        </w:rPr>
        <w:t>-</w:t>
      </w:r>
      <w:r w:rsidR="00A1490E" w:rsidRPr="00C92ED3">
        <w:rPr>
          <w:lang w:val="en-GB"/>
        </w:rPr>
        <w:t xml:space="preserve">point at which all uncertainty </w:t>
      </w:r>
      <w:r w:rsidR="00A1490E">
        <w:rPr>
          <w:lang w:val="en-GB"/>
        </w:rPr>
        <w:t xml:space="preserve">is resolved, and </w:t>
      </w:r>
      <w:r w:rsidR="00664E3D">
        <w:rPr>
          <w:lang w:val="en-GB"/>
        </w:rPr>
        <w:t xml:space="preserve">there are </w:t>
      </w:r>
      <w:r w:rsidR="00A1490E">
        <w:t>many thousand independent</w:t>
      </w:r>
      <w:r w:rsidR="00A1490E" w:rsidRPr="00C92ED3">
        <w:t xml:space="preserve"> markets </w:t>
      </w:r>
      <w:r w:rsidR="00A1490E">
        <w:t xml:space="preserve">each year </w:t>
      </w:r>
      <w:r w:rsidR="00A1490E" w:rsidRPr="00C92ED3">
        <w:t>(</w:t>
      </w:r>
      <w:r w:rsidR="00A1490E">
        <w:t xml:space="preserve">Sauer, 1998; </w:t>
      </w:r>
      <w:r w:rsidR="00A1490E" w:rsidRPr="00C92ED3">
        <w:t>Vaughan Williams and Paton</w:t>
      </w:r>
      <w:r w:rsidR="00A1490E">
        <w:t>, 1997</w:t>
      </w:r>
      <w:r w:rsidR="005E03FF">
        <w:t>; Law and Peel, 2002</w:t>
      </w:r>
      <w:r w:rsidR="00A1490E">
        <w:t>).</w:t>
      </w:r>
    </w:p>
    <w:p w14:paraId="0A297C2F" w14:textId="56A20470" w:rsidR="00CD2734" w:rsidRPr="00CD2734" w:rsidRDefault="00C66690" w:rsidP="0033421A">
      <w:pPr>
        <w:spacing w:line="480" w:lineRule="auto"/>
        <w:rPr>
          <w:iCs/>
        </w:rPr>
        <w:sectPr w:rsidR="00CD2734" w:rsidRPr="00CD2734" w:rsidSect="00377C9B">
          <w:footerReference w:type="even" r:id="rId12"/>
          <w:footerReference w:type="default" r:id="rId13"/>
          <w:endnotePr>
            <w:numFmt w:val="decimal"/>
          </w:endnotePr>
          <w:type w:val="continuous"/>
          <w:pgSz w:w="11906" w:h="16838"/>
          <w:pgMar w:top="2160" w:right="1440" w:bottom="2160" w:left="1440" w:header="709" w:footer="709" w:gutter="0"/>
          <w:cols w:space="708"/>
          <w:docGrid w:linePitch="360"/>
        </w:sectPr>
      </w:pPr>
      <w:r>
        <w:rPr>
          <w:iCs/>
        </w:rPr>
        <w:tab/>
      </w:r>
      <w:r w:rsidR="00664E3D">
        <w:rPr>
          <w:iCs/>
        </w:rPr>
        <w:t>To</w:t>
      </w:r>
      <w:r w:rsidR="0050739D">
        <w:rPr>
          <w:iCs/>
        </w:rPr>
        <w:t xml:space="preserve"> measure informed trading, we employ </w:t>
      </w:r>
      <w:r w:rsidR="00A1490E" w:rsidRPr="00551878">
        <w:rPr>
          <w:iCs/>
        </w:rPr>
        <w:t>Shin</w:t>
      </w:r>
      <w:r w:rsidR="008600C6">
        <w:rPr>
          <w:iCs/>
        </w:rPr>
        <w:t xml:space="preserve"> </w:t>
      </w:r>
      <w:r w:rsidR="008600C6" w:rsidRPr="008600C6">
        <w:rPr>
          <w:i/>
          <w:iCs/>
        </w:rPr>
        <w:t>z</w:t>
      </w:r>
      <w:r w:rsidR="008600C6">
        <w:rPr>
          <w:iCs/>
        </w:rPr>
        <w:t xml:space="preserve"> (Shin, 1993)</w:t>
      </w:r>
      <w:r w:rsidR="0050739D">
        <w:rPr>
          <w:iCs/>
        </w:rPr>
        <w:t>, which</w:t>
      </w:r>
      <w:r w:rsidR="008600C6">
        <w:rPr>
          <w:iCs/>
        </w:rPr>
        <w:t xml:space="preserve"> measures </w:t>
      </w:r>
      <w:r w:rsidR="00A1490E" w:rsidRPr="00551878">
        <w:rPr>
          <w:iCs/>
        </w:rPr>
        <w:t xml:space="preserve">the proportion of market participation </w:t>
      </w:r>
      <w:r w:rsidR="00082762">
        <w:rPr>
          <w:iCs/>
        </w:rPr>
        <w:t>by</w:t>
      </w:r>
      <w:r w:rsidR="00A1490E" w:rsidRPr="00551878">
        <w:rPr>
          <w:iCs/>
        </w:rPr>
        <w:t xml:space="preserve"> trad</w:t>
      </w:r>
      <w:r w:rsidR="00A1490E">
        <w:rPr>
          <w:iCs/>
        </w:rPr>
        <w:t>ers with privileged information (not necessarily insider trading, e.g., Peirson and Smith, 2010).</w:t>
      </w:r>
      <w:r w:rsidR="00A1490E" w:rsidRPr="00551878">
        <w:rPr>
          <w:iCs/>
        </w:rPr>
        <w:t xml:space="preserve"> </w:t>
      </w:r>
      <w:r w:rsidR="00CB6250">
        <w:rPr>
          <w:iCs/>
        </w:rPr>
        <w:t>Shin’s</w:t>
      </w:r>
      <w:r w:rsidR="00A1490E" w:rsidRPr="00551878">
        <w:rPr>
          <w:iCs/>
        </w:rPr>
        <w:t xml:space="preserve"> </w:t>
      </w:r>
      <w:r w:rsidR="001C238A">
        <w:rPr>
          <w:iCs/>
        </w:rPr>
        <w:t xml:space="preserve">game-based </w:t>
      </w:r>
      <w:r w:rsidR="00A1490E" w:rsidRPr="00551878">
        <w:rPr>
          <w:iCs/>
        </w:rPr>
        <w:t>model</w:t>
      </w:r>
      <w:r w:rsidR="008600C6">
        <w:rPr>
          <w:iCs/>
        </w:rPr>
        <w:t xml:space="preserve"> </w:t>
      </w:r>
      <w:r w:rsidR="00600FE1">
        <w:rPr>
          <w:iCs/>
        </w:rPr>
        <w:t xml:space="preserve">of a horseracing market </w:t>
      </w:r>
      <w:r w:rsidR="001C238A">
        <w:rPr>
          <w:iCs/>
        </w:rPr>
        <w:t xml:space="preserve">consists </w:t>
      </w:r>
      <w:r w:rsidR="008600C6">
        <w:rPr>
          <w:iCs/>
        </w:rPr>
        <w:t>of an</w:t>
      </w:r>
      <w:r w:rsidR="00A1490E" w:rsidRPr="00551878">
        <w:rPr>
          <w:iCs/>
        </w:rPr>
        <w:t xml:space="preserve"> ex</w:t>
      </w:r>
      <w:r w:rsidR="00A1490E">
        <w:rPr>
          <w:iCs/>
        </w:rPr>
        <w:t xml:space="preserve">pected profit-maximizing </w:t>
      </w:r>
      <w:r w:rsidR="009D49E1">
        <w:rPr>
          <w:iCs/>
        </w:rPr>
        <w:t>book</w:t>
      </w:r>
      <w:r w:rsidR="003F513B">
        <w:rPr>
          <w:iCs/>
        </w:rPr>
        <w:t>maker</w:t>
      </w:r>
      <w:r w:rsidR="00A1490E" w:rsidRPr="00551878">
        <w:rPr>
          <w:iCs/>
        </w:rPr>
        <w:t xml:space="preserve"> and a randomly selected bettor who is either perfectly infor</w:t>
      </w:r>
      <w:r w:rsidR="00A1490E">
        <w:rPr>
          <w:iCs/>
        </w:rPr>
        <w:t xml:space="preserve">med (i.e., know </w:t>
      </w:r>
      <w:r w:rsidR="009D49E1">
        <w:rPr>
          <w:iCs/>
        </w:rPr>
        <w:t>the winning horse in advance</w:t>
      </w:r>
      <w:r w:rsidR="00A1490E" w:rsidRPr="00551878">
        <w:rPr>
          <w:iCs/>
        </w:rPr>
        <w:t xml:space="preserve">) or </w:t>
      </w:r>
      <w:r w:rsidR="007742F4">
        <w:rPr>
          <w:iCs/>
        </w:rPr>
        <w:t>a noise trader</w:t>
      </w:r>
      <w:r w:rsidR="00A1490E">
        <w:rPr>
          <w:iCs/>
        </w:rPr>
        <w:t>. The model predicts that</w:t>
      </w:r>
      <w:r w:rsidR="008600C6">
        <w:rPr>
          <w:iCs/>
        </w:rPr>
        <w:t xml:space="preserve"> the bookmaker will depress odds </w:t>
      </w:r>
      <w:r w:rsidR="00A1490E">
        <w:rPr>
          <w:iCs/>
        </w:rPr>
        <w:t>rel</w:t>
      </w:r>
      <w:r w:rsidR="008600C6">
        <w:rPr>
          <w:iCs/>
        </w:rPr>
        <w:t xml:space="preserve">atively more on longshots </w:t>
      </w:r>
      <w:r w:rsidR="007742F4">
        <w:rPr>
          <w:iCs/>
        </w:rPr>
        <w:t xml:space="preserve">as protection </w:t>
      </w:r>
      <w:r w:rsidR="00A1490E">
        <w:rPr>
          <w:iCs/>
        </w:rPr>
        <w:t>from the informed trader</w:t>
      </w:r>
      <w:r w:rsidR="009D49E1">
        <w:t xml:space="preserve">. Shin </w:t>
      </w:r>
      <w:r w:rsidR="009D49E1" w:rsidRPr="009D49E1">
        <w:rPr>
          <w:i/>
        </w:rPr>
        <w:t>z</w:t>
      </w:r>
      <w:r w:rsidR="009D49E1">
        <w:t xml:space="preserve"> </w:t>
      </w:r>
      <w:r w:rsidR="00A1490E" w:rsidRPr="009D49E1">
        <w:rPr>
          <w:iCs/>
        </w:rPr>
        <w:t>is</w:t>
      </w:r>
      <w:r w:rsidR="00A1490E" w:rsidRPr="00551878">
        <w:rPr>
          <w:iCs/>
        </w:rPr>
        <w:t xml:space="preserve"> </w:t>
      </w:r>
      <w:r w:rsidR="00A1490E">
        <w:rPr>
          <w:iCs/>
        </w:rPr>
        <w:t>derived</w:t>
      </w:r>
      <w:r w:rsidR="00A1490E" w:rsidRPr="00551878">
        <w:rPr>
          <w:iCs/>
        </w:rPr>
        <w:t xml:space="preserve"> from </w:t>
      </w:r>
      <w:r w:rsidR="00A1490E">
        <w:rPr>
          <w:iCs/>
        </w:rPr>
        <w:t>closing</w:t>
      </w:r>
      <w:r w:rsidR="00A1490E" w:rsidRPr="00551878">
        <w:rPr>
          <w:iCs/>
        </w:rPr>
        <w:t xml:space="preserve"> bookmaker prices and has </w:t>
      </w:r>
      <w:r w:rsidR="00A1490E">
        <w:rPr>
          <w:iCs/>
        </w:rPr>
        <w:lastRenderedPageBreak/>
        <w:t>been used extensively to i</w:t>
      </w:r>
      <w:r w:rsidR="00A1490E" w:rsidRPr="00551878">
        <w:rPr>
          <w:iCs/>
        </w:rPr>
        <w:t>nvestigate claims relating to</w:t>
      </w:r>
      <w:r w:rsidR="007742F4">
        <w:rPr>
          <w:iCs/>
        </w:rPr>
        <w:t xml:space="preserve"> </w:t>
      </w:r>
      <w:r w:rsidR="00A1490E" w:rsidRPr="00551878">
        <w:rPr>
          <w:iCs/>
        </w:rPr>
        <w:t>informed trading (e.g., Vaughan Williams and Paton 1997</w:t>
      </w:r>
      <w:r w:rsidR="00A1490E" w:rsidRPr="00551878">
        <w:rPr>
          <w:rFonts w:eastAsia="PMingLiU" w:hint="eastAsia"/>
          <w:iCs/>
          <w:lang w:eastAsia="zh-TW"/>
        </w:rPr>
        <w:t>;</w:t>
      </w:r>
      <w:r w:rsidR="00A1490E">
        <w:rPr>
          <w:iCs/>
        </w:rPr>
        <w:t xml:space="preserve"> Smith et al.,</w:t>
      </w:r>
      <w:r w:rsidR="00CD2734">
        <w:rPr>
          <w:iCs/>
        </w:rPr>
        <w:t xml:space="preserve"> 2006).</w:t>
      </w:r>
    </w:p>
    <w:p w14:paraId="15BF7B53" w14:textId="514EE307" w:rsidR="00962EB5" w:rsidRDefault="00CB6250" w:rsidP="002E1012">
      <w:pPr>
        <w:spacing w:line="480" w:lineRule="auto"/>
        <w:jc w:val="both"/>
      </w:pPr>
      <w:r>
        <w:rPr>
          <w:lang w:val="en-GB"/>
        </w:rPr>
        <w:t xml:space="preserve">The </w:t>
      </w:r>
      <w:r w:rsidR="00962EB5">
        <w:rPr>
          <w:lang w:val="en-GB"/>
        </w:rPr>
        <w:t>hypotheses</w:t>
      </w:r>
      <w:r w:rsidR="007742F4">
        <w:rPr>
          <w:lang w:val="en-GB"/>
        </w:rPr>
        <w:t xml:space="preserve"> </w:t>
      </w:r>
      <w:r>
        <w:rPr>
          <w:lang w:val="en-GB"/>
        </w:rPr>
        <w:t>we</w:t>
      </w:r>
      <w:r w:rsidR="007742F4">
        <w:rPr>
          <w:lang w:val="en-GB"/>
        </w:rPr>
        <w:t xml:space="preserve"> test are</w:t>
      </w:r>
      <w:r w:rsidR="00664E3D">
        <w:rPr>
          <w:lang w:val="en-GB"/>
        </w:rPr>
        <w:t xml:space="preserve"> that </w:t>
      </w:r>
      <w:r w:rsidR="00664E3D">
        <w:rPr>
          <w:i/>
          <w:iCs/>
        </w:rPr>
        <w:t>i</w:t>
      </w:r>
      <w:r w:rsidR="009D49E1">
        <w:rPr>
          <w:i/>
          <w:iCs/>
        </w:rPr>
        <w:t>nformed trading</w:t>
      </w:r>
      <w:r w:rsidR="009D49E1" w:rsidRPr="00C92ED3">
        <w:rPr>
          <w:i/>
          <w:iCs/>
        </w:rPr>
        <w:t xml:space="preserve"> is associated with</w:t>
      </w:r>
      <w:r w:rsidR="00664E3D">
        <w:rPr>
          <w:i/>
          <w:iCs/>
        </w:rPr>
        <w:t xml:space="preserve"> </w:t>
      </w:r>
      <w:r w:rsidR="002E1012">
        <w:rPr>
          <w:i/>
          <w:iCs/>
        </w:rPr>
        <w:t xml:space="preserve">H1: </w:t>
      </w:r>
      <w:r w:rsidR="00664E3D">
        <w:rPr>
          <w:i/>
          <w:iCs/>
        </w:rPr>
        <w:t>increased</w:t>
      </w:r>
      <w:r w:rsidR="002E1012">
        <w:rPr>
          <w:i/>
          <w:iCs/>
        </w:rPr>
        <w:t xml:space="preserve"> </w:t>
      </w:r>
      <w:r w:rsidR="009D49E1" w:rsidRPr="00C92ED3">
        <w:rPr>
          <w:i/>
          <w:iCs/>
        </w:rPr>
        <w:t xml:space="preserve">market </w:t>
      </w:r>
      <w:r w:rsidR="009D49E1">
        <w:rPr>
          <w:i/>
          <w:iCs/>
        </w:rPr>
        <w:t>efficiency</w:t>
      </w:r>
      <w:r w:rsidR="00197623">
        <w:rPr>
          <w:bCs/>
        </w:rPr>
        <w:t>, and</w:t>
      </w:r>
      <w:r w:rsidR="00664E3D">
        <w:rPr>
          <w:bCs/>
        </w:rPr>
        <w:t xml:space="preserve"> H2: </w:t>
      </w:r>
      <w:r w:rsidR="002E1012" w:rsidRPr="002E1012">
        <w:rPr>
          <w:bCs/>
          <w:i/>
          <w:iCs/>
        </w:rPr>
        <w:t>increased</w:t>
      </w:r>
      <w:r w:rsidR="002E1012">
        <w:rPr>
          <w:bCs/>
        </w:rPr>
        <w:t xml:space="preserve"> </w:t>
      </w:r>
      <w:r w:rsidR="00962EB5" w:rsidRPr="00C92ED3">
        <w:rPr>
          <w:i/>
          <w:iCs/>
        </w:rPr>
        <w:t>market price volatility</w:t>
      </w:r>
      <w:r w:rsidR="00197623" w:rsidRPr="00197623">
        <w:rPr>
          <w:iCs/>
        </w:rPr>
        <w:t>.</w:t>
      </w:r>
    </w:p>
    <w:p w14:paraId="664B88E3" w14:textId="77777777" w:rsidR="00962EB5" w:rsidRDefault="00962EB5" w:rsidP="00962EB5">
      <w:pPr>
        <w:spacing w:line="480" w:lineRule="auto"/>
        <w:jc w:val="both"/>
        <w:rPr>
          <w:lang w:val="en-GB"/>
        </w:rPr>
      </w:pPr>
    </w:p>
    <w:p w14:paraId="7ACF6C11" w14:textId="3D6C8E99" w:rsidR="00962EB5" w:rsidRPr="007B023F" w:rsidRDefault="00962EB5" w:rsidP="00962EB5">
      <w:pPr>
        <w:spacing w:line="480" w:lineRule="auto"/>
        <w:jc w:val="both"/>
        <w:rPr>
          <w:rFonts w:eastAsia="PMingLiU"/>
          <w:b/>
          <w:bCs/>
          <w:lang w:eastAsia="zh-TW"/>
        </w:rPr>
      </w:pPr>
      <w:r w:rsidRPr="007B023F">
        <w:rPr>
          <w:rFonts w:eastAsia="PMingLiU"/>
          <w:b/>
          <w:bCs/>
          <w:lang w:eastAsia="zh-TW"/>
        </w:rPr>
        <w:t xml:space="preserve">2. </w:t>
      </w:r>
      <w:r w:rsidR="00197623">
        <w:rPr>
          <w:rFonts w:eastAsia="PMingLiU"/>
          <w:b/>
          <w:bCs/>
          <w:lang w:eastAsia="zh-TW"/>
        </w:rPr>
        <w:t>Data and me</w:t>
      </w:r>
      <w:r>
        <w:rPr>
          <w:rFonts w:eastAsia="PMingLiU"/>
          <w:b/>
          <w:bCs/>
          <w:lang w:eastAsia="zh-TW"/>
        </w:rPr>
        <w:t>thod</w:t>
      </w:r>
    </w:p>
    <w:p w14:paraId="61C8DCEB" w14:textId="77777777" w:rsidR="00B10C12" w:rsidRDefault="00B10C12" w:rsidP="00962EB5">
      <w:pPr>
        <w:spacing w:line="480" w:lineRule="auto"/>
        <w:jc w:val="both"/>
        <w:rPr>
          <w:rFonts w:eastAsia="PMingLiU"/>
          <w:bCs/>
          <w:i/>
          <w:lang w:eastAsia="zh-TW"/>
        </w:rPr>
      </w:pPr>
    </w:p>
    <w:p w14:paraId="0271AED5" w14:textId="77777777" w:rsidR="00962EB5" w:rsidRPr="00551878" w:rsidRDefault="00962EB5" w:rsidP="00962EB5">
      <w:pPr>
        <w:spacing w:line="480" w:lineRule="auto"/>
        <w:jc w:val="both"/>
        <w:rPr>
          <w:rFonts w:eastAsia="PMingLiU"/>
          <w:bCs/>
          <w:i/>
          <w:lang w:eastAsia="zh-TW"/>
        </w:rPr>
      </w:pPr>
      <w:r w:rsidRPr="00551878">
        <w:rPr>
          <w:rFonts w:eastAsia="PMingLiU"/>
          <w:bCs/>
          <w:i/>
          <w:lang w:eastAsia="zh-TW"/>
        </w:rPr>
        <w:t>2.1 Data</w:t>
      </w:r>
    </w:p>
    <w:p w14:paraId="12DF55A4" w14:textId="283CDE10" w:rsidR="003F53DE" w:rsidRDefault="003F53DE" w:rsidP="00C01E51">
      <w:pPr>
        <w:spacing w:line="480" w:lineRule="auto"/>
        <w:jc w:val="both"/>
      </w:pPr>
      <w:r>
        <w:rPr>
          <w:bCs/>
        </w:rPr>
        <w:tab/>
      </w:r>
      <w:r>
        <w:t xml:space="preserve">The data are drawn from parallel bookmaker and exchange markets for 62,124 horses running in 6058 races in the UK and Ireland </w:t>
      </w:r>
      <w:r w:rsidR="00600FE1">
        <w:t xml:space="preserve">between </w:t>
      </w:r>
      <w:r>
        <w:t xml:space="preserve">August 2009 </w:t>
      </w:r>
      <w:r w:rsidR="00600FE1">
        <w:t xml:space="preserve">and </w:t>
      </w:r>
      <w:r>
        <w:t xml:space="preserve">August 2010. </w:t>
      </w:r>
      <w:r w:rsidRPr="003F53DE">
        <w:t xml:space="preserve">The bookmaker prices </w:t>
      </w:r>
      <w:r>
        <w:t xml:space="preserve">(used to estimate Shin </w:t>
      </w:r>
      <w:r w:rsidRPr="003F53DE">
        <w:rPr>
          <w:i/>
        </w:rPr>
        <w:t>z</w:t>
      </w:r>
      <w:r w:rsidR="00233ADB">
        <w:t xml:space="preserve">) </w:t>
      </w:r>
      <w:r w:rsidRPr="003F53DE">
        <w:t xml:space="preserve">are </w:t>
      </w:r>
      <w:r>
        <w:t xml:space="preserve">the mean closing prices offered by a </w:t>
      </w:r>
      <w:r w:rsidR="00681DF0">
        <w:t xml:space="preserve">broad </w:t>
      </w:r>
      <w:r>
        <w:t>cross-section of bookmakers, while the exchange prices are a time-series of the best available prices</w:t>
      </w:r>
      <w:r w:rsidR="00190E0C">
        <w:t xml:space="preserve"> from the largest exchange market (</w:t>
      </w:r>
      <w:proofErr w:type="spellStart"/>
      <w:r w:rsidR="00190E0C">
        <w:t>Betfair</w:t>
      </w:r>
      <w:proofErr w:type="spellEnd"/>
      <w:r w:rsidR="00190E0C">
        <w:t>)</w:t>
      </w:r>
      <w:r>
        <w:t xml:space="preserve"> at </w:t>
      </w:r>
      <w:r w:rsidRPr="00C92ED3">
        <w:t xml:space="preserve">1-minute intervals throughout the </w:t>
      </w:r>
      <w:r>
        <w:t xml:space="preserve">last 30 minutes </w:t>
      </w:r>
      <w:r w:rsidRPr="00C92ED3">
        <w:t xml:space="preserve">of </w:t>
      </w:r>
      <w:r>
        <w:t>each</w:t>
      </w:r>
      <w:r w:rsidRPr="00C92ED3">
        <w:t xml:space="preserve"> market</w:t>
      </w:r>
      <w:r w:rsidR="00190E0C">
        <w:t xml:space="preserve"> (</w:t>
      </w:r>
      <w:r>
        <w:t>when volumes are greatest)</w:t>
      </w:r>
      <w:r w:rsidR="00C01E51">
        <w:t>:</w:t>
      </w:r>
      <w:r>
        <w:t xml:space="preserve"> 1.8 million data points</w:t>
      </w:r>
      <w:r w:rsidR="007742F4">
        <w:t>.</w:t>
      </w:r>
    </w:p>
    <w:p w14:paraId="714424C3" w14:textId="792B49F0" w:rsidR="00962EB5" w:rsidRPr="00C92ED3" w:rsidRDefault="00962EB5" w:rsidP="0033421A">
      <w:pPr>
        <w:spacing w:line="480" w:lineRule="auto"/>
        <w:jc w:val="both"/>
        <w:rPr>
          <w:bCs/>
        </w:rPr>
      </w:pPr>
      <w:r w:rsidRPr="00C92ED3">
        <w:rPr>
          <w:bCs/>
        </w:rPr>
        <w:tab/>
        <w:t>We consider ‘win’ markets, in which bettors must predict which horse will win (or lose). The odds</w:t>
      </w:r>
      <w:r w:rsidR="00A73FBB"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Cs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 w:rsidRPr="00C92ED3">
        <w:rPr>
          <w:bCs/>
        </w:rPr>
        <w:t xml:space="preserve"> for horse </w:t>
      </w:r>
      <w:r w:rsidRPr="00C92ED3">
        <w:rPr>
          <w:bCs/>
          <w:i/>
          <w:iCs/>
        </w:rPr>
        <w:t>i</w:t>
      </w:r>
      <w:r w:rsidRPr="00C92ED3">
        <w:rPr>
          <w:bCs/>
        </w:rPr>
        <w:t xml:space="preserve"> in race </w:t>
      </w:r>
      <w:r w:rsidRPr="00C92ED3">
        <w:rPr>
          <w:bCs/>
          <w:i/>
          <w:iCs/>
        </w:rPr>
        <w:t>j</w:t>
      </w:r>
      <w:r w:rsidR="00A73FBB">
        <w:rPr>
          <w:bCs/>
        </w:rPr>
        <w:t xml:space="preserve"> is</w:t>
      </w:r>
      <w:r w:rsidRPr="00C92ED3">
        <w:rPr>
          <w:bCs/>
        </w:rPr>
        <w:t xml:space="preserve"> the return to a </w:t>
      </w:r>
      <w:r>
        <w:rPr>
          <w:bCs/>
        </w:rPr>
        <w:t>$</w:t>
      </w:r>
      <w:r w:rsidRPr="00C92ED3">
        <w:rPr>
          <w:bCs/>
        </w:rPr>
        <w:t xml:space="preserve">1 winning bet (e.g., a winning </w:t>
      </w:r>
      <w:r>
        <w:rPr>
          <w:bCs/>
        </w:rPr>
        <w:t>$</w:t>
      </w:r>
      <w:r w:rsidRPr="00C92ED3">
        <w:rPr>
          <w:bCs/>
        </w:rPr>
        <w:t xml:space="preserve">1 bet with odds of 3.00 returns </w:t>
      </w:r>
      <w:r>
        <w:rPr>
          <w:bCs/>
        </w:rPr>
        <w:t>$</w:t>
      </w:r>
      <w:r w:rsidRPr="00C92ED3">
        <w:rPr>
          <w:bCs/>
        </w:rPr>
        <w:t>3</w:t>
      </w:r>
      <w:r w:rsidR="00082762">
        <w:rPr>
          <w:bCs/>
        </w:rPr>
        <w:t xml:space="preserve"> (</w:t>
      </w:r>
      <w:r w:rsidRPr="00C92ED3">
        <w:rPr>
          <w:bCs/>
        </w:rPr>
        <w:t xml:space="preserve">a profit of </w:t>
      </w:r>
      <w:r>
        <w:rPr>
          <w:bCs/>
        </w:rPr>
        <w:t>$</w:t>
      </w:r>
      <w:r w:rsidRPr="00C92ED3">
        <w:rPr>
          <w:bCs/>
        </w:rPr>
        <w:t>2</w:t>
      </w:r>
      <w:r>
        <w:rPr>
          <w:bCs/>
        </w:rPr>
        <w:t>)</w:t>
      </w:r>
      <w:r w:rsidR="00082762">
        <w:rPr>
          <w:bCs/>
        </w:rPr>
        <w:t>)</w:t>
      </w:r>
      <w:r w:rsidRPr="00C92ED3">
        <w:rPr>
          <w:bCs/>
        </w:rPr>
        <w:t xml:space="preserve">. </w:t>
      </w:r>
      <w:proofErr w:type="spellStart"/>
      <w:r w:rsidRPr="00C92ED3">
        <w:rPr>
          <w:bCs/>
        </w:rPr>
        <w:t>Betfair</w:t>
      </w:r>
      <w:proofErr w:type="spellEnd"/>
      <w:r w:rsidRPr="00C92ED3">
        <w:rPr>
          <w:bCs/>
        </w:rPr>
        <w:t xml:space="preserve"> take commission of 5% </w:t>
      </w:r>
      <w:r w:rsidR="00600FE1">
        <w:rPr>
          <w:bCs/>
        </w:rPr>
        <w:t xml:space="preserve">from </w:t>
      </w:r>
      <w:r w:rsidR="00AB46D8">
        <w:rPr>
          <w:bCs/>
        </w:rPr>
        <w:t>winnings, so effective odds a</w:t>
      </w:r>
      <w:r w:rsidRPr="00C92ED3">
        <w:rPr>
          <w:bCs/>
        </w:rPr>
        <w:t xml:space="preserve">re given </w:t>
      </w:r>
      <w:proofErr w:type="gramStart"/>
      <w:r w:rsidRPr="00C92ED3">
        <w:rPr>
          <w:bCs/>
        </w:rPr>
        <w:t>by</w:t>
      </w:r>
      <w:r>
        <w:rPr>
          <w:bCs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=1+0.95(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Cs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-1)</m:t>
        </m:r>
      </m:oMath>
      <w:r w:rsidR="008018C0">
        <w:rPr>
          <w:bCs/>
        </w:rPr>
        <w:t xml:space="preserve">. </w:t>
      </w:r>
      <w:r w:rsidRPr="00C92ED3">
        <w:rPr>
          <w:bCs/>
        </w:rPr>
        <w:t>The odds-implied probability</w:t>
      </w:r>
      <w:r w:rsidRPr="00C92ED3">
        <w:rPr>
          <w:bCs/>
          <w:i/>
          <w:iCs/>
        </w:rPr>
        <w:t xml:space="preserve"> </w:t>
      </w:r>
      <w:proofErr w:type="spellStart"/>
      <w:r w:rsidRPr="00C92ED3">
        <w:rPr>
          <w:bCs/>
          <w:i/>
          <w:iCs/>
        </w:rPr>
        <w:t>q</w:t>
      </w:r>
      <w:r w:rsidRPr="00C92ED3">
        <w:rPr>
          <w:bCs/>
          <w:i/>
          <w:iCs/>
          <w:vertAlign w:val="subscript"/>
        </w:rPr>
        <w:t>ij</w:t>
      </w:r>
      <w:proofErr w:type="spellEnd"/>
      <w:r w:rsidRPr="00C92ED3">
        <w:rPr>
          <w:bCs/>
        </w:rPr>
        <w:t xml:space="preserve"> of horse </w:t>
      </w:r>
      <w:r w:rsidRPr="00C92ED3">
        <w:rPr>
          <w:bCs/>
          <w:i/>
          <w:iCs/>
        </w:rPr>
        <w:t>i</w:t>
      </w:r>
      <w:r w:rsidRPr="00C92ED3">
        <w:rPr>
          <w:bCs/>
        </w:rPr>
        <w:t xml:space="preserve"> winning race </w:t>
      </w:r>
      <w:r w:rsidRPr="00C92ED3">
        <w:rPr>
          <w:bCs/>
          <w:i/>
          <w:iCs/>
        </w:rPr>
        <w:t>j</w:t>
      </w:r>
      <w:r w:rsidRPr="00C92ED3">
        <w:rPr>
          <w:bCs/>
        </w:rPr>
        <w:t xml:space="preserve">, with </w:t>
      </w:r>
      <w:proofErr w:type="spellStart"/>
      <w:proofErr w:type="gramStart"/>
      <w:r w:rsidRPr="00C92ED3">
        <w:rPr>
          <w:bCs/>
          <w:i/>
          <w:iCs/>
        </w:rPr>
        <w:t>n</w:t>
      </w:r>
      <w:r w:rsidRPr="00C92ED3">
        <w:rPr>
          <w:bCs/>
          <w:i/>
          <w:iCs/>
          <w:vertAlign w:val="subscript"/>
        </w:rPr>
        <w:t>j</w:t>
      </w:r>
      <w:proofErr w:type="spellEnd"/>
      <w:proofErr w:type="gramEnd"/>
      <w:r w:rsidRPr="00C92ED3">
        <w:rPr>
          <w:bCs/>
        </w:rPr>
        <w:t xml:space="preserve"> runners, </w:t>
      </w:r>
      <w:r w:rsidR="0033421A">
        <w:rPr>
          <w:bCs/>
        </w:rPr>
        <w:t xml:space="preserve">is </w:t>
      </w:r>
      <w:r w:rsidRPr="00C92ED3">
        <w:rPr>
          <w:bCs/>
        </w:rPr>
        <w:t>given by</w:t>
      </w:r>
    </w:p>
    <w:p w14:paraId="5E433EF4" w14:textId="1D10B1CA" w:rsidR="00962EB5" w:rsidRPr="00C92ED3" w:rsidRDefault="00962EB5" w:rsidP="00962EB5">
      <w:pPr>
        <w:spacing w:line="480" w:lineRule="auto"/>
        <w:jc w:val="both"/>
        <w:rPr>
          <w:bCs/>
        </w:rPr>
      </w:pPr>
      <w:r w:rsidRPr="00C92ED3">
        <w:rPr>
          <w:bCs/>
        </w:rPr>
        <w:t>(1)</w:t>
      </w:r>
      <w:r w:rsidRPr="00C92ED3">
        <w:rPr>
          <w:bCs/>
        </w:rPr>
        <w:tab/>
      </w:r>
      <w:r w:rsidRPr="00C92ED3">
        <w:rPr>
          <w:bCs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(1/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ij</m:t>
                </m:r>
              </m:sub>
            </m:sSub>
            <m:r>
              <w:rPr>
                <w:rFonts w:ascii="Cambria Math" w:hAnsi="Cambria Math"/>
              </w:rPr>
              <m:t>)</m:t>
            </m:r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bCs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k=1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</m:sup>
              <m:e>
                <m:r>
                  <w:rPr>
                    <w:rFonts w:ascii="Cambria Math" w:hAnsi="Cambria Math"/>
                  </w:rPr>
                  <m:t>(1/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kj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Pr="00C92ED3">
        <w:rPr>
          <w:bCs/>
        </w:rPr>
        <w:t>.</w:t>
      </w:r>
    </w:p>
    <w:p w14:paraId="54D3090E" w14:textId="1CC54077" w:rsidR="00962EB5" w:rsidRDefault="00962EB5" w:rsidP="00962EB5">
      <w:pPr>
        <w:spacing w:line="480" w:lineRule="auto"/>
        <w:jc w:val="both"/>
        <w:rPr>
          <w:bCs/>
        </w:rPr>
      </w:pPr>
      <w:r>
        <w:rPr>
          <w:bCs/>
        </w:rPr>
        <w:t>E</w:t>
      </w:r>
      <w:r w:rsidRPr="00C92ED3">
        <w:rPr>
          <w:bCs/>
        </w:rPr>
        <w:t xml:space="preserve">ach race </w:t>
      </w:r>
      <w:r w:rsidRPr="00C92ED3">
        <w:rPr>
          <w:bCs/>
          <w:i/>
          <w:iCs/>
        </w:rPr>
        <w:t>j</w:t>
      </w:r>
      <w:r w:rsidRPr="00C92ED3">
        <w:rPr>
          <w:bCs/>
        </w:rPr>
        <w:t xml:space="preserve"> results in a vector of </w:t>
      </w:r>
      <w:proofErr w:type="gramStart"/>
      <w:r w:rsidRPr="00C92ED3">
        <w:rPr>
          <w:bCs/>
        </w:rPr>
        <w:t>outcomes</w:t>
      </w:r>
      <w:r>
        <w:rPr>
          <w:bCs/>
        </w:rPr>
        <w:t xml:space="preserve"> </w:t>
      </w:r>
      <w:proofErr w:type="gramEnd"/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1j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2j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C92ED3">
        <w:rPr>
          <w:bCs/>
        </w:rPr>
        <w:t xml:space="preserve">, where </w:t>
      </w:r>
      <w:proofErr w:type="spellStart"/>
      <w:r w:rsidRPr="00C92ED3">
        <w:rPr>
          <w:bCs/>
          <w:i/>
          <w:iCs/>
        </w:rPr>
        <w:t>y</w:t>
      </w:r>
      <w:r w:rsidRPr="00C92ED3">
        <w:rPr>
          <w:bCs/>
          <w:i/>
          <w:iCs/>
          <w:vertAlign w:val="subscript"/>
        </w:rPr>
        <w:t>hj</w:t>
      </w:r>
      <w:proofErr w:type="spellEnd"/>
      <w:r w:rsidRPr="00C92ED3">
        <w:rPr>
          <w:bCs/>
        </w:rPr>
        <w:t xml:space="preserve"> = 1 for the winning horse </w:t>
      </w:r>
      <w:r w:rsidRPr="00C92ED3">
        <w:rPr>
          <w:bCs/>
          <w:i/>
          <w:iCs/>
        </w:rPr>
        <w:t>h</w:t>
      </w:r>
      <w:r w:rsidRPr="00C92ED3">
        <w:rPr>
          <w:bCs/>
        </w:rPr>
        <w:t xml:space="preserve"> and </w:t>
      </w:r>
      <w:proofErr w:type="spellStart"/>
      <w:r w:rsidRPr="00C92ED3">
        <w:rPr>
          <w:bCs/>
          <w:i/>
          <w:iCs/>
        </w:rPr>
        <w:t>y</w:t>
      </w:r>
      <w:r w:rsidRPr="00C92ED3">
        <w:rPr>
          <w:bCs/>
          <w:i/>
          <w:iCs/>
          <w:vertAlign w:val="subscript"/>
        </w:rPr>
        <w:t>ij</w:t>
      </w:r>
      <w:proofErr w:type="spellEnd"/>
      <w:r w:rsidRPr="00C92ED3">
        <w:rPr>
          <w:bCs/>
        </w:rPr>
        <w:t xml:space="preserve"> = 0 otherwise. If markets are efficient, then, over many races, odds-implied proba</w:t>
      </w:r>
      <w:r w:rsidR="003A06E4">
        <w:rPr>
          <w:bCs/>
        </w:rPr>
        <w:t>bilities should approximate realized race results</w:t>
      </w:r>
      <w:r w:rsidRPr="00C92ED3">
        <w:rPr>
          <w:bCs/>
        </w:rPr>
        <w:t>.</w:t>
      </w:r>
    </w:p>
    <w:p w14:paraId="23C6AF56" w14:textId="77777777" w:rsidR="0086476C" w:rsidRDefault="0086476C" w:rsidP="00962EB5">
      <w:pPr>
        <w:spacing w:line="480" w:lineRule="auto"/>
        <w:jc w:val="both"/>
        <w:rPr>
          <w:i/>
        </w:rPr>
      </w:pPr>
    </w:p>
    <w:p w14:paraId="48D815D3" w14:textId="120ED961" w:rsidR="00962EB5" w:rsidRPr="00551878" w:rsidRDefault="00962EB5" w:rsidP="00962EB5">
      <w:pPr>
        <w:spacing w:line="480" w:lineRule="auto"/>
        <w:jc w:val="both"/>
        <w:rPr>
          <w:rFonts w:eastAsia="PMingLiU"/>
          <w:i/>
          <w:lang w:eastAsia="zh-TW"/>
        </w:rPr>
      </w:pPr>
      <w:r w:rsidRPr="00551878">
        <w:rPr>
          <w:i/>
        </w:rPr>
        <w:t>2.</w:t>
      </w:r>
      <w:r w:rsidR="0086476C">
        <w:rPr>
          <w:i/>
        </w:rPr>
        <w:t>2</w:t>
      </w:r>
      <w:r w:rsidR="00BB6A99">
        <w:rPr>
          <w:i/>
        </w:rPr>
        <w:t xml:space="preserve"> </w:t>
      </w:r>
      <w:r w:rsidR="009D49E1">
        <w:rPr>
          <w:i/>
        </w:rPr>
        <w:t>The conditional logit model and efficiency</w:t>
      </w:r>
    </w:p>
    <w:p w14:paraId="3894CBE8" w14:textId="77777777" w:rsidR="00A04743" w:rsidRDefault="00A04743" w:rsidP="00B10C12">
      <w:pPr>
        <w:spacing w:line="480" w:lineRule="auto"/>
        <w:jc w:val="both"/>
        <w:rPr>
          <w:iCs/>
        </w:rPr>
      </w:pPr>
    </w:p>
    <w:p w14:paraId="4D4E5D4A" w14:textId="037527E2" w:rsidR="0086476C" w:rsidRPr="00BC69D7" w:rsidRDefault="00962EB5" w:rsidP="00A10DD5">
      <w:pPr>
        <w:spacing w:line="480" w:lineRule="auto"/>
        <w:jc w:val="both"/>
      </w:pPr>
      <w:r w:rsidRPr="00C92ED3">
        <w:tab/>
      </w:r>
      <w:r w:rsidR="009D49E1">
        <w:t xml:space="preserve">We estimate Shin </w:t>
      </w:r>
      <w:r w:rsidR="009D49E1" w:rsidRPr="009D49E1">
        <w:rPr>
          <w:i/>
        </w:rPr>
        <w:t>z</w:t>
      </w:r>
      <w:r w:rsidR="009D49E1">
        <w:t xml:space="preserve"> using </w:t>
      </w:r>
      <w:r w:rsidR="00A76764">
        <w:t>Law and Peel’s (2002)</w:t>
      </w:r>
      <w:r w:rsidR="009D49E1">
        <w:t xml:space="preserve"> iterative method </w:t>
      </w:r>
      <w:r w:rsidR="00600FE1">
        <w:t>based on closing bookmaker odds. We assume that, given the</w:t>
      </w:r>
      <w:r w:rsidR="005D0F58">
        <w:t>ir</w:t>
      </w:r>
      <w:r w:rsidR="00600FE1">
        <w:t xml:space="preserve"> </w:t>
      </w:r>
      <w:r w:rsidR="00A76764">
        <w:t>parallel nature</w:t>
      </w:r>
      <w:r w:rsidR="009D49E1">
        <w:t xml:space="preserve">, </w:t>
      </w:r>
      <w:r w:rsidR="00A76764">
        <w:t>higher levels of informed activity in the bookmaker market are reflected in the exchange market. We</w:t>
      </w:r>
      <w:r w:rsidR="00A76764" w:rsidRPr="00C92ED3">
        <w:t xml:space="preserve"> compare </w:t>
      </w:r>
      <w:r w:rsidR="00A76764">
        <w:t xml:space="preserve">the </w:t>
      </w:r>
      <w:r w:rsidR="00A76764" w:rsidRPr="00C92ED3">
        <w:t xml:space="preserve">efficiency of </w:t>
      </w:r>
      <w:r w:rsidR="00A76764">
        <w:t>final exchange prices</w:t>
      </w:r>
      <w:r w:rsidR="00A76764" w:rsidRPr="00C92ED3">
        <w:t xml:space="preserve"> </w:t>
      </w:r>
      <w:r w:rsidR="00A76764">
        <w:t xml:space="preserve">in </w:t>
      </w:r>
      <w:r w:rsidR="00A73FBB">
        <w:t>races with above</w:t>
      </w:r>
      <w:r w:rsidR="00A76764">
        <w:t xml:space="preserve"> </w:t>
      </w:r>
      <w:r>
        <w:t xml:space="preserve">and </w:t>
      </w:r>
      <w:r w:rsidR="00A73FBB">
        <w:t>below</w:t>
      </w:r>
      <w:r w:rsidRPr="00C92ED3">
        <w:t>-median</w:t>
      </w:r>
      <w:r w:rsidR="00A10DD5">
        <w:t xml:space="preserve"> </w:t>
      </w:r>
      <w:r w:rsidRPr="00C92ED3">
        <w:t xml:space="preserve">Shin </w:t>
      </w:r>
      <w:r w:rsidRPr="00C92ED3">
        <w:rPr>
          <w:i/>
          <w:iCs/>
        </w:rPr>
        <w:t>z</w:t>
      </w:r>
      <w:r w:rsidR="00A73FBB">
        <w:t xml:space="preserve"> (3</w:t>
      </w:r>
      <w:r w:rsidRPr="00C92ED3">
        <w:t>029 races in each</w:t>
      </w:r>
      <w:r w:rsidR="00A10DD5">
        <w:t xml:space="preserve"> of the ‘informed’ and ‘uninformed’</w:t>
      </w:r>
      <w:r w:rsidRPr="00C92ED3">
        <w:t xml:space="preserve"> set</w:t>
      </w:r>
      <w:r w:rsidR="00A10DD5">
        <w:t>s</w:t>
      </w:r>
      <w:r w:rsidRPr="00C92ED3">
        <w:t>)</w:t>
      </w:r>
      <w:r>
        <w:t>. Specifically</w:t>
      </w:r>
      <w:r w:rsidRPr="00C92ED3">
        <w:t>, we estimate singl</w:t>
      </w:r>
      <w:r w:rsidR="0086476C">
        <w:t>e-variable conditional logit (CL)</w:t>
      </w:r>
      <w:r w:rsidRPr="00C92ED3">
        <w:t xml:space="preserve"> models</w:t>
      </w:r>
      <w:r w:rsidR="0086476C">
        <w:t xml:space="preserve"> (McFadden, 1974)</w:t>
      </w:r>
      <w:r w:rsidRPr="00C92ED3">
        <w:t xml:space="preserve"> on </w:t>
      </w:r>
      <w:r w:rsidR="00EC0EB8">
        <w:t xml:space="preserve">each </w:t>
      </w:r>
      <w:r w:rsidR="00083682">
        <w:t>set of races</w:t>
      </w:r>
      <w:r w:rsidR="00EC0EB8">
        <w:t>, w</w:t>
      </w:r>
      <w:r w:rsidR="00BC69D7">
        <w:t xml:space="preserve">here the probability of competitor </w:t>
      </w:r>
      <w:r w:rsidR="00BC69D7">
        <w:rPr>
          <w:i/>
        </w:rPr>
        <w:t>i</w:t>
      </w:r>
      <w:r w:rsidR="00BC69D7">
        <w:t xml:space="preserve"> winning race </w:t>
      </w:r>
      <w:r w:rsidR="00BC69D7" w:rsidRPr="00BC69D7">
        <w:rPr>
          <w:i/>
        </w:rPr>
        <w:t>j</w:t>
      </w:r>
      <w:r w:rsidR="008018C0">
        <w:t xml:space="preserve"> is given by</w:t>
      </w:r>
    </w:p>
    <w:p w14:paraId="617974C0" w14:textId="742B6D18" w:rsidR="0086476C" w:rsidRPr="00C92ED3" w:rsidRDefault="00BC69D7" w:rsidP="0086476C">
      <w:pPr>
        <w:spacing w:line="480" w:lineRule="auto"/>
        <w:jc w:val="both"/>
      </w:pPr>
      <w:r w:rsidRPr="00C92ED3">
        <w:t xml:space="preserve"> </w:t>
      </w:r>
      <w:r>
        <w:t>(2</w:t>
      </w:r>
      <w:r w:rsidR="0086476C" w:rsidRPr="00C92ED3">
        <w:t>)</w:t>
      </w:r>
      <w:r w:rsidR="0086476C" w:rsidRPr="00C92ED3">
        <w:tab/>
      </w:r>
      <w:r w:rsidR="0086476C" w:rsidRPr="00C92ED3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exp⁡</m:t>
            </m:r>
            <m:r>
              <w:rPr>
                <w:rFonts w:ascii="Cambria Math" w:hAnsi="Cambria Math"/>
              </w:rPr>
              <m:t>(β</m:t>
            </m:r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ij</m:t>
                </m:r>
              </m:sub>
            </m:sSub>
            <m:r>
              <w:rPr>
                <w:rFonts w:ascii="Cambria Math" w:hAnsi="Cambria Math"/>
              </w:rPr>
              <m:t>)</m:t>
            </m:r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k=1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exp⁡</m:t>
                </m:r>
                <m:r>
                  <w:rPr>
                    <w:rFonts w:ascii="Cambria Math" w:hAnsi="Cambria Math"/>
                  </w:rPr>
                  <m:t>(β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kj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</m:nary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ij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β</m:t>
                </m:r>
              </m:sup>
            </m:sSup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k=1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</m:sup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kj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β</m:t>
                    </m:r>
                  </m:sup>
                </m:sSup>
              </m:e>
            </m:nary>
          </m:den>
        </m:f>
      </m:oMath>
      <w:r>
        <w:t>,</w:t>
      </w:r>
    </w:p>
    <w:p w14:paraId="0B80D7F9" w14:textId="4BAB0587" w:rsidR="0086476C" w:rsidRPr="00C92ED3" w:rsidRDefault="0033421A" w:rsidP="001121E3">
      <w:pPr>
        <w:spacing w:line="480" w:lineRule="auto"/>
        <w:jc w:val="both"/>
      </w:pPr>
      <w:r>
        <w:t>T</w:t>
      </w:r>
      <w:r w:rsidR="0086476C" w:rsidRPr="00BC69D7">
        <w:t>he</w:t>
      </w:r>
      <w:r w:rsidR="00BC69D7">
        <w:t xml:space="preserve"> coefficient</w:t>
      </w:r>
      <w:r w:rsidR="0086476C" w:rsidRPr="00C92ED3">
        <w:t xml:space="preserve"> </w:t>
      </w:r>
      <w:r w:rsidR="0086476C" w:rsidRPr="00551878">
        <w:rPr>
          <w:i/>
        </w:rPr>
        <w:t>β</w:t>
      </w:r>
      <w:r w:rsidR="0086476C" w:rsidRPr="00C92ED3">
        <w:t xml:space="preserve"> </w:t>
      </w:r>
      <w:r w:rsidR="00BC69D7">
        <w:t>is</w:t>
      </w:r>
      <w:r w:rsidR="00EC0EB8">
        <w:t xml:space="preserve"> estimated by maximum likelihood:</w:t>
      </w:r>
    </w:p>
    <w:p w14:paraId="68EA2659" w14:textId="11A51B1B" w:rsidR="0086476C" w:rsidRPr="00C92ED3" w:rsidRDefault="0086476C" w:rsidP="0086476C">
      <w:pPr>
        <w:spacing w:line="480" w:lineRule="auto"/>
        <w:jc w:val="both"/>
      </w:pPr>
      <w:r w:rsidRPr="00C92ED3">
        <w:t>(</w:t>
      </w:r>
      <w:r w:rsidR="00BC69D7">
        <w:t>3</w:t>
      </w:r>
      <w:r w:rsidRPr="00C92ED3">
        <w:t>)</w:t>
      </w:r>
      <w:r w:rsidRPr="00C92ED3">
        <w:tab/>
      </w:r>
      <w:r w:rsidRPr="00C92ED3">
        <w:tab/>
      </w:r>
      <m:oMath>
        <m:r>
          <w:rPr>
            <w:rFonts w:ascii="Cambria Math" w:hAnsi="Cambria Math"/>
          </w:rPr>
          <m:t>lnL=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ij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ij</m:t>
                        </m:r>
                      </m:sub>
                    </m:sSub>
                  </m:e>
                </m:func>
              </m:e>
            </m:nary>
          </m:e>
        </m:nary>
      </m:oMath>
      <w:r w:rsidR="00A73FBB">
        <w:t>.</w:t>
      </w:r>
    </w:p>
    <w:p w14:paraId="79CE1BB1" w14:textId="67DFBEF2" w:rsidR="0086476C" w:rsidRPr="00C92ED3" w:rsidRDefault="00EC0EB8" w:rsidP="0086476C">
      <w:pPr>
        <w:spacing w:line="480" w:lineRule="auto"/>
        <w:jc w:val="both"/>
      </w:pPr>
      <w:r>
        <w:t>H</w:t>
      </w:r>
      <w:r w:rsidR="0086476C" w:rsidRPr="00C92ED3">
        <w:t>ere</w:t>
      </w:r>
      <w:r>
        <w:t>,</w:t>
      </w:r>
      <w:r w:rsidR="0086476C" w:rsidRPr="00C92ED3">
        <w:t xml:space="preserve"> </w:t>
      </w:r>
      <w:proofErr w:type="spellStart"/>
      <w:r w:rsidR="0086476C" w:rsidRPr="00C92ED3">
        <w:rPr>
          <w:i/>
          <w:iCs/>
        </w:rPr>
        <w:t>y</w:t>
      </w:r>
      <w:r w:rsidR="0086476C" w:rsidRPr="00C92ED3">
        <w:rPr>
          <w:i/>
          <w:iCs/>
          <w:vertAlign w:val="subscript"/>
        </w:rPr>
        <w:t>ij</w:t>
      </w:r>
      <w:proofErr w:type="spellEnd"/>
      <w:r w:rsidR="0086476C" w:rsidRPr="00C92ED3">
        <w:t xml:space="preserve"> = 1 if horse</w:t>
      </w:r>
      <w:r w:rsidR="0086476C" w:rsidRPr="00C92ED3">
        <w:rPr>
          <w:i/>
          <w:iCs/>
        </w:rPr>
        <w:t xml:space="preserve"> i</w:t>
      </w:r>
      <w:r w:rsidR="0086476C" w:rsidRPr="00C92ED3">
        <w:t xml:space="preserve"> won race </w:t>
      </w:r>
      <w:r w:rsidR="0086476C" w:rsidRPr="00C92ED3">
        <w:rPr>
          <w:i/>
          <w:iCs/>
        </w:rPr>
        <w:t xml:space="preserve">j </w:t>
      </w:r>
      <w:r w:rsidR="0086476C" w:rsidRPr="00C92ED3">
        <w:t xml:space="preserve">and </w:t>
      </w:r>
      <w:proofErr w:type="spellStart"/>
      <w:r w:rsidR="0086476C" w:rsidRPr="00C92ED3">
        <w:rPr>
          <w:i/>
          <w:iCs/>
        </w:rPr>
        <w:t>y</w:t>
      </w:r>
      <w:r w:rsidR="0086476C" w:rsidRPr="00C92ED3">
        <w:rPr>
          <w:i/>
          <w:iCs/>
          <w:vertAlign w:val="subscript"/>
        </w:rPr>
        <w:t>ij</w:t>
      </w:r>
      <w:proofErr w:type="spellEnd"/>
      <w:r w:rsidR="0086476C" w:rsidRPr="00C92ED3">
        <w:t xml:space="preserve"> = 0 otherwise, and </w:t>
      </w:r>
      <w:r w:rsidR="0086476C" w:rsidRPr="00C92ED3">
        <w:rPr>
          <w:i/>
          <w:iCs/>
        </w:rPr>
        <w:t>N</w:t>
      </w:r>
      <w:r w:rsidR="0086476C" w:rsidRPr="00C92ED3">
        <w:t xml:space="preserve"> is the total number of races in the dataset. </w:t>
      </w:r>
      <w:r w:rsidR="0086476C">
        <w:t>A</w:t>
      </w:r>
      <w:r w:rsidR="0086476C" w:rsidRPr="00C92ED3">
        <w:t>n appropriate measure of the predictive accuracy of the model</w:t>
      </w:r>
      <w:r w:rsidR="008018C0">
        <w:t xml:space="preserve">, and therefore </w:t>
      </w:r>
      <w:r w:rsidR="008018C0" w:rsidRPr="002E1012">
        <w:t>market efficiency,</w:t>
      </w:r>
      <w:r w:rsidR="0086476C" w:rsidRPr="002E1012">
        <w:t xml:space="preserve"> is </w:t>
      </w:r>
      <w:proofErr w:type="spellStart"/>
      <w:r w:rsidR="0086476C" w:rsidRPr="002E1012">
        <w:t>Maddala’s</w:t>
      </w:r>
      <w:proofErr w:type="spellEnd"/>
      <w:r w:rsidR="0086476C" w:rsidRPr="002E1012">
        <w:t xml:space="preserve"> (1983) pseudo-</w:t>
      </w:r>
      <w:r w:rsidR="0086476C" w:rsidRPr="002E1012">
        <w:rPr>
          <w:i/>
          <w:iCs/>
        </w:rPr>
        <w:t>R</w:t>
      </w:r>
      <w:r w:rsidR="0086476C" w:rsidRPr="002E1012">
        <w:rPr>
          <w:vertAlign w:val="superscript"/>
        </w:rPr>
        <w:t>2</w:t>
      </w:r>
      <w:r w:rsidR="0086476C" w:rsidRPr="002E1012">
        <w:t>, given by</w:t>
      </w:r>
    </w:p>
    <w:p w14:paraId="73093CB3" w14:textId="01DE2799" w:rsidR="0086476C" w:rsidRDefault="0086476C" w:rsidP="0086476C">
      <w:pPr>
        <w:spacing w:line="480" w:lineRule="auto"/>
        <w:jc w:val="both"/>
      </w:pPr>
      <w:r w:rsidRPr="00C92ED3">
        <w:t>(</w:t>
      </w:r>
      <w:r w:rsidR="00144D28">
        <w:t>4</w:t>
      </w:r>
      <w:r w:rsidRPr="00C92ED3">
        <w:t>)</w:t>
      </w:r>
      <w:r w:rsidRPr="00C92ED3">
        <w:tab/>
      </w:r>
      <w:r w:rsidRPr="00C92ED3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=1-</m:t>
        </m:r>
        <m:r>
          <m:rPr>
            <m:sty m:val="p"/>
          </m:rPr>
          <w:rPr>
            <w:rFonts w:ascii="Cambria Math" w:hAnsi="Cambria Math"/>
          </w:rPr>
          <m:t>exp⁡</m:t>
        </m:r>
        <m:r>
          <w:rPr>
            <w:rFonts w:ascii="Cambria Math" w:hAnsi="Cambria Math"/>
          </w:rPr>
          <m:t>[(2/N)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L</m:t>
                </m:r>
              </m:e>
            </m:func>
          </m:e>
        </m:d>
        <m:r>
          <w:rPr>
            <w:rFonts w:ascii="Cambria Math" w:hAnsi="Cambria Math"/>
          </w:rPr>
          <m:t>]</m:t>
        </m:r>
      </m:oMath>
      <w:r>
        <w:t>,</w:t>
      </w:r>
    </w:p>
    <w:p w14:paraId="446A9258" w14:textId="426A01FA" w:rsidR="0086476C" w:rsidRPr="00C92ED3" w:rsidRDefault="0086476C" w:rsidP="0086476C">
      <w:pPr>
        <w:spacing w:line="480" w:lineRule="auto"/>
        <w:jc w:val="both"/>
      </w:pPr>
      <w:proofErr w:type="gramStart"/>
      <w:r w:rsidRPr="00C92ED3">
        <w:t>where</w:t>
      </w:r>
      <w:proofErr w:type="gramEnd"/>
      <w:r w:rsidRPr="00C92ED3">
        <w:t xml:space="preserve"> </w:t>
      </w:r>
      <w:r>
        <w:t>ln</w:t>
      </w:r>
      <w:r w:rsidRPr="00551878">
        <w:rPr>
          <w:i/>
        </w:rPr>
        <w:t>L</w:t>
      </w:r>
      <w:r w:rsidRPr="00551878">
        <w:rPr>
          <w:vertAlign w:val="subscript"/>
        </w:rPr>
        <w:t>0</w:t>
      </w:r>
      <w:r w:rsidRPr="00C92ED3">
        <w:t xml:space="preserve"> is the </w:t>
      </w:r>
      <w:r>
        <w:t>log-likelihood</w:t>
      </w:r>
      <w:r w:rsidRPr="00C92ED3">
        <w:t xml:space="preserve"> of the naive model (each horse in a race is assigned the same probability of winning):</w:t>
      </w:r>
    </w:p>
    <w:p w14:paraId="732BC309" w14:textId="263F852D" w:rsidR="0086476C" w:rsidRDefault="0086476C" w:rsidP="00962EB5">
      <w:pPr>
        <w:spacing w:line="480" w:lineRule="auto"/>
        <w:jc w:val="both"/>
      </w:pPr>
      <w:r w:rsidRPr="00C92ED3">
        <w:t>(</w:t>
      </w:r>
      <w:r w:rsidR="00144D28">
        <w:t>5</w:t>
      </w:r>
      <w:r w:rsidRPr="00C92ED3">
        <w:t>)</w:t>
      </w:r>
      <w:r w:rsidRPr="00C92ED3">
        <w:tab/>
      </w:r>
      <w:r w:rsidRPr="00C92ED3"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L</m:t>
            </m:r>
          </m:e>
        </m:func>
        <m:r>
          <w:rPr>
            <w:rFonts w:ascii="Cambria Math" w:hAnsi="Cambria Math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(1/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</m:func>
          </m:e>
        </m:nary>
        <m:r>
          <w:rPr>
            <w:rFonts w:ascii="Cambria Math" w:hAnsi="Cambria Math"/>
          </w:rPr>
          <m:t xml:space="preserve"> </m:t>
        </m:r>
      </m:oMath>
      <w:r w:rsidRPr="00C92ED3">
        <w:t>.</w:t>
      </w:r>
    </w:p>
    <w:p w14:paraId="37EC3D38" w14:textId="774C7441" w:rsidR="00FE0938" w:rsidRDefault="0033421A" w:rsidP="0033421A">
      <w:pPr>
        <w:spacing w:line="480" w:lineRule="auto"/>
        <w:jc w:val="both"/>
      </w:pPr>
      <w:r>
        <w:t>An</w:t>
      </w:r>
      <w:r w:rsidR="00FE0938" w:rsidRPr="00C92ED3">
        <w:t xml:space="preserve"> estimated value of</w:t>
      </w:r>
      <w:r w:rsidR="00FE0938">
        <w:t xml:space="preserve"> </w:t>
      </w:r>
      <w:r w:rsidR="00FE0938" w:rsidRPr="00551878">
        <w:rPr>
          <w:i/>
        </w:rPr>
        <w:t>β</w:t>
      </w:r>
      <w:r w:rsidR="00FE0938" w:rsidRPr="00C92ED3">
        <w:t xml:space="preserve"> </w:t>
      </w:r>
      <w:r w:rsidR="002D5966">
        <w:t>=</w:t>
      </w:r>
      <w:r w:rsidR="00FE0938" w:rsidRPr="00C92ED3">
        <w:t xml:space="preserve"> </w:t>
      </w:r>
      <w:r w:rsidR="00FE0938">
        <w:t>1 implies that there is no favo</w:t>
      </w:r>
      <w:r w:rsidR="00FE0938" w:rsidRPr="00C92ED3">
        <w:t>rite-longshot bias (FLB</w:t>
      </w:r>
      <w:r w:rsidR="00FE0938">
        <w:t xml:space="preserve">: </w:t>
      </w:r>
      <w:r w:rsidR="00FE0938" w:rsidRPr="00C92ED3">
        <w:t>the widely-r</w:t>
      </w:r>
      <w:r w:rsidR="00FE0938">
        <w:t>eported phenomenon whereby favo</w:t>
      </w:r>
      <w:r w:rsidR="00FE0938" w:rsidRPr="00C92ED3">
        <w:t>rites/longshots are under-/over-bet</w:t>
      </w:r>
      <w:r w:rsidR="00921C30">
        <w:t xml:space="preserve">, </w:t>
      </w:r>
      <w:r w:rsidR="00FE0938" w:rsidRPr="00C92ED3">
        <w:t>e.g.,</w:t>
      </w:r>
      <w:r w:rsidR="00FE0938">
        <w:rPr>
          <w:rFonts w:eastAsia="PMingLiU" w:hint="eastAsia"/>
          <w:lang w:eastAsia="zh-TW"/>
        </w:rPr>
        <w:t xml:space="preserve"> </w:t>
      </w:r>
      <w:r w:rsidR="00FE0938">
        <w:rPr>
          <w:rFonts w:eastAsia="PMingLiU"/>
          <w:lang w:eastAsia="zh-TW"/>
        </w:rPr>
        <w:t>Gramm and Owens, 2006</w:t>
      </w:r>
      <w:r w:rsidR="00FE0938">
        <w:t>)</w:t>
      </w:r>
      <w:r w:rsidR="00FE0938" w:rsidRPr="00C92ED3">
        <w:t>.</w:t>
      </w:r>
    </w:p>
    <w:p w14:paraId="3D09A01E" w14:textId="76580A4A" w:rsidR="00962EB5" w:rsidRPr="00C92ED3" w:rsidRDefault="00FE0938" w:rsidP="001121E3">
      <w:pPr>
        <w:spacing w:line="480" w:lineRule="auto"/>
        <w:jc w:val="both"/>
      </w:pPr>
      <w:r>
        <w:tab/>
      </w:r>
      <w:r w:rsidR="00962EB5" w:rsidRPr="00C92ED3">
        <w:t>We estimate the distributional properties of the pseudo-</w:t>
      </w:r>
      <w:r w:rsidR="00962EB5" w:rsidRPr="00C92ED3">
        <w:rPr>
          <w:i/>
          <w:iCs/>
        </w:rPr>
        <w:t>R</w:t>
      </w:r>
      <w:r w:rsidR="00962EB5" w:rsidRPr="00C92ED3">
        <w:rPr>
          <w:vertAlign w:val="superscript"/>
        </w:rPr>
        <w:t>2</w:t>
      </w:r>
      <w:r w:rsidR="00AC0683">
        <w:t>s using a bootstrap method</w:t>
      </w:r>
      <w:r w:rsidR="00962EB5" w:rsidRPr="00C92ED3">
        <w:t xml:space="preserve">. For </w:t>
      </w:r>
      <w:r w:rsidR="008018C0">
        <w:t>each of the informed/uninformed subsets</w:t>
      </w:r>
      <w:r w:rsidR="00962EB5" w:rsidRPr="00C92ED3">
        <w:t>, we repeat 1000 times a random sampling of 3029 race</w:t>
      </w:r>
      <w:r w:rsidR="008018C0">
        <w:t>s, with replacement, and fit a model</w:t>
      </w:r>
      <w:r w:rsidR="00962EB5" w:rsidRPr="00C92ED3">
        <w:t>. The sample means,</w:t>
      </w:r>
      <w:r w:rsidR="00B542DF">
        <w:t xml:space="preserve"> </w:t>
      </w:r>
      <m:oMath>
        <m:r>
          <w:rPr>
            <w:rFonts w:ascii="Cambria Math" w:hAnsi="Cambria Math"/>
          </w:rPr>
          <m:t>μ(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)</m:t>
        </m:r>
      </m:oMath>
      <w:r w:rsidR="00B542DF">
        <w:t xml:space="preserve"> </w:t>
      </w:r>
      <w:proofErr w:type="gramStart"/>
      <w:r w:rsidR="00B542DF">
        <w:t xml:space="preserve">and </w:t>
      </w:r>
      <w:proofErr w:type="gramEnd"/>
      <m:oMath>
        <m:r>
          <w:rPr>
            <w:rFonts w:ascii="Cambria Math" w:hAnsi="Cambria Math"/>
          </w:rPr>
          <m:t>(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U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)</m:t>
        </m:r>
      </m:oMath>
      <w:r w:rsidR="00962EB5" w:rsidRPr="00C92ED3">
        <w:t>, and variances,</w:t>
      </w:r>
      <w:r w:rsidR="00B542DF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)</m:t>
        </m:r>
      </m:oMath>
      <w:r w:rsidR="00B542DF">
        <w:t xml:space="preserve">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U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)</m:t>
        </m:r>
      </m:oMath>
      <w:r w:rsidR="008018C0">
        <w:t>, of the pseudo-</w:t>
      </w:r>
      <w:r w:rsidR="008018C0" w:rsidRPr="008018C0">
        <w:rPr>
          <w:i/>
        </w:rPr>
        <w:t>R</w:t>
      </w:r>
      <w:r w:rsidR="008018C0" w:rsidRPr="008018C0">
        <w:rPr>
          <w:vertAlign w:val="superscript"/>
        </w:rPr>
        <w:t>2</w:t>
      </w:r>
      <w:r w:rsidR="00E152BA">
        <w:t>s from</w:t>
      </w:r>
      <w:r w:rsidR="008018C0">
        <w:t xml:space="preserve"> the informed/uninformed</w:t>
      </w:r>
      <w:r w:rsidR="00E152BA">
        <w:t xml:space="preserve"> subsets</w:t>
      </w:r>
      <w:r w:rsidR="008018C0">
        <w:t>, respectively,</w:t>
      </w:r>
      <w:r w:rsidR="00E152BA">
        <w:t xml:space="preserve"> result in a </w:t>
      </w:r>
      <w:r w:rsidR="00962EB5" w:rsidRPr="00C92ED3">
        <w:t>standard normal test statistic</w:t>
      </w:r>
      <w:r w:rsidR="009D49E1">
        <w:t xml:space="preserve"> to test H1</w:t>
      </w:r>
      <w:r w:rsidR="002475F0">
        <w:t>:</w:t>
      </w:r>
    </w:p>
    <w:p w14:paraId="355068B4" w14:textId="2618938A" w:rsidR="00962EB5" w:rsidRPr="00C92ED3" w:rsidRDefault="00962EB5" w:rsidP="00962EB5">
      <w:pPr>
        <w:spacing w:line="480" w:lineRule="auto"/>
        <w:jc w:val="both"/>
      </w:pPr>
      <w:r w:rsidRPr="00C92ED3">
        <w:t>(</w:t>
      </w:r>
      <w:r w:rsidR="00144D28">
        <w:t>6</w:t>
      </w:r>
      <w:r w:rsidRPr="00C92ED3">
        <w:t>)</w:t>
      </w:r>
      <w:r w:rsidRPr="00C92ED3">
        <w:tab/>
      </w:r>
      <w:r w:rsidRPr="00C92ED3">
        <w:tab/>
      </w:r>
      <m:oMath>
        <m:r>
          <w:rPr>
            <w:rFonts w:ascii="Cambria Math" w:hAnsi="Cambria Math"/>
          </w:rPr>
          <m:t>z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μ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e>
            </m:d>
            <m:r>
              <w:rPr>
                <w:rFonts w:ascii="Cambria Math" w:hAnsi="Cambria Math"/>
              </w:rPr>
              <m:t>-μ(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U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)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d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U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)</m:t>
                </m:r>
              </m:e>
            </m:rad>
          </m:den>
        </m:f>
      </m:oMath>
      <w:r w:rsidR="002475F0">
        <w:t>.</w:t>
      </w:r>
    </w:p>
    <w:p w14:paraId="1B8C853E" w14:textId="77777777" w:rsidR="00CA2A9C" w:rsidRDefault="00CA2A9C" w:rsidP="00962EB5">
      <w:pPr>
        <w:spacing w:line="480" w:lineRule="auto"/>
        <w:jc w:val="both"/>
        <w:rPr>
          <w:iCs/>
        </w:rPr>
      </w:pPr>
    </w:p>
    <w:p w14:paraId="5D0F33E6" w14:textId="501D8282" w:rsidR="00962EB5" w:rsidRPr="00551878" w:rsidRDefault="00962EB5" w:rsidP="00962EB5">
      <w:pPr>
        <w:spacing w:line="480" w:lineRule="auto"/>
        <w:jc w:val="both"/>
        <w:rPr>
          <w:i/>
          <w:iCs/>
        </w:rPr>
      </w:pPr>
      <w:r w:rsidRPr="00551878">
        <w:rPr>
          <w:i/>
          <w:iCs/>
        </w:rPr>
        <w:t>2</w:t>
      </w:r>
      <w:r w:rsidR="00394170">
        <w:rPr>
          <w:i/>
          <w:iCs/>
        </w:rPr>
        <w:t>.3</w:t>
      </w:r>
      <w:r>
        <w:rPr>
          <w:i/>
          <w:iCs/>
        </w:rPr>
        <w:t xml:space="preserve"> </w:t>
      </w:r>
      <w:r w:rsidR="009D49E1">
        <w:rPr>
          <w:i/>
          <w:iCs/>
        </w:rPr>
        <w:t>Volatility</w:t>
      </w:r>
    </w:p>
    <w:p w14:paraId="35A0C1A6" w14:textId="29F27187" w:rsidR="00962EB5" w:rsidRPr="00C92ED3" w:rsidRDefault="00962EB5" w:rsidP="00217D97">
      <w:pPr>
        <w:spacing w:line="480" w:lineRule="auto"/>
        <w:jc w:val="both"/>
        <w:rPr>
          <w:iCs/>
        </w:rPr>
      </w:pPr>
      <w:r w:rsidRPr="00C92ED3">
        <w:rPr>
          <w:iCs/>
        </w:rPr>
        <w:tab/>
      </w:r>
      <w:r w:rsidR="00217D97">
        <w:rPr>
          <w:iCs/>
        </w:rPr>
        <w:t>I</w:t>
      </w:r>
      <w:r w:rsidRPr="00C92ED3">
        <w:rPr>
          <w:iCs/>
        </w:rPr>
        <w:t xml:space="preserve">nformation that is revealed </w:t>
      </w:r>
      <w:r w:rsidR="002D5966">
        <w:rPr>
          <w:iCs/>
        </w:rPr>
        <w:t>during the course of the market</w:t>
      </w:r>
      <w:r w:rsidR="00217D97">
        <w:rPr>
          <w:iCs/>
        </w:rPr>
        <w:t xml:space="preserve"> helps determine accurate winning probabilities</w:t>
      </w:r>
      <w:r w:rsidR="002E1012">
        <w:rPr>
          <w:iCs/>
        </w:rPr>
        <w:t>. Consequently,</w:t>
      </w:r>
      <w:r w:rsidRPr="00C92ED3">
        <w:rPr>
          <w:iCs/>
        </w:rPr>
        <w:t xml:space="preserve"> </w:t>
      </w:r>
      <w:r>
        <w:rPr>
          <w:iCs/>
        </w:rPr>
        <w:t>we</w:t>
      </w:r>
      <w:r w:rsidRPr="00C92ED3">
        <w:rPr>
          <w:iCs/>
        </w:rPr>
        <w:t xml:space="preserve"> expect, </w:t>
      </w:r>
      <w:r w:rsidRPr="00C92ED3">
        <w:rPr>
          <w:i/>
        </w:rPr>
        <w:t>ex ante</w:t>
      </w:r>
      <w:r w:rsidRPr="00C92ED3">
        <w:rPr>
          <w:iCs/>
        </w:rPr>
        <w:t>, that prices will fluctuate around an underlying trend</w:t>
      </w:r>
      <w:r w:rsidR="00217D97">
        <w:rPr>
          <w:iCs/>
        </w:rPr>
        <w:t>, representing</w:t>
      </w:r>
      <w:r w:rsidRPr="00C92ED3">
        <w:rPr>
          <w:iCs/>
        </w:rPr>
        <w:t xml:space="preserve"> the bettors’ collective opinion of the horse’s cha</w:t>
      </w:r>
      <w:r w:rsidR="00394170">
        <w:rPr>
          <w:iCs/>
        </w:rPr>
        <w:t xml:space="preserve">nces at the </w:t>
      </w:r>
      <w:r w:rsidR="003410AD">
        <w:rPr>
          <w:iCs/>
        </w:rPr>
        <w:t xml:space="preserve">market </w:t>
      </w:r>
      <w:r w:rsidR="00394170">
        <w:rPr>
          <w:iCs/>
        </w:rPr>
        <w:t xml:space="preserve">close </w:t>
      </w:r>
      <w:r w:rsidRPr="00C92ED3">
        <w:rPr>
          <w:iCs/>
        </w:rPr>
        <w:t xml:space="preserve">relative to the opening. </w:t>
      </w:r>
      <w:r w:rsidR="00A10DD5">
        <w:rPr>
          <w:iCs/>
        </w:rPr>
        <w:t>W</w:t>
      </w:r>
      <w:r w:rsidRPr="00C92ED3">
        <w:rPr>
          <w:iCs/>
        </w:rPr>
        <w:t>e c</w:t>
      </w:r>
      <w:r w:rsidRPr="009034DD">
        <w:rPr>
          <w:iCs/>
        </w:rPr>
        <w:t xml:space="preserve">alculate, for each horse, in each race, the trend </w:t>
      </w:r>
      <w:proofErr w:type="spellStart"/>
      <w:r w:rsidRPr="009034DD">
        <w:rPr>
          <w:i/>
        </w:rPr>
        <w:t>μ</w:t>
      </w:r>
      <w:r w:rsidRPr="009034DD">
        <w:rPr>
          <w:i/>
          <w:vertAlign w:val="subscript"/>
        </w:rPr>
        <w:t>ij</w:t>
      </w:r>
      <w:proofErr w:type="spellEnd"/>
      <w:r w:rsidRPr="009034DD">
        <w:rPr>
          <w:iCs/>
        </w:rPr>
        <w:t xml:space="preserve"> in the odds curve in the exchange market</w:t>
      </w:r>
      <w:r w:rsidR="00A73FBB">
        <w:rPr>
          <w:iCs/>
        </w:rPr>
        <w:t xml:space="preserve"> </w:t>
      </w:r>
      <w:r w:rsidR="00BB7A93">
        <w:rPr>
          <w:iCs/>
        </w:rPr>
        <w:t>using the method of</w:t>
      </w:r>
      <w:r w:rsidR="009034DD">
        <w:rPr>
          <w:iCs/>
        </w:rPr>
        <w:t xml:space="preserve"> </w:t>
      </w:r>
      <w:r w:rsidR="00BB7A93">
        <w:rPr>
          <w:iCs/>
        </w:rPr>
        <w:t>Johnson et al. (2006).</w:t>
      </w:r>
      <w:r>
        <w:rPr>
          <w:iCs/>
        </w:rPr>
        <w:t xml:space="preserve"> The</w:t>
      </w:r>
      <w:r w:rsidRPr="00C92ED3">
        <w:rPr>
          <w:iCs/>
        </w:rPr>
        <w:t xml:space="preserve"> volatility </w:t>
      </w:r>
      <w:proofErr w:type="spellStart"/>
      <w:r w:rsidRPr="00C92ED3">
        <w:rPr>
          <w:i/>
        </w:rPr>
        <w:t>σ</w:t>
      </w:r>
      <w:r w:rsidRPr="00C92ED3">
        <w:rPr>
          <w:i/>
          <w:vertAlign w:val="subscript"/>
        </w:rPr>
        <w:t>ij</w:t>
      </w:r>
      <w:proofErr w:type="spellEnd"/>
      <w:r w:rsidRPr="00C92ED3">
        <w:rPr>
          <w:iCs/>
        </w:rPr>
        <w:t xml:space="preserve"> is given by the variance of the odds around the </w:t>
      </w:r>
      <w:r w:rsidR="009034DD">
        <w:rPr>
          <w:iCs/>
        </w:rPr>
        <w:t xml:space="preserve">trend. </w:t>
      </w:r>
      <w:r w:rsidRPr="00C92ED3">
        <w:rPr>
          <w:iCs/>
        </w:rPr>
        <w:t>To illustrate, Figure 1 shows an examp</w:t>
      </w:r>
      <w:r w:rsidR="00816218">
        <w:rPr>
          <w:iCs/>
        </w:rPr>
        <w:t xml:space="preserve">le of an odds curve with the 30 </w:t>
      </w:r>
      <w:r w:rsidRPr="00C92ED3">
        <w:rPr>
          <w:iCs/>
        </w:rPr>
        <w:t>minute trend, along with the deviati</w:t>
      </w:r>
      <w:r w:rsidR="009034DD">
        <w:rPr>
          <w:iCs/>
        </w:rPr>
        <w:t>on.</w:t>
      </w:r>
      <w:r w:rsidRPr="00C92ED3">
        <w:rPr>
          <w:iCs/>
        </w:rPr>
        <w:t xml:space="preserve"> </w:t>
      </w:r>
      <w:r w:rsidR="005B329A">
        <w:rPr>
          <w:iCs/>
        </w:rPr>
        <w:t xml:space="preserve">For the overall volatility in the market, we </w:t>
      </w:r>
      <w:r w:rsidRPr="00C92ED3">
        <w:rPr>
          <w:iCs/>
        </w:rPr>
        <w:t xml:space="preserve">use the mean of </w:t>
      </w:r>
      <w:proofErr w:type="spellStart"/>
      <w:r w:rsidRPr="00C92ED3">
        <w:rPr>
          <w:i/>
        </w:rPr>
        <w:t>σ</w:t>
      </w:r>
      <w:r w:rsidRPr="00C92ED3">
        <w:rPr>
          <w:i/>
          <w:vertAlign w:val="subscript"/>
        </w:rPr>
        <w:t>ij</w:t>
      </w:r>
      <w:proofErr w:type="spellEnd"/>
      <w:r w:rsidRPr="00C92ED3">
        <w:rPr>
          <w:iCs/>
        </w:rPr>
        <w:t xml:space="preserve"> over all the horses in each race</w:t>
      </w:r>
      <w:proofErr w:type="gramStart"/>
      <w:r w:rsidRPr="00C92ED3">
        <w:rPr>
          <w:iCs/>
        </w:rPr>
        <w:t>,</w:t>
      </w:r>
      <w:r>
        <w:rPr>
          <w:iCs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=(1/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)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iCs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ij</m:t>
                </m:r>
              </m:sub>
            </m:sSub>
          </m:e>
        </m:nary>
      </m:oMath>
      <w:r>
        <w:rPr>
          <w:iCs/>
        </w:rPr>
        <w:t>.</w:t>
      </w:r>
      <w:r w:rsidRPr="00C92ED3" w:rsidDel="00E4278B">
        <w:rPr>
          <w:iCs/>
        </w:rPr>
        <w:t xml:space="preserve"> </w:t>
      </w:r>
      <w:r w:rsidR="009D49E1">
        <w:rPr>
          <w:iCs/>
        </w:rPr>
        <w:t>This allows us to test H2</w:t>
      </w:r>
      <w:r>
        <w:rPr>
          <w:iCs/>
        </w:rPr>
        <w:t>.</w:t>
      </w:r>
    </w:p>
    <w:p w14:paraId="69835C40" w14:textId="77777777" w:rsidR="00187DEB" w:rsidRDefault="00187DEB" w:rsidP="00D7450C">
      <w:pPr>
        <w:spacing w:line="480" w:lineRule="auto"/>
        <w:jc w:val="both"/>
      </w:pPr>
    </w:p>
    <w:p w14:paraId="537D6B6B" w14:textId="3BD3A050" w:rsidR="00D7450C" w:rsidRDefault="00D7450C" w:rsidP="00EE09ED">
      <w:pPr>
        <w:spacing w:line="480" w:lineRule="auto"/>
        <w:jc w:val="both"/>
      </w:pPr>
      <w:proofErr w:type="gramStart"/>
      <w:r w:rsidRPr="00C92ED3">
        <w:t>Figure 1.</w:t>
      </w:r>
      <w:proofErr w:type="gramEnd"/>
      <w:r w:rsidRPr="00C92ED3">
        <w:t xml:space="preserve"> Example of the least squares regression method for determining the trend and volatility of </w:t>
      </w:r>
      <w:r w:rsidR="00EE09ED">
        <w:t>a horse’s</w:t>
      </w:r>
      <w:r w:rsidRPr="00C92ED3">
        <w:t xml:space="preserve"> odds curve.</w:t>
      </w:r>
    </w:p>
    <w:p w14:paraId="10BDEC7E" w14:textId="4D217595" w:rsidR="00D7450C" w:rsidRPr="00673995" w:rsidRDefault="00673995" w:rsidP="00962EB5">
      <w:pPr>
        <w:spacing w:line="480" w:lineRule="auto"/>
        <w:jc w:val="both"/>
        <w:rPr>
          <w:iCs/>
        </w:rPr>
      </w:pPr>
      <w:r>
        <w:rPr>
          <w:iCs/>
          <w:noProof/>
          <w:lang w:val="en-GB"/>
        </w:rPr>
        <w:drawing>
          <wp:inline distT="0" distB="0" distL="0" distR="0" wp14:anchorId="2364A539" wp14:editId="092892B6">
            <wp:extent cx="5502767" cy="32385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_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2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46B4E" w14:textId="77777777" w:rsidR="005F55DF" w:rsidRDefault="005F55DF" w:rsidP="00962EB5">
      <w:pPr>
        <w:spacing w:line="480" w:lineRule="auto"/>
        <w:jc w:val="both"/>
        <w:rPr>
          <w:rFonts w:eastAsia="PMingLiU"/>
          <w:b/>
          <w:bCs/>
          <w:lang w:eastAsia="zh-TW"/>
        </w:rPr>
      </w:pPr>
    </w:p>
    <w:p w14:paraId="5A93128D" w14:textId="77777777" w:rsidR="00962EB5" w:rsidRPr="00A44871" w:rsidRDefault="00962EB5" w:rsidP="00962EB5">
      <w:pPr>
        <w:spacing w:line="480" w:lineRule="auto"/>
        <w:jc w:val="both"/>
        <w:rPr>
          <w:rFonts w:eastAsia="PMingLiU"/>
          <w:iCs/>
          <w:lang w:eastAsia="zh-TW"/>
        </w:rPr>
      </w:pPr>
      <w:r>
        <w:rPr>
          <w:rFonts w:eastAsia="PMingLiU"/>
          <w:b/>
          <w:bCs/>
          <w:lang w:eastAsia="zh-TW"/>
        </w:rPr>
        <w:t>3. Results</w:t>
      </w:r>
    </w:p>
    <w:p w14:paraId="573B934C" w14:textId="300D7AF3" w:rsidR="00962EB5" w:rsidRDefault="00A04743" w:rsidP="00EE09ED">
      <w:pPr>
        <w:spacing w:line="480" w:lineRule="auto"/>
        <w:jc w:val="both"/>
        <w:rPr>
          <w:iCs/>
        </w:rPr>
      </w:pPr>
      <w:r>
        <w:rPr>
          <w:iCs/>
        </w:rPr>
        <w:tab/>
      </w:r>
      <w:r w:rsidR="00962EB5" w:rsidRPr="00C92ED3">
        <w:rPr>
          <w:iCs/>
        </w:rPr>
        <w:t>The</w:t>
      </w:r>
      <w:r w:rsidR="00EC0EB8">
        <w:rPr>
          <w:iCs/>
        </w:rPr>
        <w:t xml:space="preserve"> median Shin </w:t>
      </w:r>
      <w:r w:rsidR="00EC0EB8">
        <w:rPr>
          <w:i/>
          <w:iCs/>
        </w:rPr>
        <w:t>z</w:t>
      </w:r>
      <w:r w:rsidR="00EC0EB8">
        <w:rPr>
          <w:iCs/>
        </w:rPr>
        <w:t xml:space="preserve"> over all the data is 0.0198, and the</w:t>
      </w:r>
      <w:r w:rsidR="0034354B">
        <w:rPr>
          <w:iCs/>
        </w:rPr>
        <w:t xml:space="preserve"> informed/uninformed </w:t>
      </w:r>
      <w:r w:rsidR="00EC0EB8">
        <w:rPr>
          <w:iCs/>
        </w:rPr>
        <w:t>trading sets</w:t>
      </w:r>
      <w:r w:rsidR="00962EB5" w:rsidRPr="00C92ED3">
        <w:rPr>
          <w:iCs/>
        </w:rPr>
        <w:t xml:space="preserve"> have</w:t>
      </w:r>
      <w:r w:rsidR="00EC0EB8">
        <w:rPr>
          <w:iCs/>
        </w:rPr>
        <w:t xml:space="preserve"> mean</w:t>
      </w:r>
      <w:r w:rsidR="00962EB5" w:rsidRPr="00C92ED3">
        <w:rPr>
          <w:iCs/>
        </w:rPr>
        <w:t xml:space="preserve"> Shin </w:t>
      </w:r>
      <w:r w:rsidR="00962EB5" w:rsidRPr="00C92ED3">
        <w:rPr>
          <w:i/>
        </w:rPr>
        <w:t>z</w:t>
      </w:r>
      <w:r w:rsidR="000C5D84">
        <w:rPr>
          <w:iCs/>
        </w:rPr>
        <w:t xml:space="preserve"> </w:t>
      </w:r>
      <w:r w:rsidR="00EC0EB8">
        <w:rPr>
          <w:iCs/>
        </w:rPr>
        <w:t xml:space="preserve">of </w:t>
      </w:r>
      <w:r w:rsidR="00962EB5" w:rsidRPr="00C92ED3">
        <w:rPr>
          <w:iCs/>
        </w:rPr>
        <w:t>0.</w:t>
      </w:r>
      <w:r w:rsidR="0034354B">
        <w:rPr>
          <w:iCs/>
        </w:rPr>
        <w:t>0259</w:t>
      </w:r>
      <w:r w:rsidR="00EC0EB8">
        <w:rPr>
          <w:iCs/>
        </w:rPr>
        <w:t xml:space="preserve"> and</w:t>
      </w:r>
      <w:r w:rsidR="00962EB5" w:rsidRPr="00C92ED3">
        <w:rPr>
          <w:iCs/>
        </w:rPr>
        <w:t xml:space="preserve"> 0.</w:t>
      </w:r>
      <w:r w:rsidR="0034354B">
        <w:rPr>
          <w:iCs/>
        </w:rPr>
        <w:t>0172</w:t>
      </w:r>
      <w:r w:rsidR="00EC0EB8">
        <w:rPr>
          <w:iCs/>
        </w:rPr>
        <w:t xml:space="preserve">, respectively. </w:t>
      </w:r>
      <w:r w:rsidR="00962EB5" w:rsidRPr="00C92ED3">
        <w:rPr>
          <w:iCs/>
        </w:rPr>
        <w:t xml:space="preserve">Further characteristics of the data in </w:t>
      </w:r>
      <w:r w:rsidR="00EC0EB8">
        <w:rPr>
          <w:iCs/>
        </w:rPr>
        <w:t>each set</w:t>
      </w:r>
      <w:r w:rsidR="00EE09ED">
        <w:rPr>
          <w:iCs/>
        </w:rPr>
        <w:t xml:space="preserve"> and</w:t>
      </w:r>
      <w:r w:rsidR="00962EB5" w:rsidRPr="00C92ED3">
        <w:rPr>
          <w:iCs/>
        </w:rPr>
        <w:t xml:space="preserve"> their 1000-bootstrapped samples, are summarized in Table 1.</w:t>
      </w:r>
    </w:p>
    <w:p w14:paraId="67172740" w14:textId="77777777" w:rsidR="00EC0EB8" w:rsidRDefault="00EC0EB8" w:rsidP="00D7450C">
      <w:pPr>
        <w:spacing w:after="160" w:line="480" w:lineRule="auto"/>
      </w:pPr>
    </w:p>
    <w:p w14:paraId="7BBB0E74" w14:textId="290B0C90" w:rsidR="00782653" w:rsidRDefault="00782653" w:rsidP="00EE09ED">
      <w:pPr>
        <w:spacing w:after="160" w:line="480" w:lineRule="auto"/>
      </w:pPr>
      <w:proofErr w:type="gramStart"/>
      <w:r>
        <w:t>T</w:t>
      </w:r>
      <w:r>
        <w:rPr>
          <w:rFonts w:eastAsia="PMingLiU" w:hint="eastAsia"/>
          <w:lang w:eastAsia="zh-TW"/>
        </w:rPr>
        <w:t>able 1.</w:t>
      </w:r>
      <w:proofErr w:type="gramEnd"/>
      <w:r w:rsidR="00BB6A99">
        <w:rPr>
          <w:rFonts w:eastAsia="PMingLiU"/>
          <w:lang w:eastAsia="zh-TW"/>
        </w:rPr>
        <w:t xml:space="preserve"> </w:t>
      </w:r>
      <w:proofErr w:type="gramStart"/>
      <w:r w:rsidR="00BB6A99">
        <w:rPr>
          <w:rFonts w:eastAsia="PMingLiU"/>
          <w:lang w:eastAsia="zh-TW"/>
        </w:rPr>
        <w:t xml:space="preserve">Details of </w:t>
      </w:r>
      <w:r w:rsidR="00512C3F">
        <w:rPr>
          <w:rFonts w:eastAsia="PMingLiU"/>
          <w:lang w:eastAsia="zh-TW"/>
        </w:rPr>
        <w:t>efficiency and volatility</w:t>
      </w:r>
      <w:r w:rsidR="00BB6A99">
        <w:rPr>
          <w:rFonts w:eastAsia="PMingLiU"/>
          <w:lang w:eastAsia="zh-TW"/>
        </w:rPr>
        <w:t xml:space="preserve"> of</w:t>
      </w:r>
      <w:r w:rsidRPr="00C92ED3">
        <w:t xml:space="preserve"> </w:t>
      </w:r>
      <w:r w:rsidR="00BB6A99">
        <w:t>standard</w:t>
      </w:r>
      <w:r w:rsidRPr="00C92ED3">
        <w:t xml:space="preserve"> and bootstrapped </w:t>
      </w:r>
      <w:r w:rsidR="00BB6A99">
        <w:t xml:space="preserve">datasets with </w:t>
      </w:r>
      <w:r w:rsidR="00147A53">
        <w:t>above</w:t>
      </w:r>
      <w:r w:rsidR="00BB6A99">
        <w:t>-</w:t>
      </w:r>
      <w:r w:rsidR="00147A53">
        <w:t xml:space="preserve"> and below-</w:t>
      </w:r>
      <w:r w:rsidR="00BB6A99">
        <w:t>me</w:t>
      </w:r>
      <w:r w:rsidR="00EE09ED">
        <w:t>dian levels of informed trading</w:t>
      </w:r>
      <w:r w:rsidR="00BB6A99">
        <w:t>.</w:t>
      </w:r>
      <w:proofErr w:type="gramEnd"/>
    </w:p>
    <w:tbl>
      <w:tblPr>
        <w:tblW w:w="9015" w:type="dxa"/>
        <w:jc w:val="center"/>
        <w:tblLook w:val="01E0" w:firstRow="1" w:lastRow="1" w:firstColumn="1" w:lastColumn="1" w:noHBand="0" w:noVBand="0"/>
      </w:tblPr>
      <w:tblGrid>
        <w:gridCol w:w="1630"/>
        <w:gridCol w:w="924"/>
        <w:gridCol w:w="1006"/>
        <w:gridCol w:w="1216"/>
        <w:gridCol w:w="1741"/>
        <w:gridCol w:w="1176"/>
        <w:gridCol w:w="1322"/>
      </w:tblGrid>
      <w:tr w:rsidR="00782653" w:rsidRPr="009C2700" w14:paraId="453A9877" w14:textId="77777777" w:rsidTr="00512C3F">
        <w:trPr>
          <w:trHeight w:val="397"/>
          <w:jc w:val="center"/>
        </w:trPr>
        <w:tc>
          <w:tcPr>
            <w:tcW w:w="16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26671C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4E7776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All data</w:t>
            </w:r>
          </w:p>
        </w:tc>
        <w:tc>
          <w:tcPr>
            <w:tcW w:w="10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9BEFD" w14:textId="06A596D1" w:rsidR="00782653" w:rsidRPr="009C2700" w:rsidRDefault="00147A53" w:rsidP="00BB6A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‘I</w:t>
            </w:r>
            <w:r w:rsidR="00BB6A99">
              <w:rPr>
                <w:sz w:val="18"/>
                <w:szCs w:val="18"/>
              </w:rPr>
              <w:t>nformed</w:t>
            </w:r>
            <w:r>
              <w:rPr>
                <w:sz w:val="18"/>
                <w:szCs w:val="18"/>
              </w:rPr>
              <w:t>’</w:t>
            </w:r>
            <w:r w:rsidR="00BB6A99">
              <w:rPr>
                <w:sz w:val="18"/>
                <w:szCs w:val="18"/>
              </w:rPr>
              <w:t xml:space="preserve"> trading half</w:t>
            </w:r>
          </w:p>
        </w:tc>
        <w:tc>
          <w:tcPr>
            <w:tcW w:w="11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EA38A" w14:textId="401D78CF" w:rsidR="00147A53" w:rsidRDefault="00147A53" w:rsidP="00BB6A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‘Un</w:t>
            </w:r>
            <w:r w:rsidR="00921C30">
              <w:rPr>
                <w:sz w:val="18"/>
                <w:szCs w:val="18"/>
              </w:rPr>
              <w:t>in</w:t>
            </w:r>
            <w:r w:rsidR="00BB6A99">
              <w:rPr>
                <w:sz w:val="18"/>
                <w:szCs w:val="18"/>
              </w:rPr>
              <w:t>formed</w:t>
            </w:r>
            <w:r>
              <w:rPr>
                <w:sz w:val="18"/>
                <w:szCs w:val="18"/>
              </w:rPr>
              <w:t>’ trading</w:t>
            </w:r>
          </w:p>
          <w:p w14:paraId="4730B093" w14:textId="478E1814" w:rsidR="00782653" w:rsidRPr="009C2700" w:rsidRDefault="00BB6A99" w:rsidP="00BB6A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half</w:t>
            </w:r>
          </w:p>
        </w:tc>
        <w:tc>
          <w:tcPr>
            <w:tcW w:w="1763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31F2C7E0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49EAB95C" w14:textId="6785A383" w:rsidR="00782653" w:rsidRPr="009C2700" w:rsidRDefault="00782653" w:rsidP="00147A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 xml:space="preserve">Bootstrapped </w:t>
            </w:r>
            <w:r w:rsidR="00147A53">
              <w:rPr>
                <w:sz w:val="18"/>
                <w:szCs w:val="18"/>
              </w:rPr>
              <w:t>‘i</w:t>
            </w:r>
            <w:r w:rsidR="00BB6A99">
              <w:rPr>
                <w:sz w:val="18"/>
                <w:szCs w:val="18"/>
              </w:rPr>
              <w:t>nformed</w:t>
            </w:r>
            <w:r w:rsidR="00147A53">
              <w:rPr>
                <w:sz w:val="18"/>
                <w:szCs w:val="18"/>
              </w:rPr>
              <w:t>’</w:t>
            </w:r>
            <w:r w:rsidR="00BB6A99">
              <w:rPr>
                <w:sz w:val="18"/>
                <w:szCs w:val="18"/>
              </w:rPr>
              <w:t xml:space="preserve"> trading half</w:t>
            </w:r>
          </w:p>
        </w:tc>
        <w:tc>
          <w:tcPr>
            <w:tcW w:w="13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D5E838" w14:textId="79675302" w:rsidR="00782653" w:rsidRPr="009C2700" w:rsidRDefault="00782653" w:rsidP="00147A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 xml:space="preserve">Bootstrapped </w:t>
            </w:r>
            <w:r w:rsidR="00147A53">
              <w:rPr>
                <w:sz w:val="18"/>
                <w:szCs w:val="18"/>
              </w:rPr>
              <w:t>‘un</w:t>
            </w:r>
            <w:r w:rsidR="00BB6A99">
              <w:rPr>
                <w:sz w:val="18"/>
                <w:szCs w:val="18"/>
              </w:rPr>
              <w:t>informed</w:t>
            </w:r>
            <w:r w:rsidR="00147A53">
              <w:rPr>
                <w:sz w:val="18"/>
                <w:szCs w:val="18"/>
              </w:rPr>
              <w:t>’</w:t>
            </w:r>
            <w:r w:rsidR="00BB6A99">
              <w:rPr>
                <w:sz w:val="18"/>
                <w:szCs w:val="18"/>
              </w:rPr>
              <w:t xml:space="preserve"> trading half</w:t>
            </w:r>
          </w:p>
        </w:tc>
      </w:tr>
      <w:tr w:rsidR="00782653" w:rsidRPr="009C2700" w14:paraId="31593090" w14:textId="77777777" w:rsidTr="00512C3F">
        <w:trPr>
          <w:trHeight w:val="397"/>
          <w:jc w:val="center"/>
        </w:trPr>
        <w:tc>
          <w:tcPr>
            <w:tcW w:w="16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F7EB30" w14:textId="4B14AAAA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No. of races</w:t>
            </w:r>
          </w:p>
        </w:tc>
        <w:tc>
          <w:tcPr>
            <w:tcW w:w="9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06881A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6058</w:t>
            </w:r>
          </w:p>
        </w:tc>
        <w:tc>
          <w:tcPr>
            <w:tcW w:w="10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A00411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3029</w:t>
            </w:r>
          </w:p>
        </w:tc>
        <w:tc>
          <w:tcPr>
            <w:tcW w:w="11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C8E9F9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3029</w:t>
            </w:r>
          </w:p>
        </w:tc>
        <w:tc>
          <w:tcPr>
            <w:tcW w:w="1763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01C4E195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No. of  races</w:t>
            </w:r>
          </w:p>
        </w:tc>
        <w:tc>
          <w:tcPr>
            <w:tcW w:w="1176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790EC8B9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3029</w:t>
            </w:r>
          </w:p>
        </w:tc>
        <w:tc>
          <w:tcPr>
            <w:tcW w:w="13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3758DF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3029</w:t>
            </w:r>
          </w:p>
        </w:tc>
      </w:tr>
      <w:tr w:rsidR="00782653" w:rsidRPr="009C2700" w14:paraId="34C8C2AF" w14:textId="77777777" w:rsidTr="00512C3F">
        <w:trPr>
          <w:trHeight w:val="397"/>
          <w:jc w:val="center"/>
        </w:trPr>
        <w:tc>
          <w:tcPr>
            <w:tcW w:w="1649" w:type="dxa"/>
            <w:shd w:val="clear" w:color="auto" w:fill="auto"/>
            <w:vAlign w:val="center"/>
          </w:tcPr>
          <w:p w14:paraId="45A8DE14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No. of horses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A5C6FF7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62,124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7405A9B" w14:textId="2579FE6A" w:rsidR="00782653" w:rsidRPr="009C2700" w:rsidRDefault="00147A53" w:rsidP="00782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29,038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AE0BA2A" w14:textId="3379B347" w:rsidR="00782653" w:rsidRPr="009C2700" w:rsidRDefault="00147A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  <w:r w:rsidRPr="009C270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086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auto"/>
            <w:vAlign w:val="center"/>
          </w:tcPr>
          <w:p w14:paraId="6A52862B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Mean no. of horses</w:t>
            </w:r>
          </w:p>
        </w:tc>
        <w:tc>
          <w:tcPr>
            <w:tcW w:w="1176" w:type="dxa"/>
            <w:tcBorders>
              <w:left w:val="nil"/>
            </w:tcBorders>
            <w:shd w:val="clear" w:color="auto" w:fill="auto"/>
            <w:vAlign w:val="center"/>
          </w:tcPr>
          <w:p w14:paraId="7AF20033" w14:textId="795362C2" w:rsidR="00782653" w:rsidRPr="009C2700" w:rsidRDefault="00147A53" w:rsidP="00782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29,153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30FEA9E7" w14:textId="24F0C35C" w:rsidR="00782653" w:rsidRPr="009C2700" w:rsidRDefault="00147A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  <w:r w:rsidRPr="009C270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924</w:t>
            </w:r>
          </w:p>
        </w:tc>
      </w:tr>
      <w:tr w:rsidR="00782653" w:rsidRPr="009C2700" w14:paraId="23F4FE46" w14:textId="77777777" w:rsidTr="00512C3F">
        <w:trPr>
          <w:trHeight w:val="397"/>
          <w:jc w:val="center"/>
        </w:trPr>
        <w:tc>
          <w:tcPr>
            <w:tcW w:w="1649" w:type="dxa"/>
            <w:shd w:val="clear" w:color="auto" w:fill="auto"/>
            <w:vAlign w:val="center"/>
          </w:tcPr>
          <w:p w14:paraId="14E17D28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298B293F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Mean no. of horses per race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ABA14D3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10.3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FBDD2AC" w14:textId="186EEC59" w:rsidR="00782653" w:rsidRPr="009C2700" w:rsidRDefault="00147A53" w:rsidP="00782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047D92B" w14:textId="7C13334A" w:rsidR="00782653" w:rsidRPr="009C2700" w:rsidRDefault="00147A53" w:rsidP="00782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auto"/>
            <w:vAlign w:val="center"/>
          </w:tcPr>
          <w:p w14:paraId="7F630170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143B1615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Mean no. of  horses per race</w:t>
            </w:r>
          </w:p>
        </w:tc>
        <w:tc>
          <w:tcPr>
            <w:tcW w:w="1176" w:type="dxa"/>
            <w:tcBorders>
              <w:left w:val="nil"/>
            </w:tcBorders>
            <w:shd w:val="clear" w:color="auto" w:fill="auto"/>
            <w:vAlign w:val="center"/>
          </w:tcPr>
          <w:p w14:paraId="39CAE8CA" w14:textId="6F9F6FC4" w:rsidR="00782653" w:rsidRPr="009C2700" w:rsidRDefault="00147A53" w:rsidP="00782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385159F6" w14:textId="6B88AAE0" w:rsidR="00782653" w:rsidRPr="009C2700" w:rsidRDefault="00147A53" w:rsidP="00782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</w:tr>
      <w:tr w:rsidR="00782653" w:rsidRPr="009C2700" w14:paraId="322C0CC7" w14:textId="77777777" w:rsidTr="00512C3F">
        <w:trPr>
          <w:trHeight w:val="397"/>
          <w:jc w:val="center"/>
        </w:trPr>
        <w:tc>
          <w:tcPr>
            <w:tcW w:w="1649" w:type="dxa"/>
            <w:shd w:val="clear" w:color="auto" w:fill="auto"/>
            <w:vAlign w:val="center"/>
          </w:tcPr>
          <w:p w14:paraId="08CB76FC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No. of handicaps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0A053D4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3255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1BC9AEC" w14:textId="72FDD0A4" w:rsidR="00782653" w:rsidRPr="009C2700" w:rsidRDefault="00147A53" w:rsidP="00782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B901E55" w14:textId="676A422D" w:rsidR="00782653" w:rsidRPr="009C2700" w:rsidRDefault="00147A53" w:rsidP="00782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1894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auto"/>
            <w:vAlign w:val="center"/>
          </w:tcPr>
          <w:p w14:paraId="42E89CFA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70DAE8CD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Mean no. of handicaps</w:t>
            </w:r>
          </w:p>
          <w:p w14:paraId="1921F357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nil"/>
            </w:tcBorders>
            <w:shd w:val="clear" w:color="auto" w:fill="auto"/>
            <w:vAlign w:val="center"/>
          </w:tcPr>
          <w:p w14:paraId="4681159D" w14:textId="29A41AF7" w:rsidR="00782653" w:rsidRPr="009C2700" w:rsidRDefault="00147A53" w:rsidP="00782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1628.0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61270D09" w14:textId="1DC2D7A2" w:rsidR="00782653" w:rsidRPr="009C2700" w:rsidRDefault="00147A53" w:rsidP="00782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1626.8</w:t>
            </w:r>
          </w:p>
        </w:tc>
      </w:tr>
      <w:tr w:rsidR="00782653" w:rsidRPr="009C2700" w14:paraId="1D259D35" w14:textId="77777777" w:rsidTr="00512C3F">
        <w:trPr>
          <w:trHeight w:val="397"/>
          <w:jc w:val="center"/>
        </w:trPr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30775" w14:textId="182B51D9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Prop</w:t>
            </w:r>
            <w:r w:rsidR="00BB6A99">
              <w:rPr>
                <w:sz w:val="18"/>
                <w:szCs w:val="18"/>
              </w:rPr>
              <w:t>ortion</w:t>
            </w:r>
            <w:r w:rsidRPr="009C2700">
              <w:rPr>
                <w:sz w:val="18"/>
                <w:szCs w:val="18"/>
              </w:rPr>
              <w:t xml:space="preserve"> of handicaps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1F330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0.537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B508E" w14:textId="754AFFFC" w:rsidR="00782653" w:rsidRPr="009C2700" w:rsidRDefault="00147A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449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E2271" w14:textId="669AED0F" w:rsidR="00782653" w:rsidRPr="009C2700" w:rsidRDefault="00147A53" w:rsidP="00782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0.625</w:t>
            </w:r>
          </w:p>
        </w:tc>
        <w:tc>
          <w:tcPr>
            <w:tcW w:w="176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69C0E22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5BD71A52" w14:textId="18688E0D" w:rsidR="00782653" w:rsidRPr="009C2700" w:rsidRDefault="00BB6A99" w:rsidP="00782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 proportion</w:t>
            </w:r>
            <w:r w:rsidR="00782653" w:rsidRPr="009C2700">
              <w:rPr>
                <w:sz w:val="18"/>
                <w:szCs w:val="18"/>
              </w:rPr>
              <w:t xml:space="preserve"> of handicaps</w:t>
            </w:r>
          </w:p>
          <w:p w14:paraId="6619B240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2D821C3" w14:textId="25E90611" w:rsidR="00782653" w:rsidRPr="009C2700" w:rsidRDefault="00147A53" w:rsidP="00782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0.537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E785" w14:textId="126EF549" w:rsidR="00782653" w:rsidRPr="009C2700" w:rsidRDefault="00147A53" w:rsidP="00782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0.537</w:t>
            </w:r>
          </w:p>
        </w:tc>
      </w:tr>
      <w:tr w:rsidR="00782653" w:rsidRPr="009C2700" w14:paraId="544B8D35" w14:textId="77777777" w:rsidTr="00512C3F">
        <w:trPr>
          <w:trHeight w:val="397"/>
          <w:jc w:val="center"/>
        </w:trPr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CB419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 xml:space="preserve">Mean Shin </w:t>
            </w:r>
            <w:r w:rsidRPr="009C2700">
              <w:rPr>
                <w:i/>
                <w:iCs/>
                <w:sz w:val="18"/>
                <w:szCs w:val="18"/>
              </w:rPr>
              <w:t>z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6059D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215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22C67" w14:textId="16160BEF" w:rsidR="00782653" w:rsidRPr="009C2700" w:rsidRDefault="00782653" w:rsidP="00147A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0.</w:t>
            </w:r>
            <w:r w:rsidR="00147A53">
              <w:rPr>
                <w:sz w:val="18"/>
                <w:szCs w:val="18"/>
              </w:rPr>
              <w:t>0259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9E597D" w14:textId="42D81D21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147A53" w:rsidRPr="009C2700">
              <w:rPr>
                <w:sz w:val="18"/>
                <w:szCs w:val="18"/>
              </w:rPr>
              <w:t>0</w:t>
            </w:r>
            <w:r w:rsidR="00147A53">
              <w:rPr>
                <w:sz w:val="18"/>
                <w:szCs w:val="18"/>
              </w:rPr>
              <w:t>172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BDBE3BC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 xml:space="preserve">Mean Shin </w:t>
            </w:r>
            <w:r w:rsidRPr="009C2700">
              <w:rPr>
                <w:i/>
                <w:iCs/>
                <w:sz w:val="18"/>
                <w:szCs w:val="18"/>
              </w:rPr>
              <w:t>z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DBC562D" w14:textId="3F6F716B" w:rsidR="00782653" w:rsidRPr="009C2700" w:rsidRDefault="00782653" w:rsidP="00147A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0.</w:t>
            </w:r>
            <w:r w:rsidR="00147A53">
              <w:rPr>
                <w:sz w:val="18"/>
                <w:szCs w:val="18"/>
              </w:rPr>
              <w:t>0256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2BCA4" w14:textId="48151D66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0.</w:t>
            </w:r>
            <w:r w:rsidR="00147A53">
              <w:rPr>
                <w:sz w:val="18"/>
                <w:szCs w:val="18"/>
              </w:rPr>
              <w:t>0172</w:t>
            </w:r>
          </w:p>
        </w:tc>
      </w:tr>
      <w:tr w:rsidR="00782653" w:rsidRPr="009C2700" w14:paraId="3AC705DB" w14:textId="77777777" w:rsidTr="00512C3F">
        <w:trPr>
          <w:trHeight w:val="397"/>
          <w:jc w:val="center"/>
        </w:trPr>
        <w:tc>
          <w:tcPr>
            <w:tcW w:w="1649" w:type="dxa"/>
            <w:shd w:val="clear" w:color="auto" w:fill="auto"/>
            <w:vAlign w:val="center"/>
          </w:tcPr>
          <w:p w14:paraId="34BA1565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 xml:space="preserve">Level of FLB </w:t>
            </w:r>
            <w:r w:rsidRPr="009C2700">
              <w:rPr>
                <w:i/>
                <w:iCs/>
                <w:sz w:val="18"/>
                <w:szCs w:val="18"/>
              </w:rPr>
              <w:t>β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DF34038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1.014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FEF88C4" w14:textId="7461B6FF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1.0</w:t>
            </w:r>
            <w:r w:rsidR="00147A53">
              <w:rPr>
                <w:sz w:val="18"/>
                <w:szCs w:val="18"/>
              </w:rPr>
              <w:t>17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39C4EE7" w14:textId="57A5264D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1.0</w:t>
            </w:r>
            <w:r w:rsidR="00147A53">
              <w:rPr>
                <w:sz w:val="18"/>
                <w:szCs w:val="18"/>
              </w:rPr>
              <w:t>10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auto"/>
            <w:vAlign w:val="center"/>
          </w:tcPr>
          <w:p w14:paraId="31B6DD6D" w14:textId="6B622072" w:rsidR="00782653" w:rsidRPr="009C2700" w:rsidRDefault="00F60044" w:rsidP="00782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782653" w:rsidRPr="009C2700">
              <w:rPr>
                <w:sz w:val="18"/>
                <w:szCs w:val="18"/>
              </w:rPr>
              <w:t xml:space="preserve">ean level of FLB </w:t>
            </w:r>
            <w:r w:rsidR="00782653" w:rsidRPr="009C2700">
              <w:rPr>
                <w:i/>
                <w:iCs/>
                <w:sz w:val="18"/>
                <w:szCs w:val="18"/>
              </w:rPr>
              <w:t>β</w:t>
            </w:r>
          </w:p>
        </w:tc>
        <w:tc>
          <w:tcPr>
            <w:tcW w:w="1176" w:type="dxa"/>
            <w:tcBorders>
              <w:left w:val="nil"/>
            </w:tcBorders>
            <w:shd w:val="clear" w:color="auto" w:fill="auto"/>
            <w:vAlign w:val="center"/>
          </w:tcPr>
          <w:p w14:paraId="4F5970DE" w14:textId="54D50CEA" w:rsidR="00782653" w:rsidRPr="009C2700" w:rsidRDefault="00782653" w:rsidP="0014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  <w:r w:rsidR="00147A53">
              <w:rPr>
                <w:sz w:val="18"/>
                <w:szCs w:val="18"/>
              </w:rPr>
              <w:t>22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354BDF6C" w14:textId="484BD7CC" w:rsidR="00782653" w:rsidRPr="009C2700" w:rsidRDefault="00782653" w:rsidP="00147A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1.0</w:t>
            </w:r>
            <w:r w:rsidR="00147A53">
              <w:rPr>
                <w:sz w:val="18"/>
                <w:szCs w:val="18"/>
              </w:rPr>
              <w:t>13</w:t>
            </w:r>
          </w:p>
        </w:tc>
      </w:tr>
      <w:tr w:rsidR="00782653" w:rsidRPr="009C2700" w14:paraId="2C57F11F" w14:textId="77777777" w:rsidTr="00512C3F">
        <w:trPr>
          <w:trHeight w:val="397"/>
          <w:jc w:val="center"/>
        </w:trPr>
        <w:tc>
          <w:tcPr>
            <w:tcW w:w="1649" w:type="dxa"/>
            <w:shd w:val="clear" w:color="auto" w:fill="auto"/>
            <w:vAlign w:val="center"/>
          </w:tcPr>
          <w:p w14:paraId="00387150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105FB9DF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436A4F25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606B09F3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nil"/>
            </w:tcBorders>
            <w:shd w:val="clear" w:color="auto" w:fill="auto"/>
            <w:vAlign w:val="center"/>
          </w:tcPr>
          <w:p w14:paraId="05699496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i/>
                <w:iCs/>
                <w:sz w:val="18"/>
                <w:szCs w:val="18"/>
              </w:rPr>
              <w:t>z</w:t>
            </w:r>
            <w:r w:rsidRPr="009C2700">
              <w:rPr>
                <w:sz w:val="18"/>
                <w:szCs w:val="18"/>
              </w:rPr>
              <w:t>(</w:t>
            </w:r>
            <w:r w:rsidRPr="009C2700">
              <w:rPr>
                <w:i/>
                <w:iCs/>
                <w:sz w:val="18"/>
                <w:szCs w:val="18"/>
              </w:rPr>
              <w:t>β</w:t>
            </w:r>
            <w:r w:rsidRPr="009C2700">
              <w:rPr>
                <w:sz w:val="18"/>
                <w:szCs w:val="18"/>
              </w:rPr>
              <w:t>)</w:t>
            </w:r>
          </w:p>
          <w:p w14:paraId="3E75E1C9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4B63A4B3" w14:textId="77777777" w:rsidR="00782653" w:rsidRPr="009C2700" w:rsidRDefault="00782653" w:rsidP="00782653">
            <w:pPr>
              <w:rPr>
                <w:i/>
                <w:iCs/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(</w:t>
            </w:r>
            <w:r w:rsidRPr="009C2700">
              <w:rPr>
                <w:i/>
                <w:sz w:val="18"/>
                <w:szCs w:val="18"/>
              </w:rPr>
              <w:t>S.E.</w:t>
            </w:r>
            <w:r w:rsidRPr="009C2700">
              <w:rPr>
                <w:sz w:val="18"/>
                <w:szCs w:val="18"/>
              </w:rPr>
              <w:t>)</w:t>
            </w:r>
          </w:p>
        </w:tc>
        <w:tc>
          <w:tcPr>
            <w:tcW w:w="250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8B24836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7A8909A5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26</w:t>
            </w:r>
          </w:p>
          <w:p w14:paraId="7643EA76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2686A3E2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(0.03</w:t>
            </w:r>
            <w:r>
              <w:rPr>
                <w:sz w:val="18"/>
                <w:szCs w:val="18"/>
              </w:rPr>
              <w:t>4</w:t>
            </w:r>
            <w:r w:rsidRPr="009C2700">
              <w:rPr>
                <w:sz w:val="18"/>
                <w:szCs w:val="18"/>
              </w:rPr>
              <w:t>)</w:t>
            </w:r>
          </w:p>
          <w:p w14:paraId="1649E80D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</w:tc>
      </w:tr>
      <w:tr w:rsidR="00782653" w:rsidRPr="009C2700" w14:paraId="3FCB4440" w14:textId="77777777" w:rsidTr="00512C3F">
        <w:trPr>
          <w:trHeight w:val="397"/>
          <w:jc w:val="center"/>
        </w:trPr>
        <w:tc>
          <w:tcPr>
            <w:tcW w:w="1649" w:type="dxa"/>
            <w:shd w:val="clear" w:color="auto" w:fill="auto"/>
            <w:vAlign w:val="center"/>
          </w:tcPr>
          <w:p w14:paraId="15815BA8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[</w:t>
            </w:r>
            <w:r w:rsidRPr="009C2700">
              <w:rPr>
                <w:i/>
                <w:iCs/>
                <w:sz w:val="18"/>
                <w:szCs w:val="18"/>
              </w:rPr>
              <w:t>β</w:t>
            </w:r>
            <w:r w:rsidRPr="009C2700">
              <w:rPr>
                <w:sz w:val="18"/>
                <w:szCs w:val="18"/>
              </w:rPr>
              <w:t xml:space="preserve">-1] / </w:t>
            </w:r>
            <w:r w:rsidRPr="009C2700">
              <w:rPr>
                <w:i/>
                <w:sz w:val="18"/>
                <w:szCs w:val="18"/>
              </w:rPr>
              <w:t>S.E.</w:t>
            </w:r>
            <w:r w:rsidRPr="009C2700">
              <w:rPr>
                <w:sz w:val="18"/>
                <w:szCs w:val="18"/>
              </w:rPr>
              <w:t>[</w:t>
            </w:r>
            <w:r w:rsidRPr="009C2700">
              <w:rPr>
                <w:i/>
                <w:iCs/>
                <w:sz w:val="18"/>
                <w:szCs w:val="18"/>
              </w:rPr>
              <w:t>β</w:t>
            </w:r>
            <w:r w:rsidRPr="009C2700">
              <w:rPr>
                <w:sz w:val="18"/>
                <w:szCs w:val="18"/>
              </w:rPr>
              <w:t>]</w:t>
            </w:r>
          </w:p>
          <w:p w14:paraId="1EA5F282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 xml:space="preserve"> </w:t>
            </w:r>
          </w:p>
          <w:p w14:paraId="7242C167" w14:textId="77777777" w:rsidR="00782653" w:rsidRDefault="00782653" w:rsidP="00782653">
            <w:pPr>
              <w:rPr>
                <w:iCs/>
                <w:sz w:val="18"/>
                <w:szCs w:val="18"/>
              </w:rPr>
            </w:pPr>
            <w:r w:rsidRPr="009C2700">
              <w:rPr>
                <w:iCs/>
                <w:sz w:val="18"/>
                <w:szCs w:val="18"/>
              </w:rPr>
              <w:t>(</w:t>
            </w:r>
            <w:r w:rsidRPr="009C2700">
              <w:rPr>
                <w:i/>
                <w:iCs/>
                <w:sz w:val="18"/>
                <w:szCs w:val="18"/>
              </w:rPr>
              <w:t>S.E.</w:t>
            </w:r>
            <w:r w:rsidRPr="009C2700">
              <w:rPr>
                <w:sz w:val="18"/>
                <w:szCs w:val="18"/>
              </w:rPr>
              <w:t>[</w:t>
            </w:r>
            <w:r w:rsidRPr="009C2700">
              <w:rPr>
                <w:i/>
                <w:iCs/>
                <w:sz w:val="18"/>
                <w:szCs w:val="18"/>
              </w:rPr>
              <w:t>β</w:t>
            </w:r>
            <w:r w:rsidRPr="009C2700">
              <w:rPr>
                <w:sz w:val="18"/>
                <w:szCs w:val="18"/>
              </w:rPr>
              <w:t>]</w:t>
            </w:r>
            <w:r w:rsidRPr="009C2700">
              <w:rPr>
                <w:iCs/>
                <w:sz w:val="18"/>
                <w:szCs w:val="18"/>
              </w:rPr>
              <w:t>)</w:t>
            </w:r>
          </w:p>
          <w:p w14:paraId="5F551AB9" w14:textId="77777777" w:rsidR="00512C3F" w:rsidRPr="009C2700" w:rsidRDefault="00512C3F" w:rsidP="00782653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169B0141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0.78</w:t>
            </w:r>
            <w:r w:rsidRPr="009C2700">
              <w:rPr>
                <w:sz w:val="18"/>
                <w:szCs w:val="18"/>
              </w:rPr>
              <w:br/>
            </w:r>
          </w:p>
          <w:p w14:paraId="091E80E0" w14:textId="77777777" w:rsidR="00782653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(0.017)</w:t>
            </w:r>
          </w:p>
          <w:p w14:paraId="538BCC97" w14:textId="77777777" w:rsidR="00512C3F" w:rsidRPr="009C2700" w:rsidRDefault="00512C3F" w:rsidP="00782653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3E69121F" w14:textId="3FE27AD9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0.</w:t>
            </w:r>
            <w:r w:rsidR="00147A53">
              <w:rPr>
                <w:sz w:val="18"/>
                <w:szCs w:val="18"/>
              </w:rPr>
              <w:t>71</w:t>
            </w:r>
            <w:r w:rsidRPr="009C2700">
              <w:rPr>
                <w:sz w:val="18"/>
                <w:szCs w:val="18"/>
              </w:rPr>
              <w:br/>
            </w:r>
          </w:p>
          <w:p w14:paraId="21710D78" w14:textId="77777777" w:rsidR="00782653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(0.02</w:t>
            </w:r>
            <w:r w:rsidR="00147A53">
              <w:rPr>
                <w:sz w:val="18"/>
                <w:szCs w:val="18"/>
              </w:rPr>
              <w:t>4</w:t>
            </w:r>
            <w:r w:rsidRPr="009C2700">
              <w:rPr>
                <w:sz w:val="18"/>
                <w:szCs w:val="18"/>
              </w:rPr>
              <w:t>)</w:t>
            </w:r>
          </w:p>
          <w:p w14:paraId="5FE8F5FE" w14:textId="38741474" w:rsidR="00512C3F" w:rsidRPr="009C2700" w:rsidRDefault="00512C3F" w:rsidP="00782653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23C76A2C" w14:textId="11F470D3" w:rsidR="00782653" w:rsidRPr="009C2700" w:rsidRDefault="00782653" w:rsidP="00782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47A53">
              <w:rPr>
                <w:sz w:val="18"/>
                <w:szCs w:val="18"/>
              </w:rPr>
              <w:t>39</w:t>
            </w:r>
            <w:r w:rsidRPr="009C2700">
              <w:rPr>
                <w:sz w:val="18"/>
                <w:szCs w:val="18"/>
              </w:rPr>
              <w:br/>
            </w:r>
          </w:p>
          <w:p w14:paraId="4E2CA2DE" w14:textId="77777777" w:rsidR="00782653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(0.02</w:t>
            </w:r>
            <w:r w:rsidR="00147A53">
              <w:rPr>
                <w:sz w:val="18"/>
                <w:szCs w:val="18"/>
              </w:rPr>
              <w:t>5</w:t>
            </w:r>
            <w:r w:rsidRPr="009C2700">
              <w:rPr>
                <w:sz w:val="18"/>
                <w:szCs w:val="18"/>
              </w:rPr>
              <w:t>)</w:t>
            </w:r>
          </w:p>
          <w:p w14:paraId="3440D567" w14:textId="62BAFEA8" w:rsidR="00512C3F" w:rsidRPr="009C2700" w:rsidRDefault="00512C3F" w:rsidP="00782653">
            <w:pPr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nil"/>
            </w:tcBorders>
            <w:shd w:val="clear" w:color="auto" w:fill="auto"/>
            <w:vAlign w:val="center"/>
          </w:tcPr>
          <w:p w14:paraId="7697D4EE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[</w:t>
            </w:r>
            <w:r w:rsidRPr="009C2700">
              <w:rPr>
                <w:i/>
                <w:iCs/>
                <w:sz w:val="18"/>
                <w:szCs w:val="18"/>
              </w:rPr>
              <w:t>β</w:t>
            </w:r>
            <w:r w:rsidRPr="009C2700">
              <w:rPr>
                <w:sz w:val="18"/>
                <w:szCs w:val="18"/>
              </w:rPr>
              <w:t xml:space="preserve">-1] / </w:t>
            </w:r>
            <w:r w:rsidRPr="009C2700">
              <w:rPr>
                <w:i/>
                <w:sz w:val="18"/>
                <w:szCs w:val="18"/>
              </w:rPr>
              <w:t>S.E.</w:t>
            </w:r>
            <w:r w:rsidRPr="009C2700">
              <w:rPr>
                <w:sz w:val="18"/>
                <w:szCs w:val="18"/>
              </w:rPr>
              <w:t>[</w:t>
            </w:r>
            <w:r w:rsidRPr="009C2700">
              <w:rPr>
                <w:i/>
                <w:iCs/>
                <w:sz w:val="18"/>
                <w:szCs w:val="18"/>
              </w:rPr>
              <w:t>β</w:t>
            </w:r>
            <w:r w:rsidRPr="009C2700">
              <w:rPr>
                <w:sz w:val="18"/>
                <w:szCs w:val="18"/>
              </w:rPr>
              <w:t>]</w:t>
            </w:r>
          </w:p>
          <w:p w14:paraId="39D0A466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7A84A7F7" w14:textId="77777777" w:rsidR="00782653" w:rsidRDefault="00782653" w:rsidP="00782653">
            <w:pPr>
              <w:rPr>
                <w:iCs/>
                <w:sz w:val="18"/>
                <w:szCs w:val="18"/>
              </w:rPr>
            </w:pPr>
            <w:r w:rsidRPr="009C2700">
              <w:rPr>
                <w:iCs/>
                <w:sz w:val="18"/>
                <w:szCs w:val="18"/>
              </w:rPr>
              <w:t>(</w:t>
            </w:r>
            <w:r w:rsidRPr="009C2700">
              <w:rPr>
                <w:i/>
                <w:iCs/>
                <w:sz w:val="18"/>
                <w:szCs w:val="18"/>
              </w:rPr>
              <w:t>S.E.</w:t>
            </w:r>
            <w:r w:rsidRPr="009C2700">
              <w:rPr>
                <w:sz w:val="18"/>
                <w:szCs w:val="18"/>
              </w:rPr>
              <w:t>[</w:t>
            </w:r>
            <w:r w:rsidRPr="009C2700">
              <w:rPr>
                <w:i/>
                <w:iCs/>
                <w:sz w:val="18"/>
                <w:szCs w:val="18"/>
              </w:rPr>
              <w:t>β</w:t>
            </w:r>
            <w:r w:rsidRPr="009C2700">
              <w:rPr>
                <w:sz w:val="18"/>
                <w:szCs w:val="18"/>
              </w:rPr>
              <w:t>]</w:t>
            </w:r>
            <w:r w:rsidRPr="009C2700">
              <w:rPr>
                <w:iCs/>
                <w:sz w:val="18"/>
                <w:szCs w:val="18"/>
              </w:rPr>
              <w:t>)</w:t>
            </w:r>
          </w:p>
          <w:p w14:paraId="143FB34D" w14:textId="77777777" w:rsidR="00512C3F" w:rsidRPr="009C2700" w:rsidRDefault="00512C3F" w:rsidP="00782653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nil"/>
            </w:tcBorders>
            <w:shd w:val="clear" w:color="auto" w:fill="auto"/>
            <w:vAlign w:val="center"/>
          </w:tcPr>
          <w:p w14:paraId="06895CED" w14:textId="31157994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0.</w:t>
            </w:r>
            <w:r w:rsidR="00147A53">
              <w:rPr>
                <w:sz w:val="18"/>
                <w:szCs w:val="18"/>
              </w:rPr>
              <w:t>93</w:t>
            </w:r>
            <w:r w:rsidRPr="009C2700">
              <w:rPr>
                <w:sz w:val="18"/>
                <w:szCs w:val="18"/>
              </w:rPr>
              <w:br/>
            </w:r>
          </w:p>
          <w:p w14:paraId="0416D20B" w14:textId="77777777" w:rsidR="00782653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(0.02</w:t>
            </w:r>
            <w:r w:rsidR="00147A53">
              <w:rPr>
                <w:sz w:val="18"/>
                <w:szCs w:val="18"/>
              </w:rPr>
              <w:t>3</w:t>
            </w:r>
            <w:r w:rsidRPr="009C2700">
              <w:rPr>
                <w:sz w:val="18"/>
                <w:szCs w:val="18"/>
              </w:rPr>
              <w:t>)</w:t>
            </w:r>
          </w:p>
          <w:p w14:paraId="5EBEAC6A" w14:textId="34CECF6E" w:rsidR="00512C3F" w:rsidRPr="009C2700" w:rsidRDefault="00512C3F" w:rsidP="00782653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6685164" w14:textId="553276D1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0.</w:t>
            </w:r>
            <w:r w:rsidR="00147A53">
              <w:rPr>
                <w:sz w:val="18"/>
                <w:szCs w:val="18"/>
              </w:rPr>
              <w:t>52</w:t>
            </w:r>
            <w:r w:rsidRPr="009C2700">
              <w:rPr>
                <w:sz w:val="18"/>
                <w:szCs w:val="18"/>
              </w:rPr>
              <w:br/>
            </w:r>
          </w:p>
          <w:p w14:paraId="06519D93" w14:textId="77777777" w:rsidR="00782653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(0.02</w:t>
            </w:r>
            <w:r w:rsidR="00147A53">
              <w:rPr>
                <w:sz w:val="18"/>
                <w:szCs w:val="18"/>
              </w:rPr>
              <w:t>5</w:t>
            </w:r>
            <w:r w:rsidRPr="009C2700">
              <w:rPr>
                <w:sz w:val="18"/>
                <w:szCs w:val="18"/>
              </w:rPr>
              <w:t>)</w:t>
            </w:r>
          </w:p>
          <w:p w14:paraId="5B073D65" w14:textId="6409E4A3" w:rsidR="00512C3F" w:rsidRPr="009C2700" w:rsidRDefault="00512C3F" w:rsidP="00782653">
            <w:pPr>
              <w:rPr>
                <w:sz w:val="18"/>
                <w:szCs w:val="18"/>
              </w:rPr>
            </w:pPr>
          </w:p>
        </w:tc>
      </w:tr>
      <w:tr w:rsidR="00782653" w:rsidRPr="009C2700" w14:paraId="446DC61A" w14:textId="77777777" w:rsidTr="00512C3F">
        <w:trPr>
          <w:trHeight w:val="397"/>
          <w:jc w:val="center"/>
        </w:trPr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632987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213CF46A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proofErr w:type="spellStart"/>
            <w:r w:rsidRPr="009C2700">
              <w:rPr>
                <w:sz w:val="18"/>
                <w:szCs w:val="18"/>
              </w:rPr>
              <w:t>ln</w:t>
            </w:r>
            <w:r w:rsidRPr="009C2700">
              <w:rPr>
                <w:i/>
                <w:iCs/>
                <w:sz w:val="18"/>
                <w:szCs w:val="18"/>
              </w:rPr>
              <w:t>L</w:t>
            </w:r>
            <w:proofErr w:type="spellEnd"/>
            <w:r w:rsidRPr="009C2700">
              <w:rPr>
                <w:sz w:val="18"/>
                <w:szCs w:val="18"/>
              </w:rPr>
              <w:t>(naive)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794E37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5ABA674D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-13,670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9CE36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4508D445" w14:textId="1E71B640" w:rsidR="00782653" w:rsidRPr="009C2700" w:rsidRDefault="00782653" w:rsidP="00147A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-</w:t>
            </w:r>
            <w:r w:rsidR="00147A53">
              <w:rPr>
                <w:sz w:val="18"/>
                <w:szCs w:val="18"/>
              </w:rPr>
              <w:t>6555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C42F0F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474E440A" w14:textId="68955A34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-</w:t>
            </w:r>
            <w:r w:rsidR="00147A53" w:rsidRPr="009C2700">
              <w:rPr>
                <w:sz w:val="18"/>
                <w:szCs w:val="18"/>
              </w:rPr>
              <w:t>7</w:t>
            </w:r>
            <w:r w:rsidR="00147A53">
              <w:rPr>
                <w:sz w:val="18"/>
                <w:szCs w:val="18"/>
              </w:rPr>
              <w:t>116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0951B90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134F1452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 xml:space="preserve">Mean </w:t>
            </w:r>
            <w:proofErr w:type="spellStart"/>
            <w:r w:rsidRPr="009C2700">
              <w:rPr>
                <w:sz w:val="18"/>
                <w:szCs w:val="18"/>
              </w:rPr>
              <w:t>ln</w:t>
            </w:r>
            <w:r w:rsidRPr="009C2700">
              <w:rPr>
                <w:i/>
                <w:iCs/>
                <w:sz w:val="18"/>
                <w:szCs w:val="18"/>
              </w:rPr>
              <w:t>L</w:t>
            </w:r>
            <w:proofErr w:type="spellEnd"/>
            <w:r w:rsidRPr="009C2700">
              <w:rPr>
                <w:sz w:val="18"/>
                <w:szCs w:val="18"/>
              </w:rPr>
              <w:t>(naive)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BCB3952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1E62ED16" w14:textId="49062699" w:rsidR="00782653" w:rsidRPr="009C2700" w:rsidRDefault="00782653" w:rsidP="0014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47A53">
              <w:rPr>
                <w:sz w:val="18"/>
                <w:szCs w:val="18"/>
              </w:rPr>
              <w:t>6571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2E26DA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09956C70" w14:textId="6A1B585E" w:rsidR="00782653" w:rsidRPr="009C2700" w:rsidRDefault="00147A53" w:rsidP="00782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-7100</w:t>
            </w:r>
          </w:p>
        </w:tc>
      </w:tr>
      <w:tr w:rsidR="00782653" w:rsidRPr="009C2700" w14:paraId="15001478" w14:textId="77777777" w:rsidTr="00512C3F">
        <w:trPr>
          <w:trHeight w:val="397"/>
          <w:jc w:val="center"/>
        </w:trPr>
        <w:tc>
          <w:tcPr>
            <w:tcW w:w="1649" w:type="dxa"/>
            <w:shd w:val="clear" w:color="auto" w:fill="auto"/>
            <w:vAlign w:val="center"/>
          </w:tcPr>
          <w:p w14:paraId="42559CE0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69701783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proofErr w:type="spellStart"/>
            <w:r w:rsidRPr="009C2700">
              <w:rPr>
                <w:sz w:val="18"/>
                <w:szCs w:val="18"/>
              </w:rPr>
              <w:t>ln</w:t>
            </w:r>
            <w:r w:rsidRPr="009C2700">
              <w:rPr>
                <w:i/>
                <w:iCs/>
                <w:sz w:val="18"/>
                <w:szCs w:val="18"/>
              </w:rPr>
              <w:t>L</w:t>
            </w:r>
            <w:proofErr w:type="spellEnd"/>
            <w:r w:rsidRPr="009C2700">
              <w:rPr>
                <w:sz w:val="18"/>
                <w:szCs w:val="18"/>
              </w:rPr>
              <w:t>(full)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C42EA23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7E1D099E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-11,125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B06E87C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1311C114" w14:textId="1F253AC0" w:rsidR="00782653" w:rsidRPr="009C2700" w:rsidRDefault="00782653" w:rsidP="00147A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-</w:t>
            </w:r>
            <w:r w:rsidR="00147A53">
              <w:rPr>
                <w:sz w:val="18"/>
                <w:szCs w:val="18"/>
              </w:rPr>
              <w:t>5132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B28E28D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5A87FD3C" w14:textId="569F07F3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-</w:t>
            </w:r>
            <w:r w:rsidR="00147A53">
              <w:rPr>
                <w:sz w:val="18"/>
                <w:szCs w:val="18"/>
              </w:rPr>
              <w:t>5993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auto"/>
            <w:vAlign w:val="center"/>
          </w:tcPr>
          <w:p w14:paraId="2E0AC19D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6DB25D34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 xml:space="preserve">Mean </w:t>
            </w:r>
            <w:proofErr w:type="spellStart"/>
            <w:r w:rsidRPr="009C2700">
              <w:rPr>
                <w:sz w:val="18"/>
                <w:szCs w:val="18"/>
              </w:rPr>
              <w:t>ln</w:t>
            </w:r>
            <w:r w:rsidRPr="009C2700">
              <w:rPr>
                <w:i/>
                <w:iCs/>
                <w:sz w:val="18"/>
                <w:szCs w:val="18"/>
              </w:rPr>
              <w:t>L</w:t>
            </w:r>
            <w:proofErr w:type="spellEnd"/>
            <w:r w:rsidRPr="009C2700">
              <w:rPr>
                <w:sz w:val="18"/>
                <w:szCs w:val="18"/>
              </w:rPr>
              <w:t>(full)</w:t>
            </w:r>
          </w:p>
        </w:tc>
        <w:tc>
          <w:tcPr>
            <w:tcW w:w="1176" w:type="dxa"/>
            <w:tcBorders>
              <w:left w:val="nil"/>
            </w:tcBorders>
            <w:shd w:val="clear" w:color="auto" w:fill="auto"/>
            <w:vAlign w:val="center"/>
          </w:tcPr>
          <w:p w14:paraId="6EAE846E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381B6992" w14:textId="6AE356CA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-</w:t>
            </w:r>
            <w:r w:rsidR="00147A53">
              <w:rPr>
                <w:sz w:val="18"/>
                <w:szCs w:val="18"/>
              </w:rPr>
              <w:t>5229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EADD863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3E531958" w14:textId="079CAFAD" w:rsidR="00782653" w:rsidRPr="009C2700" w:rsidRDefault="00782653" w:rsidP="00147A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-</w:t>
            </w:r>
            <w:r w:rsidR="00147A53">
              <w:rPr>
                <w:sz w:val="18"/>
                <w:szCs w:val="18"/>
              </w:rPr>
              <w:t>5894</w:t>
            </w:r>
          </w:p>
        </w:tc>
      </w:tr>
      <w:tr w:rsidR="00782653" w:rsidRPr="009C2700" w14:paraId="51654F38" w14:textId="77777777" w:rsidTr="00512C3F">
        <w:trPr>
          <w:trHeight w:val="397"/>
          <w:jc w:val="center"/>
        </w:trPr>
        <w:tc>
          <w:tcPr>
            <w:tcW w:w="1649" w:type="dxa"/>
            <w:shd w:val="clear" w:color="auto" w:fill="auto"/>
            <w:vAlign w:val="center"/>
          </w:tcPr>
          <w:p w14:paraId="3F1E0EB8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2E5886D4" w14:textId="77777777" w:rsidR="00512C3F" w:rsidRDefault="00512C3F" w:rsidP="00782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Efficiency</w:t>
            </w:r>
          </w:p>
          <w:p w14:paraId="7F277B7C" w14:textId="153936FB" w:rsidR="00782653" w:rsidRPr="009C2700" w:rsidRDefault="00512C3F" w:rsidP="00782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</w:t>
            </w:r>
            <w:r w:rsidR="00782653" w:rsidRPr="009C2700">
              <w:rPr>
                <w:sz w:val="18"/>
                <w:szCs w:val="18"/>
              </w:rPr>
              <w:t>seudo-</w:t>
            </w:r>
            <w:r w:rsidR="00782653" w:rsidRPr="009C2700">
              <w:rPr>
                <w:i/>
                <w:iCs/>
                <w:sz w:val="18"/>
                <w:szCs w:val="18"/>
              </w:rPr>
              <w:t>R</w:t>
            </w:r>
            <w:r w:rsidR="00782653" w:rsidRPr="009C2700">
              <w:rPr>
                <w:sz w:val="18"/>
                <w:szCs w:val="18"/>
                <w:vertAlign w:val="superscript"/>
              </w:rPr>
              <w:t>2</w:t>
            </w:r>
            <w:r w:rsidRPr="00512C3F">
              <w:rPr>
                <w:sz w:val="18"/>
                <w:szCs w:val="18"/>
              </w:rPr>
              <w:t>)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8B951AA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687EA5EC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0.5684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DB02D4B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4AC678ED" w14:textId="766286AB" w:rsidR="00782653" w:rsidRPr="009C2700" w:rsidRDefault="00782653" w:rsidP="00147A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0.</w:t>
            </w:r>
            <w:r w:rsidR="00147A53">
              <w:rPr>
                <w:sz w:val="18"/>
                <w:szCs w:val="18"/>
              </w:rPr>
              <w:t>6091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B19FE67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6F419B3E" w14:textId="0C339A65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0.</w:t>
            </w:r>
            <w:r w:rsidR="00147A53">
              <w:rPr>
                <w:sz w:val="18"/>
                <w:szCs w:val="18"/>
              </w:rPr>
              <w:t>5235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auto"/>
            <w:vAlign w:val="center"/>
          </w:tcPr>
          <w:p w14:paraId="42ED93F5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 xml:space="preserve"> </w:t>
            </w:r>
          </w:p>
          <w:p w14:paraId="2F51F05A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i/>
                <w:iCs/>
                <w:sz w:val="18"/>
                <w:szCs w:val="18"/>
              </w:rPr>
              <w:t>μ</w:t>
            </w:r>
            <w:r w:rsidRPr="009C2700">
              <w:rPr>
                <w:sz w:val="18"/>
                <w:szCs w:val="18"/>
              </w:rPr>
              <w:t>(</w:t>
            </w:r>
            <w:r w:rsidRPr="009C2700">
              <w:rPr>
                <w:i/>
                <w:iCs/>
                <w:sz w:val="18"/>
                <w:szCs w:val="18"/>
              </w:rPr>
              <w:t>R</w:t>
            </w:r>
            <w:r w:rsidRPr="009C2700">
              <w:rPr>
                <w:sz w:val="18"/>
                <w:szCs w:val="18"/>
                <w:vertAlign w:val="superscript"/>
              </w:rPr>
              <w:t>2</w:t>
            </w:r>
            <w:r w:rsidRPr="009C2700">
              <w:rPr>
                <w:sz w:val="18"/>
                <w:szCs w:val="18"/>
              </w:rPr>
              <w:t>)</w:t>
            </w:r>
          </w:p>
        </w:tc>
        <w:tc>
          <w:tcPr>
            <w:tcW w:w="1176" w:type="dxa"/>
            <w:tcBorders>
              <w:left w:val="nil"/>
            </w:tcBorders>
            <w:shd w:val="clear" w:color="auto" w:fill="auto"/>
            <w:vAlign w:val="center"/>
          </w:tcPr>
          <w:p w14:paraId="757E7812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0FD14068" w14:textId="43E49CD7" w:rsidR="00782653" w:rsidRPr="009C2700" w:rsidRDefault="00782653" w:rsidP="00147A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0.</w:t>
            </w:r>
            <w:r w:rsidR="00147A53">
              <w:rPr>
                <w:sz w:val="18"/>
                <w:szCs w:val="18"/>
              </w:rPr>
              <w:t>5875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69A07E9D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4D264D03" w14:textId="17B82904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0.</w:t>
            </w:r>
            <w:r w:rsidR="00147A53">
              <w:rPr>
                <w:sz w:val="18"/>
                <w:szCs w:val="18"/>
              </w:rPr>
              <w:t>5489</w:t>
            </w:r>
          </w:p>
        </w:tc>
      </w:tr>
      <w:tr w:rsidR="00782653" w:rsidRPr="009C2700" w14:paraId="3640FB9A" w14:textId="77777777" w:rsidTr="00512C3F">
        <w:trPr>
          <w:trHeight w:val="397"/>
          <w:jc w:val="center"/>
        </w:trPr>
        <w:tc>
          <w:tcPr>
            <w:tcW w:w="16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9CFD19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A6752F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EA6264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CD79C3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1EC4E2D1" w14:textId="77777777" w:rsidR="00782653" w:rsidRPr="009C2700" w:rsidRDefault="00782653" w:rsidP="00782653">
            <w:pPr>
              <w:rPr>
                <w:i/>
                <w:iCs/>
                <w:sz w:val="18"/>
                <w:szCs w:val="18"/>
              </w:rPr>
            </w:pPr>
          </w:p>
          <w:p w14:paraId="023E2F84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i/>
                <w:iCs/>
                <w:sz w:val="18"/>
                <w:szCs w:val="18"/>
              </w:rPr>
              <w:t>z</w:t>
            </w:r>
            <w:r w:rsidRPr="009C2700">
              <w:rPr>
                <w:sz w:val="18"/>
                <w:szCs w:val="18"/>
              </w:rPr>
              <w:t>[</w:t>
            </w:r>
            <w:r w:rsidRPr="009C2700">
              <w:rPr>
                <w:i/>
                <w:iCs/>
                <w:sz w:val="18"/>
                <w:szCs w:val="18"/>
              </w:rPr>
              <w:t>μ</w:t>
            </w:r>
            <w:r w:rsidRPr="009C2700">
              <w:rPr>
                <w:sz w:val="18"/>
                <w:szCs w:val="18"/>
              </w:rPr>
              <w:t>(</w:t>
            </w:r>
            <w:r w:rsidRPr="009C2700">
              <w:rPr>
                <w:i/>
                <w:iCs/>
                <w:sz w:val="18"/>
                <w:szCs w:val="18"/>
              </w:rPr>
              <w:t>R</w:t>
            </w:r>
            <w:r w:rsidRPr="009C2700">
              <w:rPr>
                <w:sz w:val="18"/>
                <w:szCs w:val="18"/>
                <w:vertAlign w:val="superscript"/>
              </w:rPr>
              <w:t>2</w:t>
            </w:r>
            <w:r w:rsidRPr="009C2700">
              <w:rPr>
                <w:sz w:val="18"/>
                <w:szCs w:val="18"/>
              </w:rPr>
              <w:t xml:space="preserve">)] </w:t>
            </w:r>
          </w:p>
          <w:p w14:paraId="26B18849" w14:textId="77777777" w:rsidR="00782653" w:rsidRPr="009C2700" w:rsidRDefault="00782653" w:rsidP="00782653">
            <w:pPr>
              <w:rPr>
                <w:i/>
                <w:iCs/>
                <w:sz w:val="18"/>
                <w:szCs w:val="18"/>
              </w:rPr>
            </w:pPr>
          </w:p>
          <w:p w14:paraId="03C62E3E" w14:textId="77777777" w:rsidR="00782653" w:rsidRPr="009C2700" w:rsidRDefault="00782653" w:rsidP="00782653">
            <w:pPr>
              <w:rPr>
                <w:i/>
                <w:iCs/>
                <w:sz w:val="18"/>
                <w:szCs w:val="18"/>
              </w:rPr>
            </w:pPr>
            <w:r w:rsidRPr="009C2700">
              <w:rPr>
                <w:iCs/>
                <w:sz w:val="18"/>
                <w:szCs w:val="18"/>
              </w:rPr>
              <w:t>(</w:t>
            </w:r>
            <w:r w:rsidRPr="009C2700">
              <w:rPr>
                <w:i/>
                <w:iCs/>
                <w:sz w:val="18"/>
                <w:szCs w:val="18"/>
              </w:rPr>
              <w:t>S.E.</w:t>
            </w:r>
            <w:r w:rsidRPr="009C2700">
              <w:rPr>
                <w:iCs/>
                <w:sz w:val="18"/>
                <w:szCs w:val="18"/>
              </w:rPr>
              <w:t>)</w:t>
            </w:r>
          </w:p>
          <w:p w14:paraId="64E8C335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5095BB6B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  <w:p w14:paraId="1B43D8AE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4.77</w:t>
            </w:r>
            <w:r w:rsidRPr="009C2700">
              <w:rPr>
                <w:sz w:val="18"/>
                <w:szCs w:val="18"/>
              </w:rPr>
              <w:t>**</w:t>
            </w:r>
            <w:r w:rsidRPr="009C2700">
              <w:rPr>
                <w:sz w:val="18"/>
                <w:szCs w:val="18"/>
              </w:rPr>
              <w:br/>
            </w:r>
          </w:p>
          <w:p w14:paraId="14DC58C4" w14:textId="77777777" w:rsidR="00782653" w:rsidRPr="009C2700" w:rsidRDefault="00782653" w:rsidP="00782653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(0.018)</w:t>
            </w:r>
          </w:p>
          <w:p w14:paraId="64460A9A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1A702" w14:textId="77777777" w:rsidR="00782653" w:rsidRPr="009C2700" w:rsidRDefault="00782653" w:rsidP="00782653">
            <w:pPr>
              <w:rPr>
                <w:sz w:val="18"/>
                <w:szCs w:val="18"/>
              </w:rPr>
            </w:pPr>
          </w:p>
        </w:tc>
      </w:tr>
      <w:tr w:rsidR="00512C3F" w:rsidRPr="009C2700" w14:paraId="3A830458" w14:textId="77777777" w:rsidTr="00512C3F">
        <w:trPr>
          <w:trHeight w:val="397"/>
          <w:jc w:val="center"/>
        </w:trPr>
        <w:tc>
          <w:tcPr>
            <w:tcW w:w="164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5BFEC4A" w14:textId="77777777" w:rsidR="00512C3F" w:rsidRPr="009C2700" w:rsidRDefault="00512C3F" w:rsidP="00512C3F">
            <w:pPr>
              <w:rPr>
                <w:sz w:val="18"/>
                <w:szCs w:val="18"/>
              </w:rPr>
            </w:pPr>
          </w:p>
          <w:p w14:paraId="037282C0" w14:textId="77777777" w:rsidR="00512C3F" w:rsidRDefault="00512C3F" w:rsidP="00512C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Mean volatility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σ</m:t>
                  </m:r>
                </m:e>
              </m:acc>
            </m:oMath>
          </w:p>
          <w:p w14:paraId="27864FB8" w14:textId="4ED8ABAC" w:rsidR="00512C3F" w:rsidRPr="009C2700" w:rsidRDefault="00512C3F" w:rsidP="00512C3F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93EC8B0" w14:textId="77777777" w:rsidR="00512C3F" w:rsidRPr="009C2700" w:rsidRDefault="00512C3F" w:rsidP="00512C3F">
            <w:pPr>
              <w:rPr>
                <w:sz w:val="18"/>
                <w:szCs w:val="18"/>
              </w:rPr>
            </w:pPr>
          </w:p>
          <w:p w14:paraId="5B0E9F12" w14:textId="77777777" w:rsidR="00512C3F" w:rsidRDefault="00512C3F" w:rsidP="00512C3F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0.02</w:t>
            </w:r>
            <w:r>
              <w:rPr>
                <w:sz w:val="18"/>
                <w:szCs w:val="18"/>
              </w:rPr>
              <w:t>42</w:t>
            </w:r>
          </w:p>
          <w:p w14:paraId="66ACFAD1" w14:textId="28A5F4A9" w:rsidR="00512C3F" w:rsidRPr="009C2700" w:rsidRDefault="00512C3F" w:rsidP="00512C3F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A7C061" w14:textId="77777777" w:rsidR="00512C3F" w:rsidRPr="009C2700" w:rsidRDefault="00512C3F" w:rsidP="00512C3F">
            <w:pPr>
              <w:rPr>
                <w:sz w:val="18"/>
                <w:szCs w:val="18"/>
              </w:rPr>
            </w:pPr>
          </w:p>
          <w:p w14:paraId="5AF94C88" w14:textId="77777777" w:rsidR="00512C3F" w:rsidRDefault="00512C3F" w:rsidP="00512C3F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0.02</w:t>
            </w:r>
            <w:r>
              <w:rPr>
                <w:sz w:val="18"/>
                <w:szCs w:val="18"/>
              </w:rPr>
              <w:t>70</w:t>
            </w:r>
          </w:p>
          <w:p w14:paraId="151F0DE1" w14:textId="1B8BF992" w:rsidR="00512C3F" w:rsidRPr="009C2700" w:rsidRDefault="00512C3F" w:rsidP="00512C3F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3F20F95" w14:textId="77777777" w:rsidR="00512C3F" w:rsidRPr="009C2700" w:rsidRDefault="00512C3F" w:rsidP="00512C3F">
            <w:pPr>
              <w:rPr>
                <w:sz w:val="18"/>
                <w:szCs w:val="18"/>
              </w:rPr>
            </w:pPr>
          </w:p>
          <w:p w14:paraId="28F9D2D4" w14:textId="77777777" w:rsidR="00512C3F" w:rsidRDefault="00512C3F" w:rsidP="00512C3F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0.02</w:t>
            </w:r>
            <w:r>
              <w:rPr>
                <w:sz w:val="18"/>
                <w:szCs w:val="18"/>
              </w:rPr>
              <w:t>14</w:t>
            </w:r>
          </w:p>
          <w:p w14:paraId="63641E11" w14:textId="584CBFA6" w:rsidR="00512C3F" w:rsidRPr="009C2700" w:rsidRDefault="00512C3F" w:rsidP="00512C3F">
            <w:pPr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14:paraId="136136D9" w14:textId="77777777" w:rsidR="00512C3F" w:rsidRPr="009C2700" w:rsidRDefault="00512C3F" w:rsidP="00512C3F">
            <w:pPr>
              <w:rPr>
                <w:sz w:val="18"/>
                <w:szCs w:val="18"/>
              </w:rPr>
            </w:pPr>
          </w:p>
          <w:p w14:paraId="5DCC58AB" w14:textId="77777777" w:rsidR="00512C3F" w:rsidRDefault="00512C3F" w:rsidP="00512C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Mean volatility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σ</m:t>
                  </m:r>
                </m:e>
              </m:acc>
            </m:oMath>
          </w:p>
          <w:p w14:paraId="12E26E43" w14:textId="1381D9C2" w:rsidR="00512C3F" w:rsidRPr="009C2700" w:rsidRDefault="00512C3F" w:rsidP="00512C3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14:paraId="778BA06B" w14:textId="77777777" w:rsidR="00512C3F" w:rsidRPr="009C2700" w:rsidRDefault="00512C3F" w:rsidP="00512C3F">
            <w:pPr>
              <w:rPr>
                <w:sz w:val="18"/>
                <w:szCs w:val="18"/>
              </w:rPr>
            </w:pPr>
          </w:p>
          <w:p w14:paraId="23A3CBC0" w14:textId="77777777" w:rsidR="00512C3F" w:rsidRDefault="00512C3F" w:rsidP="00512C3F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0.02</w:t>
            </w:r>
            <w:r>
              <w:rPr>
                <w:sz w:val="18"/>
                <w:szCs w:val="18"/>
              </w:rPr>
              <w:t>60</w:t>
            </w:r>
          </w:p>
          <w:p w14:paraId="13ACAC07" w14:textId="42962ADF" w:rsidR="00512C3F" w:rsidRPr="009C2700" w:rsidRDefault="00512C3F" w:rsidP="00512C3F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F78C8C" w14:textId="77777777" w:rsidR="00512C3F" w:rsidRPr="009C2700" w:rsidRDefault="00512C3F" w:rsidP="00512C3F">
            <w:pPr>
              <w:rPr>
                <w:sz w:val="18"/>
                <w:szCs w:val="18"/>
              </w:rPr>
            </w:pPr>
          </w:p>
          <w:p w14:paraId="4EFEE4FE" w14:textId="77777777" w:rsidR="00512C3F" w:rsidRDefault="00512C3F" w:rsidP="00512C3F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0.02</w:t>
            </w:r>
            <w:r>
              <w:rPr>
                <w:sz w:val="18"/>
                <w:szCs w:val="18"/>
              </w:rPr>
              <w:t>22</w:t>
            </w:r>
          </w:p>
          <w:p w14:paraId="6250380C" w14:textId="54D7A10A" w:rsidR="00512C3F" w:rsidRPr="009C2700" w:rsidRDefault="00512C3F" w:rsidP="00512C3F">
            <w:pPr>
              <w:rPr>
                <w:sz w:val="18"/>
                <w:szCs w:val="18"/>
              </w:rPr>
            </w:pPr>
          </w:p>
        </w:tc>
      </w:tr>
      <w:tr w:rsidR="00512C3F" w:rsidRPr="009C2700" w14:paraId="33E8B9B4" w14:textId="77777777" w:rsidTr="00512C3F">
        <w:trPr>
          <w:trHeight w:val="397"/>
          <w:jc w:val="center"/>
        </w:trPr>
        <w:tc>
          <w:tcPr>
            <w:tcW w:w="16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58FC67" w14:textId="77777777" w:rsidR="00512C3F" w:rsidRPr="009C2700" w:rsidRDefault="00512C3F" w:rsidP="00512C3F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D7D808" w14:textId="77777777" w:rsidR="00512C3F" w:rsidRPr="009C2700" w:rsidRDefault="00512C3F" w:rsidP="00512C3F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8771DD" w14:textId="77777777" w:rsidR="00512C3F" w:rsidRPr="009C2700" w:rsidRDefault="00512C3F" w:rsidP="00512C3F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2805A7" w14:textId="77777777" w:rsidR="00512C3F" w:rsidRPr="009C2700" w:rsidRDefault="00512C3F" w:rsidP="00512C3F">
            <w:pPr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0229047D" w14:textId="77777777" w:rsidR="00512C3F" w:rsidRPr="009C2700" w:rsidRDefault="00512C3F" w:rsidP="00512C3F">
            <w:pPr>
              <w:rPr>
                <w:i/>
                <w:iCs/>
                <w:sz w:val="18"/>
                <w:szCs w:val="18"/>
              </w:rPr>
            </w:pPr>
          </w:p>
          <w:p w14:paraId="7A9DD792" w14:textId="77777777" w:rsidR="00512C3F" w:rsidRPr="009C2700" w:rsidRDefault="00512C3F" w:rsidP="00512C3F">
            <w:pPr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z(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σ</m:t>
                  </m:r>
                </m:e>
              </m:acc>
              <m:r>
                <w:rPr>
                  <w:rFonts w:ascii="Cambria Math" w:hAnsi="Cambria Math"/>
                  <w:sz w:val="18"/>
                  <w:szCs w:val="18"/>
                </w:rPr>
                <m:t>)</m:t>
              </m:r>
            </m:oMath>
            <w:r w:rsidRPr="009C2700">
              <w:rPr>
                <w:sz w:val="18"/>
                <w:szCs w:val="18"/>
              </w:rPr>
              <w:t xml:space="preserve"> </w:t>
            </w:r>
          </w:p>
          <w:p w14:paraId="1463E3AC" w14:textId="77777777" w:rsidR="00512C3F" w:rsidRPr="009C2700" w:rsidRDefault="00512C3F" w:rsidP="00512C3F">
            <w:pPr>
              <w:rPr>
                <w:i/>
                <w:iCs/>
                <w:sz w:val="18"/>
                <w:szCs w:val="18"/>
              </w:rPr>
            </w:pPr>
          </w:p>
          <w:p w14:paraId="316D8D65" w14:textId="5721E99E" w:rsidR="00512C3F" w:rsidRPr="009C2700" w:rsidRDefault="00512C3F" w:rsidP="00512C3F">
            <w:pPr>
              <w:rPr>
                <w:sz w:val="18"/>
                <w:szCs w:val="18"/>
              </w:rPr>
            </w:pPr>
            <w:r w:rsidRPr="009C2700">
              <w:rPr>
                <w:iCs/>
                <w:sz w:val="18"/>
                <w:szCs w:val="18"/>
              </w:rPr>
              <w:t>(</w:t>
            </w:r>
            <w:r w:rsidRPr="009C2700">
              <w:rPr>
                <w:i/>
                <w:iCs/>
                <w:sz w:val="18"/>
                <w:szCs w:val="18"/>
              </w:rPr>
              <w:t>S.E.</w:t>
            </w:r>
            <w:r w:rsidRPr="009C2700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1176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4B0C2BB6" w14:textId="77777777" w:rsidR="00512C3F" w:rsidRPr="009C2700" w:rsidRDefault="00512C3F" w:rsidP="00512C3F">
            <w:pPr>
              <w:rPr>
                <w:sz w:val="18"/>
                <w:szCs w:val="18"/>
              </w:rPr>
            </w:pPr>
          </w:p>
          <w:p w14:paraId="2CF5D2BD" w14:textId="77777777" w:rsidR="00512C3F" w:rsidRPr="009C2700" w:rsidRDefault="00512C3F" w:rsidP="00512C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5.79</w:t>
            </w:r>
            <w:r w:rsidRPr="009C2700">
              <w:rPr>
                <w:sz w:val="18"/>
                <w:szCs w:val="18"/>
              </w:rPr>
              <w:t>**</w:t>
            </w:r>
          </w:p>
          <w:p w14:paraId="6DA26C88" w14:textId="77777777" w:rsidR="00512C3F" w:rsidRPr="009C2700" w:rsidRDefault="00512C3F" w:rsidP="00512C3F">
            <w:pPr>
              <w:rPr>
                <w:sz w:val="18"/>
                <w:szCs w:val="18"/>
              </w:rPr>
            </w:pPr>
          </w:p>
          <w:p w14:paraId="52D6183C" w14:textId="0B2A8F60" w:rsidR="00512C3F" w:rsidRPr="009C2700" w:rsidRDefault="00512C3F" w:rsidP="00512C3F">
            <w:pPr>
              <w:rPr>
                <w:sz w:val="18"/>
                <w:szCs w:val="18"/>
              </w:rPr>
            </w:pPr>
            <w:r w:rsidRPr="009C2700">
              <w:rPr>
                <w:sz w:val="18"/>
                <w:szCs w:val="18"/>
              </w:rPr>
              <w:t>(0.001)</w:t>
            </w:r>
          </w:p>
        </w:tc>
        <w:tc>
          <w:tcPr>
            <w:tcW w:w="13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6C9DA5" w14:textId="77777777" w:rsidR="00512C3F" w:rsidRPr="009C2700" w:rsidRDefault="00512C3F" w:rsidP="00512C3F">
            <w:pPr>
              <w:rPr>
                <w:sz w:val="18"/>
                <w:szCs w:val="18"/>
              </w:rPr>
            </w:pPr>
          </w:p>
        </w:tc>
      </w:tr>
    </w:tbl>
    <w:p w14:paraId="760110CB" w14:textId="77777777" w:rsidR="00782653" w:rsidRPr="00D2301D" w:rsidRDefault="00782653" w:rsidP="00782653">
      <w:pPr>
        <w:spacing w:line="480" w:lineRule="auto"/>
        <w:rPr>
          <w:iCs/>
          <w:sz w:val="22"/>
          <w:szCs w:val="22"/>
          <w:lang w:val="en-GB"/>
        </w:rPr>
      </w:pPr>
      <w:r w:rsidRPr="009C2700">
        <w:rPr>
          <w:iCs/>
          <w:sz w:val="20"/>
          <w:szCs w:val="20"/>
        </w:rPr>
        <w:t xml:space="preserve">* </w:t>
      </w:r>
      <w:proofErr w:type="gramStart"/>
      <w:r w:rsidRPr="009C2700">
        <w:rPr>
          <w:iCs/>
          <w:sz w:val="20"/>
          <w:szCs w:val="20"/>
        </w:rPr>
        <w:t>and</w:t>
      </w:r>
      <w:proofErr w:type="gramEnd"/>
      <w:r w:rsidRPr="009C2700">
        <w:rPr>
          <w:iCs/>
          <w:sz w:val="20"/>
          <w:szCs w:val="20"/>
        </w:rPr>
        <w:t xml:space="preserve"> ** denote significance at the 5% and 1% level in a 2-tailed test, respectively.</w:t>
      </w:r>
    </w:p>
    <w:p w14:paraId="7918D037" w14:textId="77777777" w:rsidR="00187DEB" w:rsidRDefault="00187DEB" w:rsidP="00962EB5">
      <w:pPr>
        <w:spacing w:line="480" w:lineRule="auto"/>
        <w:jc w:val="both"/>
      </w:pPr>
    </w:p>
    <w:p w14:paraId="238EAFEA" w14:textId="4AC56E27" w:rsidR="00962EB5" w:rsidRDefault="00962EB5" w:rsidP="00217D97">
      <w:pPr>
        <w:spacing w:line="480" w:lineRule="auto"/>
        <w:jc w:val="both"/>
        <w:rPr>
          <w:iCs/>
        </w:rPr>
      </w:pPr>
      <w:r w:rsidRPr="00C92ED3">
        <w:tab/>
      </w:r>
      <w:r w:rsidRPr="00C92ED3">
        <w:rPr>
          <w:iCs/>
        </w:rPr>
        <w:t xml:space="preserve">CL models, with </w:t>
      </w:r>
      <w:proofErr w:type="spellStart"/>
      <w:r w:rsidR="00471B1B" w:rsidRPr="00471B1B">
        <w:rPr>
          <w:iCs/>
        </w:rPr>
        <w:t>ln</w:t>
      </w:r>
      <w:r w:rsidR="00471B1B">
        <w:rPr>
          <w:i/>
          <w:iCs/>
        </w:rPr>
        <w:t>q</w:t>
      </w:r>
      <w:r w:rsidRPr="00230608">
        <w:rPr>
          <w:i/>
          <w:iCs/>
          <w:vertAlign w:val="subscript"/>
        </w:rPr>
        <w:t>ij</w:t>
      </w:r>
      <w:proofErr w:type="spellEnd"/>
      <w:r>
        <w:rPr>
          <w:iCs/>
        </w:rPr>
        <w:t xml:space="preserve"> </w:t>
      </w:r>
      <w:r w:rsidRPr="00C92ED3">
        <w:rPr>
          <w:iCs/>
        </w:rPr>
        <w:t xml:space="preserve">as the single predictor variable, are estimated for the </w:t>
      </w:r>
      <w:r>
        <w:rPr>
          <w:iCs/>
        </w:rPr>
        <w:t>two sets</w:t>
      </w:r>
      <w:r w:rsidRPr="00C92ED3">
        <w:rPr>
          <w:iCs/>
        </w:rPr>
        <w:t xml:space="preserve">, as well as for each of the bootstrap samples. The coefficient </w:t>
      </w:r>
      <w:r w:rsidR="004E11D3" w:rsidRPr="004E11D3">
        <w:rPr>
          <w:i/>
          <w:iCs/>
        </w:rPr>
        <w:t>β</w:t>
      </w:r>
      <w:r w:rsidRPr="00C92ED3">
        <w:rPr>
          <w:iCs/>
        </w:rPr>
        <w:t xml:space="preserve"> is not significantly different from 1 in any case (</w:t>
      </w:r>
      <w:r w:rsidRPr="00C92ED3">
        <w:rPr>
          <w:i/>
        </w:rPr>
        <w:t>z</w:t>
      </w:r>
      <w:r w:rsidRPr="00C92ED3">
        <w:rPr>
          <w:iCs/>
        </w:rPr>
        <w:t xml:space="preserve"> = 0.</w:t>
      </w:r>
      <w:r w:rsidR="004E11D3">
        <w:rPr>
          <w:iCs/>
        </w:rPr>
        <w:t>71</w:t>
      </w:r>
      <w:r w:rsidRPr="00C92ED3">
        <w:rPr>
          <w:iCs/>
        </w:rPr>
        <w:t xml:space="preserve">, </w:t>
      </w:r>
      <w:r w:rsidRPr="00C92ED3">
        <w:rPr>
          <w:i/>
        </w:rPr>
        <w:t>p</w:t>
      </w:r>
      <w:r w:rsidRPr="00C92ED3">
        <w:rPr>
          <w:iCs/>
        </w:rPr>
        <w:t xml:space="preserve"> = 0.</w:t>
      </w:r>
      <w:r w:rsidR="004E11D3">
        <w:rPr>
          <w:iCs/>
        </w:rPr>
        <w:t>4770</w:t>
      </w:r>
      <w:r w:rsidR="0034354B">
        <w:rPr>
          <w:iCs/>
        </w:rPr>
        <w:t xml:space="preserve">, and </w:t>
      </w:r>
      <w:r w:rsidR="0034354B" w:rsidRPr="00C92ED3">
        <w:rPr>
          <w:i/>
        </w:rPr>
        <w:t>z</w:t>
      </w:r>
      <w:r w:rsidR="0034354B" w:rsidRPr="00C92ED3">
        <w:rPr>
          <w:iCs/>
        </w:rPr>
        <w:t xml:space="preserve"> = 0.</w:t>
      </w:r>
      <w:r w:rsidR="0034354B">
        <w:rPr>
          <w:iCs/>
        </w:rPr>
        <w:t>39</w:t>
      </w:r>
      <w:r w:rsidR="0034354B" w:rsidRPr="00C92ED3">
        <w:rPr>
          <w:iCs/>
        </w:rPr>
        <w:t xml:space="preserve">, </w:t>
      </w:r>
      <w:r w:rsidR="0034354B" w:rsidRPr="00C92ED3">
        <w:rPr>
          <w:i/>
        </w:rPr>
        <w:t>p</w:t>
      </w:r>
      <w:r w:rsidR="0034354B" w:rsidRPr="00C92ED3">
        <w:rPr>
          <w:iCs/>
        </w:rPr>
        <w:t xml:space="preserve"> = 0.</w:t>
      </w:r>
      <w:r w:rsidR="0034354B">
        <w:rPr>
          <w:iCs/>
        </w:rPr>
        <w:t>6982 for the original informed/uninformed</w:t>
      </w:r>
      <w:r w:rsidR="00EC0EB8">
        <w:rPr>
          <w:iCs/>
        </w:rPr>
        <w:t xml:space="preserve"> </w:t>
      </w:r>
      <w:r w:rsidRPr="00C92ED3">
        <w:rPr>
          <w:iCs/>
        </w:rPr>
        <w:t xml:space="preserve">sets, respectively; </w:t>
      </w:r>
      <w:r w:rsidRPr="00C92ED3">
        <w:rPr>
          <w:i/>
        </w:rPr>
        <w:t>z</w:t>
      </w:r>
      <w:r w:rsidRPr="00C92ED3">
        <w:rPr>
          <w:iCs/>
        </w:rPr>
        <w:t xml:space="preserve"> = 0.</w:t>
      </w:r>
      <w:r w:rsidR="00ED0F47">
        <w:rPr>
          <w:iCs/>
        </w:rPr>
        <w:t>93</w:t>
      </w:r>
      <w:r w:rsidRPr="00C92ED3">
        <w:rPr>
          <w:iCs/>
        </w:rPr>
        <w:t xml:space="preserve">, </w:t>
      </w:r>
      <w:r w:rsidRPr="00C92ED3">
        <w:rPr>
          <w:i/>
        </w:rPr>
        <w:t>p</w:t>
      </w:r>
      <w:r w:rsidRPr="00C92ED3">
        <w:rPr>
          <w:iCs/>
        </w:rPr>
        <w:t xml:space="preserve"> = 0.</w:t>
      </w:r>
      <w:r w:rsidR="00ED0F47">
        <w:rPr>
          <w:iCs/>
        </w:rPr>
        <w:t>3502</w:t>
      </w:r>
      <w:r w:rsidR="0034354B">
        <w:rPr>
          <w:iCs/>
        </w:rPr>
        <w:t xml:space="preserve">, and </w:t>
      </w:r>
      <w:r w:rsidR="0034354B" w:rsidRPr="00C92ED3">
        <w:rPr>
          <w:i/>
        </w:rPr>
        <w:t>z</w:t>
      </w:r>
      <w:r w:rsidR="0034354B" w:rsidRPr="00C92ED3">
        <w:rPr>
          <w:iCs/>
        </w:rPr>
        <w:t xml:space="preserve"> = 0.</w:t>
      </w:r>
      <w:r w:rsidR="0034354B">
        <w:rPr>
          <w:iCs/>
        </w:rPr>
        <w:t>52</w:t>
      </w:r>
      <w:r w:rsidR="0034354B" w:rsidRPr="00C92ED3">
        <w:rPr>
          <w:iCs/>
        </w:rPr>
        <w:t xml:space="preserve">, </w:t>
      </w:r>
      <w:r w:rsidR="0034354B" w:rsidRPr="00C92ED3">
        <w:rPr>
          <w:i/>
        </w:rPr>
        <w:t>p</w:t>
      </w:r>
      <w:r w:rsidR="0034354B" w:rsidRPr="00C92ED3">
        <w:rPr>
          <w:iCs/>
        </w:rPr>
        <w:t xml:space="preserve"> = 0.</w:t>
      </w:r>
      <w:r w:rsidR="0034354B">
        <w:rPr>
          <w:iCs/>
        </w:rPr>
        <w:t>6049</w:t>
      </w:r>
      <w:r w:rsidRPr="00C92ED3">
        <w:rPr>
          <w:iCs/>
        </w:rPr>
        <w:t xml:space="preserve"> for the bootstrapped </w:t>
      </w:r>
      <w:r w:rsidR="0034354B">
        <w:rPr>
          <w:iCs/>
        </w:rPr>
        <w:t>sets</w:t>
      </w:r>
      <w:r w:rsidRPr="00C92ED3">
        <w:rPr>
          <w:iCs/>
        </w:rPr>
        <w:t>), indicating, as expected, the absence of FLB</w:t>
      </w:r>
      <w:r w:rsidR="00A10DD5">
        <w:rPr>
          <w:iCs/>
        </w:rPr>
        <w:t xml:space="preserve"> (Smith et al., 2006)</w:t>
      </w:r>
      <w:r w:rsidRPr="00C92ED3">
        <w:rPr>
          <w:iCs/>
        </w:rPr>
        <w:t xml:space="preserve">. Furthermore, we find that </w:t>
      </w:r>
      <w:r w:rsidR="00217D97">
        <w:rPr>
          <w:iCs/>
        </w:rPr>
        <w:t xml:space="preserve">when Shin </w:t>
      </w:r>
      <w:r w:rsidR="00217D97">
        <w:rPr>
          <w:i/>
          <w:iCs/>
        </w:rPr>
        <w:t>z</w:t>
      </w:r>
      <w:r w:rsidR="00217D97">
        <w:rPr>
          <w:iCs/>
        </w:rPr>
        <w:t xml:space="preserve"> is higher, </w:t>
      </w:r>
      <w:r w:rsidR="00223E40">
        <w:rPr>
          <w:iCs/>
        </w:rPr>
        <w:t>p</w:t>
      </w:r>
      <w:r w:rsidRPr="00C92ED3">
        <w:rPr>
          <w:iCs/>
        </w:rPr>
        <w:t xml:space="preserve">rices are on average </w:t>
      </w:r>
      <w:r w:rsidR="00EC0EB8">
        <w:rPr>
          <w:iCs/>
        </w:rPr>
        <w:t>more</w:t>
      </w:r>
      <w:r w:rsidRPr="00C92ED3">
        <w:rPr>
          <w:iCs/>
        </w:rPr>
        <w:t xml:space="preserve"> accurate in predicting</w:t>
      </w:r>
      <w:r w:rsidR="00EC0EB8">
        <w:rPr>
          <w:iCs/>
        </w:rPr>
        <w:t xml:space="preserve"> winners</w:t>
      </w:r>
      <w:r w:rsidR="00EE09ED">
        <w:rPr>
          <w:iCs/>
        </w:rPr>
        <w:t xml:space="preserve"> </w:t>
      </w:r>
      <w:r w:rsidR="00EE09ED" w:rsidRPr="00C92ED3">
        <w:rPr>
          <w:iCs/>
        </w:rPr>
        <w:t>(mean pseudo-</w:t>
      </w:r>
      <w:r w:rsidR="00EE09ED" w:rsidRPr="00C92ED3">
        <w:rPr>
          <w:i/>
        </w:rPr>
        <w:t>R</w:t>
      </w:r>
      <w:r w:rsidR="00EE09ED" w:rsidRPr="00C92ED3">
        <w:rPr>
          <w:iCs/>
          <w:vertAlign w:val="superscript"/>
        </w:rPr>
        <w:t>2</w:t>
      </w:r>
      <w:r w:rsidR="00EE09ED" w:rsidRPr="00C92ED3">
        <w:rPr>
          <w:iCs/>
        </w:rPr>
        <w:t xml:space="preserve"> = 0.</w:t>
      </w:r>
      <w:r w:rsidR="00EE09ED">
        <w:rPr>
          <w:iCs/>
        </w:rPr>
        <w:t>5875 and</w:t>
      </w:r>
      <w:r w:rsidR="00EE09ED" w:rsidRPr="00C92ED3">
        <w:rPr>
          <w:iCs/>
        </w:rPr>
        <w:t xml:space="preserve"> 0.</w:t>
      </w:r>
      <w:r w:rsidR="00EE09ED">
        <w:rPr>
          <w:iCs/>
        </w:rPr>
        <w:t>5489</w:t>
      </w:r>
      <w:r w:rsidR="00EE09ED" w:rsidRPr="00C92ED3">
        <w:rPr>
          <w:iCs/>
        </w:rPr>
        <w:t xml:space="preserve"> </w:t>
      </w:r>
      <w:r w:rsidR="00EE09ED">
        <w:rPr>
          <w:iCs/>
        </w:rPr>
        <w:t>for informed and uninformed, respectively;</w:t>
      </w:r>
      <w:r w:rsidR="00EE09ED" w:rsidRPr="00C92ED3">
        <w:rPr>
          <w:i/>
        </w:rPr>
        <w:t xml:space="preserve"> z</w:t>
      </w:r>
      <w:r w:rsidR="00EE09ED">
        <w:rPr>
          <w:iCs/>
        </w:rPr>
        <w:t xml:space="preserve"> = 4.77</w:t>
      </w:r>
      <w:r w:rsidR="00EE09ED" w:rsidRPr="00C92ED3">
        <w:rPr>
          <w:iCs/>
        </w:rPr>
        <w:t xml:space="preserve">, </w:t>
      </w:r>
      <w:r w:rsidR="00EE09ED" w:rsidRPr="00C92ED3">
        <w:rPr>
          <w:i/>
        </w:rPr>
        <w:t>p</w:t>
      </w:r>
      <w:r w:rsidR="00EE09ED" w:rsidRPr="00C92ED3">
        <w:rPr>
          <w:iCs/>
        </w:rPr>
        <w:t xml:space="preserve"> = 0.0000)</w:t>
      </w:r>
      <w:r w:rsidR="00512624">
        <w:rPr>
          <w:iCs/>
        </w:rPr>
        <w:t xml:space="preserve"> and more </w:t>
      </w:r>
      <w:r w:rsidR="00512624" w:rsidRPr="00C92ED3">
        <w:rPr>
          <w:iCs/>
        </w:rPr>
        <w:t>volatile (mean volatility 0.</w:t>
      </w:r>
      <w:r w:rsidR="00512624">
        <w:rPr>
          <w:iCs/>
        </w:rPr>
        <w:t>0260</w:t>
      </w:r>
      <w:r w:rsidR="00EE09ED">
        <w:rPr>
          <w:iCs/>
        </w:rPr>
        <w:t xml:space="preserve"> and </w:t>
      </w:r>
      <w:r w:rsidR="00EE09ED" w:rsidRPr="00C92ED3">
        <w:rPr>
          <w:iCs/>
        </w:rPr>
        <w:t>0.02</w:t>
      </w:r>
      <w:r w:rsidR="00EE09ED">
        <w:rPr>
          <w:iCs/>
        </w:rPr>
        <w:t xml:space="preserve">22 for informed and </w:t>
      </w:r>
      <w:r w:rsidR="00512624">
        <w:rPr>
          <w:iCs/>
        </w:rPr>
        <w:t>uninformed</w:t>
      </w:r>
      <w:r w:rsidR="00EE09ED">
        <w:rPr>
          <w:iCs/>
        </w:rPr>
        <w:t>, respectively</w:t>
      </w:r>
      <w:r w:rsidR="00512624" w:rsidRPr="00C92ED3">
        <w:rPr>
          <w:iCs/>
        </w:rPr>
        <w:t xml:space="preserve">; </w:t>
      </w:r>
      <w:r w:rsidR="00512624" w:rsidRPr="00C92ED3">
        <w:rPr>
          <w:i/>
        </w:rPr>
        <w:t>z</w:t>
      </w:r>
      <w:r w:rsidR="00512624" w:rsidRPr="00C92ED3">
        <w:rPr>
          <w:iCs/>
        </w:rPr>
        <w:t xml:space="preserve"> = </w:t>
      </w:r>
      <w:r w:rsidR="00512624">
        <w:rPr>
          <w:iCs/>
        </w:rPr>
        <w:t>5.79</w:t>
      </w:r>
      <w:r w:rsidR="00512624" w:rsidRPr="00C92ED3">
        <w:rPr>
          <w:iCs/>
        </w:rPr>
        <w:t xml:space="preserve">, </w:t>
      </w:r>
      <w:r w:rsidR="00512624" w:rsidRPr="00C92ED3">
        <w:rPr>
          <w:i/>
        </w:rPr>
        <w:t>p</w:t>
      </w:r>
      <w:r w:rsidR="00512624">
        <w:rPr>
          <w:iCs/>
        </w:rPr>
        <w:t xml:space="preserve"> = 0.0000) </w:t>
      </w:r>
      <w:r w:rsidR="00EE09ED">
        <w:rPr>
          <w:iCs/>
        </w:rPr>
        <w:t>(</w:t>
      </w:r>
      <w:r w:rsidR="006D6202">
        <w:rPr>
          <w:iCs/>
        </w:rPr>
        <w:t>see Figures 2 and 3</w:t>
      </w:r>
      <w:r w:rsidR="00EE09ED">
        <w:rPr>
          <w:iCs/>
        </w:rPr>
        <w:t>)</w:t>
      </w:r>
      <w:r w:rsidRPr="00C92ED3">
        <w:rPr>
          <w:iCs/>
        </w:rPr>
        <w:t>. Consequently, t</w:t>
      </w:r>
      <w:r w:rsidR="00035EBF">
        <w:rPr>
          <w:iCs/>
        </w:rPr>
        <w:t>he results support our</w:t>
      </w:r>
      <w:r w:rsidR="00EC0EB8">
        <w:rPr>
          <w:iCs/>
        </w:rPr>
        <w:t xml:space="preserve"> </w:t>
      </w:r>
      <w:r w:rsidR="00035EBF">
        <w:rPr>
          <w:iCs/>
        </w:rPr>
        <w:t>hypothese</w:t>
      </w:r>
      <w:r w:rsidRPr="00C92ED3">
        <w:rPr>
          <w:iCs/>
        </w:rPr>
        <w:t xml:space="preserve">s that increased </w:t>
      </w:r>
      <w:r w:rsidR="00EC0EB8">
        <w:rPr>
          <w:iCs/>
        </w:rPr>
        <w:t>informed trading</w:t>
      </w:r>
      <w:r w:rsidRPr="00C92ED3">
        <w:rPr>
          <w:iCs/>
        </w:rPr>
        <w:t xml:space="preserve"> is associated with </w:t>
      </w:r>
      <w:r w:rsidR="00EC0EB8">
        <w:rPr>
          <w:iCs/>
        </w:rPr>
        <w:t>increased</w:t>
      </w:r>
      <w:r w:rsidRPr="00C92ED3">
        <w:rPr>
          <w:iCs/>
        </w:rPr>
        <w:t xml:space="preserve"> market </w:t>
      </w:r>
      <w:r w:rsidR="00512624">
        <w:rPr>
          <w:iCs/>
        </w:rPr>
        <w:t xml:space="preserve">efficiency and </w:t>
      </w:r>
      <w:r w:rsidR="00512624" w:rsidRPr="00C92ED3">
        <w:rPr>
          <w:iCs/>
        </w:rPr>
        <w:t>volatility</w:t>
      </w:r>
      <w:r w:rsidR="00512624">
        <w:rPr>
          <w:iCs/>
        </w:rPr>
        <w:t>.</w:t>
      </w:r>
    </w:p>
    <w:p w14:paraId="1A3F2FA7" w14:textId="77777777" w:rsidR="0065207D" w:rsidRDefault="0065207D" w:rsidP="00782653">
      <w:pPr>
        <w:spacing w:line="480" w:lineRule="auto"/>
        <w:rPr>
          <w:iCs/>
        </w:rPr>
      </w:pPr>
    </w:p>
    <w:p w14:paraId="67F91D96" w14:textId="714FDC9C" w:rsidR="00782653" w:rsidRDefault="00E26C76" w:rsidP="00782653">
      <w:pPr>
        <w:spacing w:line="480" w:lineRule="auto"/>
        <w:rPr>
          <w:iCs/>
        </w:rPr>
      </w:pPr>
      <w:proofErr w:type="gramStart"/>
      <w:r>
        <w:rPr>
          <w:iCs/>
        </w:rPr>
        <w:t>Figure 2</w:t>
      </w:r>
      <w:r w:rsidR="00782653" w:rsidRPr="00C92ED3">
        <w:rPr>
          <w:iCs/>
        </w:rPr>
        <w:t>.</w:t>
      </w:r>
      <w:proofErr w:type="gramEnd"/>
      <w:r w:rsidR="00782653" w:rsidRPr="00C92ED3">
        <w:rPr>
          <w:iCs/>
        </w:rPr>
        <w:t xml:space="preserve"> Histograms of pseudo-</w:t>
      </w:r>
      <w:r w:rsidR="00782653" w:rsidRPr="00C92ED3">
        <w:rPr>
          <w:i/>
          <w:iCs/>
        </w:rPr>
        <w:t>R</w:t>
      </w:r>
      <w:r w:rsidR="00782653" w:rsidRPr="00C92ED3">
        <w:rPr>
          <w:iCs/>
          <w:vertAlign w:val="superscript"/>
        </w:rPr>
        <w:t>2</w:t>
      </w:r>
      <w:r w:rsidR="00782653" w:rsidRPr="00C92ED3">
        <w:rPr>
          <w:iCs/>
        </w:rPr>
        <w:t xml:space="preserve"> from 1000-bootstrap samples tak</w:t>
      </w:r>
      <w:r w:rsidR="00EC0EB8">
        <w:rPr>
          <w:iCs/>
        </w:rPr>
        <w:t xml:space="preserve">en from </w:t>
      </w:r>
      <w:r w:rsidR="003748C5">
        <w:rPr>
          <w:iCs/>
        </w:rPr>
        <w:t>more/less informed trading</w:t>
      </w:r>
      <w:r w:rsidR="00782653" w:rsidRPr="00C92ED3">
        <w:rPr>
          <w:iCs/>
        </w:rPr>
        <w:t xml:space="preserve"> s</w:t>
      </w:r>
      <w:r w:rsidR="00EC0EB8">
        <w:rPr>
          <w:iCs/>
        </w:rPr>
        <w:t>ubs</w:t>
      </w:r>
      <w:r w:rsidR="00782653" w:rsidRPr="00C92ED3">
        <w:rPr>
          <w:iCs/>
        </w:rPr>
        <w:t>ets of races (fitted normal curves shown).</w:t>
      </w:r>
    </w:p>
    <w:p w14:paraId="0C54910A" w14:textId="3FD469E9" w:rsidR="004E3060" w:rsidRPr="00C92ED3" w:rsidRDefault="001A60F0" w:rsidP="00782653">
      <w:pPr>
        <w:spacing w:line="480" w:lineRule="auto"/>
        <w:rPr>
          <w:iCs/>
        </w:rPr>
      </w:pPr>
      <w:r>
        <w:rPr>
          <w:iCs/>
          <w:noProof/>
          <w:lang w:val="en-GB"/>
        </w:rPr>
        <w:drawing>
          <wp:inline distT="0" distB="0" distL="0" distR="0" wp14:anchorId="52EFE85C" wp14:editId="75575F9D">
            <wp:extent cx="5417820" cy="3160295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_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735" cy="3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0C8BF" w14:textId="70AB4487" w:rsidR="00E26C76" w:rsidRDefault="00E26C76" w:rsidP="00E26C76">
      <w:pPr>
        <w:spacing w:line="480" w:lineRule="auto"/>
        <w:jc w:val="both"/>
        <w:rPr>
          <w:iCs/>
        </w:rPr>
      </w:pPr>
      <w:proofErr w:type="gramStart"/>
      <w:r>
        <w:rPr>
          <w:iCs/>
        </w:rPr>
        <w:t>Figure 3.</w:t>
      </w:r>
      <w:proofErr w:type="gramEnd"/>
      <w:r>
        <w:rPr>
          <w:iCs/>
        </w:rPr>
        <w:t xml:space="preserve"> Histograms of volatility from 1000-bootstrap samples taken from more/less informed trading subsets of races (fitted normal curves shown).</w:t>
      </w:r>
    </w:p>
    <w:p w14:paraId="6991EEF2" w14:textId="77777777" w:rsidR="00E26C76" w:rsidRDefault="00E26C76" w:rsidP="00E26C76">
      <w:pPr>
        <w:spacing w:line="480" w:lineRule="auto"/>
        <w:jc w:val="both"/>
        <w:rPr>
          <w:iCs/>
        </w:rPr>
      </w:pPr>
      <w:r>
        <w:rPr>
          <w:iCs/>
          <w:noProof/>
          <w:lang w:val="en-GB"/>
        </w:rPr>
        <w:drawing>
          <wp:inline distT="0" distB="0" distL="0" distR="0" wp14:anchorId="1E88B686" wp14:editId="6DD9E925">
            <wp:extent cx="5311140" cy="3098067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_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115" cy="309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18113" w14:textId="77777777" w:rsidR="00962EB5" w:rsidRPr="00CD536E" w:rsidRDefault="00962EB5" w:rsidP="00962EB5">
      <w:pPr>
        <w:spacing w:line="480" w:lineRule="auto"/>
        <w:jc w:val="both"/>
      </w:pPr>
    </w:p>
    <w:p w14:paraId="4E018FD1" w14:textId="369E4247" w:rsidR="00962EB5" w:rsidRPr="002166D0" w:rsidRDefault="00D229A3" w:rsidP="00962EB5">
      <w:pPr>
        <w:spacing w:line="480" w:lineRule="auto"/>
        <w:jc w:val="both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4</w:t>
      </w:r>
      <w:r w:rsidR="00962EB5">
        <w:rPr>
          <w:rFonts w:eastAsia="PMingLiU"/>
          <w:b/>
          <w:bCs/>
          <w:lang w:eastAsia="zh-TW"/>
        </w:rPr>
        <w:t>. Conclusion</w:t>
      </w:r>
    </w:p>
    <w:p w14:paraId="14A5EF7B" w14:textId="77777777" w:rsidR="00D229A3" w:rsidRDefault="00D229A3" w:rsidP="00D229A3">
      <w:pPr>
        <w:spacing w:line="480" w:lineRule="auto"/>
        <w:jc w:val="both"/>
      </w:pPr>
    </w:p>
    <w:p w14:paraId="4EC1C82F" w14:textId="2F3EC69E" w:rsidR="005C63EA" w:rsidRPr="00C92ED3" w:rsidRDefault="005C63EA" w:rsidP="00217D97">
      <w:pPr>
        <w:spacing w:line="480" w:lineRule="auto"/>
        <w:jc w:val="both"/>
      </w:pPr>
      <w:r>
        <w:tab/>
      </w:r>
      <w:r w:rsidR="00EE09ED">
        <w:t>We</w:t>
      </w:r>
      <w:r w:rsidR="00233ADB">
        <w:t xml:space="preserve"> show that informed trading is associated with increased efficiency and volatility. Our findings are consistent with</w:t>
      </w:r>
      <w:r w:rsidR="00723829">
        <w:t xml:space="preserve"> </w:t>
      </w:r>
      <w:r w:rsidR="00217D97">
        <w:t xml:space="preserve">predictions </w:t>
      </w:r>
      <w:r w:rsidR="00723829">
        <w:t xml:space="preserve">that informed trading leads to more efficient outcomes, and </w:t>
      </w:r>
      <w:r w:rsidR="00233ADB">
        <w:t xml:space="preserve">that noise trading destabilizes asset values away from fundamental values, </w:t>
      </w:r>
      <w:r w:rsidR="00723829">
        <w:t xml:space="preserve">perhaps </w:t>
      </w:r>
      <w:r w:rsidR="00233ADB">
        <w:t>by limiting arbitrage of informed traders.</w:t>
      </w:r>
      <w:r w:rsidR="00AF7F85">
        <w:t xml:space="preserve"> Moreover, informed trading brings greater volatility, despite </w:t>
      </w:r>
      <w:r w:rsidR="00723829">
        <w:t xml:space="preserve">some </w:t>
      </w:r>
      <w:r w:rsidR="00AF7F85">
        <w:t xml:space="preserve">predictions that </w:t>
      </w:r>
      <w:r w:rsidR="00723829">
        <w:t>n</w:t>
      </w:r>
      <w:r w:rsidR="00AF7F85">
        <w:t xml:space="preserve">oise trading </w:t>
      </w:r>
      <w:r w:rsidR="00723829">
        <w:t xml:space="preserve">is responsible for </w:t>
      </w:r>
      <w:r w:rsidR="00AF7F85">
        <w:t>volatility.</w:t>
      </w:r>
      <w:r w:rsidR="00E12DCF">
        <w:t xml:space="preserve"> </w:t>
      </w:r>
      <w:r w:rsidR="00217D97">
        <w:t>We</w:t>
      </w:r>
      <w:r w:rsidRPr="00C92ED3">
        <w:t xml:space="preserve"> shed light on the potentia</w:t>
      </w:r>
      <w:r w:rsidR="00AF7F85">
        <w:t>l value and possible costs that</w:t>
      </w:r>
      <w:r w:rsidRPr="00C92ED3">
        <w:t xml:space="preserve"> traders</w:t>
      </w:r>
      <w:r w:rsidR="00AF7F85">
        <w:t xml:space="preserve"> with privileged</w:t>
      </w:r>
      <w:r w:rsidRPr="00C92ED3">
        <w:t xml:space="preserve"> </w:t>
      </w:r>
      <w:r w:rsidR="0065207D">
        <w:t xml:space="preserve">information </w:t>
      </w:r>
      <w:r w:rsidRPr="00C92ED3">
        <w:t>can bring to a financial market</w:t>
      </w:r>
      <w:r w:rsidR="00723829">
        <w:t xml:space="preserve">. For instance, </w:t>
      </w:r>
      <w:r w:rsidRPr="00C92ED3">
        <w:t xml:space="preserve">focusing on innovative means of reducing </w:t>
      </w:r>
      <w:r w:rsidR="0065207D">
        <w:t>liquidity</w:t>
      </w:r>
      <w:r w:rsidRPr="00C92ED3">
        <w:t xml:space="preserve"> risks to arbitrageu</w:t>
      </w:r>
      <w:r w:rsidR="00AF7F85">
        <w:t>rs</w:t>
      </w:r>
      <w:r w:rsidR="00723829">
        <w:t xml:space="preserve">, such as </w:t>
      </w:r>
      <w:r w:rsidR="0065207D" w:rsidRPr="00C92ED3">
        <w:rPr>
          <w:lang w:val="en-GB"/>
        </w:rPr>
        <w:t>tighter controls on speculators and institutional noise traders</w:t>
      </w:r>
      <w:r w:rsidR="00723829">
        <w:rPr>
          <w:lang w:val="en-GB"/>
        </w:rPr>
        <w:t>,</w:t>
      </w:r>
      <w:r w:rsidR="0065207D">
        <w:rPr>
          <w:lang w:val="en-GB"/>
        </w:rPr>
        <w:t xml:space="preserve"> </w:t>
      </w:r>
      <w:r w:rsidR="00723829">
        <w:t xml:space="preserve">may help achieve efficient markets. </w:t>
      </w:r>
      <w:r w:rsidR="00217D97">
        <w:t>By contrast</w:t>
      </w:r>
      <w:r w:rsidR="00723829">
        <w:t xml:space="preserve">, if calmer, less volatile markets </w:t>
      </w:r>
      <w:r w:rsidR="007F0BA8">
        <w:t>are</w:t>
      </w:r>
      <w:r w:rsidR="00723829">
        <w:t xml:space="preserve"> the goal,</w:t>
      </w:r>
      <w:r w:rsidR="00EC30A1">
        <w:t xml:space="preserve"> it is</w:t>
      </w:r>
      <w:r w:rsidR="00986771">
        <w:t xml:space="preserve"> necessary to</w:t>
      </w:r>
      <w:r w:rsidR="00723829">
        <w:t xml:space="preserve"> l</w:t>
      </w:r>
      <w:r w:rsidR="00986771">
        <w:t>imit trading</w:t>
      </w:r>
      <w:r w:rsidR="00CF589A">
        <w:t xml:space="preserve"> based on privileged information</w:t>
      </w:r>
      <w:r w:rsidR="00986771">
        <w:t>.</w:t>
      </w:r>
    </w:p>
    <w:p w14:paraId="2F54932E" w14:textId="77777777" w:rsidR="00962EB5" w:rsidRDefault="00962EB5" w:rsidP="00962EB5">
      <w:pPr>
        <w:spacing w:line="480" w:lineRule="auto"/>
        <w:jc w:val="both"/>
        <w:rPr>
          <w:rFonts w:eastAsia="PMingLiU"/>
          <w:lang w:eastAsia="zh-TW"/>
        </w:rPr>
      </w:pPr>
    </w:p>
    <w:p w14:paraId="5A9F13DE" w14:textId="77777777" w:rsidR="00962EB5" w:rsidRPr="00A44871" w:rsidRDefault="00962EB5" w:rsidP="00962EB5">
      <w:pPr>
        <w:spacing w:line="480" w:lineRule="auto"/>
        <w:jc w:val="both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References</w:t>
      </w:r>
    </w:p>
    <w:p w14:paraId="627DD203" w14:textId="77777777" w:rsidR="00962EB5" w:rsidRPr="00C92ED3" w:rsidRDefault="00962EB5" w:rsidP="00962EB5">
      <w:pPr>
        <w:spacing w:line="480" w:lineRule="auto"/>
        <w:ind w:left="567" w:hanging="567"/>
      </w:pPr>
      <w:r>
        <w:rPr>
          <w:rFonts w:eastAsia="PMingLiU" w:hint="eastAsia"/>
          <w:lang w:eastAsia="zh-TW"/>
        </w:rPr>
        <w:t>B</w:t>
      </w:r>
      <w:r>
        <w:rPr>
          <w:rFonts w:eastAsia="PMingLiU"/>
          <w:lang w:eastAsia="zh-TW"/>
        </w:rPr>
        <w:t>loomfield</w:t>
      </w:r>
      <w:r>
        <w:rPr>
          <w:rFonts w:eastAsia="PMingLiU" w:hint="eastAsia"/>
          <w:lang w:eastAsia="zh-TW"/>
        </w:rPr>
        <w:t>, R.</w:t>
      </w:r>
      <w:r>
        <w:rPr>
          <w:rFonts w:eastAsia="PMingLiU"/>
          <w:lang w:eastAsia="zh-TW"/>
        </w:rPr>
        <w:t>,</w:t>
      </w:r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 xml:space="preserve">M. </w:t>
      </w:r>
      <w:r>
        <w:rPr>
          <w:rFonts w:eastAsia="PMingLiU" w:hint="eastAsia"/>
          <w:lang w:eastAsia="zh-TW"/>
        </w:rPr>
        <w:t>O</w:t>
      </w:r>
      <w:r>
        <w:rPr>
          <w:rFonts w:eastAsia="PMingLiU"/>
          <w:lang w:eastAsia="zh-TW"/>
        </w:rPr>
        <w:t>’Hara</w:t>
      </w:r>
      <w:r>
        <w:rPr>
          <w:rFonts w:eastAsia="PMingLiU" w:hint="eastAsia"/>
          <w:lang w:eastAsia="zh-TW"/>
        </w:rPr>
        <w:t xml:space="preserve">, and </w:t>
      </w:r>
      <w:r>
        <w:rPr>
          <w:rFonts w:eastAsia="PMingLiU"/>
          <w:lang w:eastAsia="zh-TW"/>
        </w:rPr>
        <w:t>Saar</w:t>
      </w:r>
      <w:r>
        <w:rPr>
          <w:rFonts w:eastAsia="PMingLiU" w:hint="eastAsia"/>
          <w:lang w:eastAsia="zh-TW"/>
        </w:rPr>
        <w:t>, G.</w:t>
      </w:r>
      <w:r>
        <w:rPr>
          <w:rFonts w:eastAsia="PMingLiU"/>
          <w:lang w:eastAsia="zh-TW"/>
        </w:rPr>
        <w:t xml:space="preserve"> </w:t>
      </w:r>
      <w:r w:rsidRPr="00C92ED3">
        <w:t xml:space="preserve">2009. How noise trading affects markets: An experimental analysis. </w:t>
      </w:r>
      <w:r w:rsidRPr="00C92ED3">
        <w:rPr>
          <w:i/>
          <w:iCs/>
        </w:rPr>
        <w:t>Review of Financial Studies</w:t>
      </w:r>
      <w:r>
        <w:rPr>
          <w:rFonts w:eastAsia="PMingLiU" w:hint="eastAsia"/>
          <w:lang w:eastAsia="zh-TW"/>
        </w:rPr>
        <w:t xml:space="preserve"> </w:t>
      </w:r>
      <w:r w:rsidRPr="00BC2EF3">
        <w:t>22</w:t>
      </w:r>
      <w:r>
        <w:rPr>
          <w:rFonts w:eastAsia="PMingLiU"/>
          <w:lang w:eastAsia="zh-TW"/>
        </w:rPr>
        <w:t>:</w:t>
      </w:r>
      <w:r>
        <w:t>2275-</w:t>
      </w:r>
      <w:r w:rsidRPr="00C92ED3">
        <w:t>302.</w:t>
      </w:r>
    </w:p>
    <w:p w14:paraId="1EC8B103" w14:textId="77777777" w:rsidR="00962EB5" w:rsidRPr="00C92ED3" w:rsidRDefault="00962EB5" w:rsidP="00962EB5">
      <w:pPr>
        <w:spacing w:line="480" w:lineRule="auto"/>
        <w:ind w:left="567" w:hanging="567"/>
      </w:pPr>
      <w:proofErr w:type="gramStart"/>
      <w:r>
        <w:t>Campbell, J. Y.,</w:t>
      </w:r>
      <w:r>
        <w:rPr>
          <w:rFonts w:eastAsia="PMingLiU" w:hint="eastAsia"/>
          <w:lang w:eastAsia="zh-TW"/>
        </w:rPr>
        <w:t xml:space="preserve"> and</w:t>
      </w:r>
      <w:r w:rsidRPr="00C92ED3">
        <w:t xml:space="preserve"> </w:t>
      </w:r>
      <w:r>
        <w:t xml:space="preserve">A. S. </w:t>
      </w:r>
      <w:r>
        <w:rPr>
          <w:rFonts w:eastAsia="PMingLiU" w:hint="eastAsia"/>
          <w:lang w:eastAsia="zh-TW"/>
        </w:rPr>
        <w:t>K</w:t>
      </w:r>
      <w:r>
        <w:rPr>
          <w:rFonts w:eastAsia="PMingLiU"/>
          <w:lang w:eastAsia="zh-TW"/>
        </w:rPr>
        <w:t>yle.</w:t>
      </w:r>
      <w:proofErr w:type="gramEnd"/>
      <w:r>
        <w:rPr>
          <w:rFonts w:eastAsia="PMingLiU"/>
          <w:lang w:eastAsia="zh-TW"/>
        </w:rPr>
        <w:t xml:space="preserve"> </w:t>
      </w:r>
      <w:r w:rsidRPr="00C92ED3">
        <w:t xml:space="preserve">1993. Smart money, noise trading and stock price </w:t>
      </w:r>
      <w:proofErr w:type="spellStart"/>
      <w:r w:rsidRPr="00C92ED3">
        <w:t>behaviour</w:t>
      </w:r>
      <w:proofErr w:type="spellEnd"/>
      <w:r w:rsidRPr="00C92ED3">
        <w:t xml:space="preserve">. </w:t>
      </w:r>
      <w:r w:rsidRPr="00C92ED3">
        <w:rPr>
          <w:i/>
          <w:iCs/>
        </w:rPr>
        <w:t>The Review of Economic Studies</w:t>
      </w:r>
      <w:r>
        <w:rPr>
          <w:rFonts w:eastAsia="PMingLiU" w:hint="eastAsia"/>
          <w:lang w:eastAsia="zh-TW"/>
        </w:rPr>
        <w:t xml:space="preserve"> </w:t>
      </w:r>
      <w:r w:rsidRPr="00BC2EF3">
        <w:t>60</w:t>
      </w:r>
      <w:r>
        <w:rPr>
          <w:rFonts w:eastAsia="PMingLiU"/>
          <w:lang w:eastAsia="zh-TW"/>
        </w:rPr>
        <w:t>:</w:t>
      </w:r>
      <w:r w:rsidRPr="00C92ED3">
        <w:t>1-34.</w:t>
      </w:r>
    </w:p>
    <w:p w14:paraId="143B7C56" w14:textId="77777777" w:rsidR="00962EB5" w:rsidRDefault="00962EB5" w:rsidP="00962EB5">
      <w:pPr>
        <w:spacing w:line="480" w:lineRule="auto"/>
        <w:ind w:left="567" w:hanging="567"/>
      </w:pPr>
      <w:proofErr w:type="gramStart"/>
      <w:r>
        <w:t>D</w:t>
      </w:r>
      <w:r>
        <w:rPr>
          <w:rFonts w:eastAsia="PMingLiU" w:hint="eastAsia"/>
          <w:lang w:eastAsia="zh-TW"/>
        </w:rPr>
        <w:t>e</w:t>
      </w:r>
      <w:r w:rsidRPr="00C92ED3">
        <w:t xml:space="preserve"> </w:t>
      </w:r>
      <w:r>
        <w:rPr>
          <w:rFonts w:eastAsia="PMingLiU" w:hint="eastAsia"/>
          <w:lang w:eastAsia="zh-TW"/>
        </w:rPr>
        <w:t>L</w:t>
      </w:r>
      <w:r>
        <w:rPr>
          <w:rFonts w:eastAsia="PMingLiU"/>
          <w:lang w:eastAsia="zh-TW"/>
        </w:rPr>
        <w:t>ong</w:t>
      </w:r>
      <w:r>
        <w:t xml:space="preserve">, J. </w:t>
      </w:r>
      <w:r w:rsidRPr="00C92ED3">
        <w:t xml:space="preserve">B., </w:t>
      </w:r>
      <w:r>
        <w:t xml:space="preserve">A. </w:t>
      </w:r>
      <w:r>
        <w:rPr>
          <w:rFonts w:eastAsia="PMingLiU" w:hint="eastAsia"/>
          <w:lang w:eastAsia="zh-TW"/>
        </w:rPr>
        <w:t>S</w:t>
      </w:r>
      <w:r>
        <w:rPr>
          <w:rFonts w:eastAsia="PMingLiU"/>
          <w:lang w:eastAsia="zh-TW"/>
        </w:rPr>
        <w:t>hleifer</w:t>
      </w:r>
      <w:r>
        <w:rPr>
          <w:rFonts w:eastAsia="PMingLiU" w:hint="eastAsia"/>
          <w:lang w:eastAsia="zh-TW"/>
        </w:rPr>
        <w:t>,</w:t>
      </w:r>
      <w:r>
        <w:rPr>
          <w:rFonts w:eastAsia="PMingLiU"/>
          <w:lang w:eastAsia="zh-TW"/>
        </w:rPr>
        <w:t xml:space="preserve"> </w:t>
      </w:r>
      <w:r>
        <w:t xml:space="preserve">L. H. </w:t>
      </w:r>
      <w:r>
        <w:rPr>
          <w:rFonts w:eastAsia="PMingLiU" w:hint="eastAsia"/>
          <w:lang w:eastAsia="zh-TW"/>
        </w:rPr>
        <w:t>S</w:t>
      </w:r>
      <w:r>
        <w:rPr>
          <w:rFonts w:eastAsia="PMingLiU"/>
          <w:lang w:eastAsia="zh-TW"/>
        </w:rPr>
        <w:t>ummers,</w:t>
      </w:r>
      <w:r>
        <w:rPr>
          <w:rFonts w:eastAsia="PMingLiU" w:hint="eastAsia"/>
          <w:lang w:eastAsia="zh-TW"/>
        </w:rPr>
        <w:t xml:space="preserve"> and </w:t>
      </w:r>
      <w:r>
        <w:rPr>
          <w:rFonts w:eastAsia="PMingLiU"/>
          <w:lang w:eastAsia="zh-TW"/>
        </w:rPr>
        <w:t xml:space="preserve">R. J. </w:t>
      </w:r>
      <w:proofErr w:type="spellStart"/>
      <w:r>
        <w:rPr>
          <w:rFonts w:eastAsia="PMingLiU" w:hint="eastAsia"/>
          <w:lang w:eastAsia="zh-TW"/>
        </w:rPr>
        <w:t>W</w:t>
      </w:r>
      <w:r>
        <w:rPr>
          <w:rFonts w:eastAsia="PMingLiU"/>
          <w:lang w:eastAsia="zh-TW"/>
        </w:rPr>
        <w:t>aldmann</w:t>
      </w:r>
      <w:proofErr w:type="spellEnd"/>
      <w:r>
        <w:t>.</w:t>
      </w:r>
      <w:proofErr w:type="gramEnd"/>
      <w:r>
        <w:t xml:space="preserve"> </w:t>
      </w:r>
      <w:r w:rsidRPr="00C92ED3">
        <w:t xml:space="preserve">1990. Noise trader risk in financial markets. </w:t>
      </w:r>
      <w:r w:rsidRPr="00C92ED3">
        <w:rPr>
          <w:i/>
          <w:iCs/>
        </w:rPr>
        <w:t>Journal of Political Economy</w:t>
      </w:r>
      <w:r>
        <w:rPr>
          <w:rFonts w:eastAsia="PMingLiU" w:hint="eastAsia"/>
          <w:lang w:eastAsia="zh-TW"/>
        </w:rPr>
        <w:t xml:space="preserve"> </w:t>
      </w:r>
      <w:r w:rsidRPr="00BC2EF3">
        <w:t>98</w:t>
      </w:r>
      <w:r>
        <w:rPr>
          <w:rFonts w:eastAsia="PMingLiU"/>
          <w:lang w:eastAsia="zh-TW"/>
        </w:rPr>
        <w:t>:</w:t>
      </w:r>
      <w:r>
        <w:t>703-</w:t>
      </w:r>
      <w:r w:rsidRPr="00C92ED3">
        <w:t>38.</w:t>
      </w:r>
    </w:p>
    <w:p w14:paraId="65013F1C" w14:textId="6B92A32A" w:rsidR="00A22C5B" w:rsidRPr="00A22C5B" w:rsidRDefault="00A22C5B" w:rsidP="00962EB5">
      <w:pPr>
        <w:spacing w:line="480" w:lineRule="auto"/>
        <w:ind w:left="567" w:hanging="567"/>
        <w:rPr>
          <w:lang w:val="en-GB"/>
        </w:rPr>
      </w:pPr>
      <w:proofErr w:type="gramStart"/>
      <w:r w:rsidRPr="00A22C5B">
        <w:t>French, K. R., and Roll, R. (1986).</w:t>
      </w:r>
      <w:proofErr w:type="gramEnd"/>
      <w:r w:rsidRPr="00A22C5B">
        <w:t xml:space="preserve"> Stock return variances: the arrival of information and the reaction of traders. </w:t>
      </w:r>
      <w:r w:rsidRPr="00A22C5B">
        <w:rPr>
          <w:i/>
          <w:iCs/>
        </w:rPr>
        <w:t>Journal of Financial Economics</w:t>
      </w:r>
      <w:r w:rsidRPr="00A22C5B">
        <w:t>, 17(1), 5-26.</w:t>
      </w:r>
    </w:p>
    <w:p w14:paraId="2B246F4E" w14:textId="77777777" w:rsidR="00962EB5" w:rsidRPr="00C92ED3" w:rsidRDefault="00962EB5" w:rsidP="00962EB5">
      <w:pPr>
        <w:spacing w:line="480" w:lineRule="auto"/>
        <w:ind w:left="567" w:hanging="567"/>
      </w:pPr>
      <w:proofErr w:type="gramStart"/>
      <w:r w:rsidRPr="001960E5">
        <w:t xml:space="preserve">Gramm, M., and </w:t>
      </w:r>
      <w:r>
        <w:t>D. H. Owens.</w:t>
      </w:r>
      <w:proofErr w:type="gramEnd"/>
      <w:r w:rsidRPr="001960E5">
        <w:t xml:space="preserve"> </w:t>
      </w:r>
      <w:r>
        <w:t>2006</w:t>
      </w:r>
      <w:r w:rsidRPr="001960E5">
        <w:t xml:space="preserve">. Efficiency in pari-mutuel betting markets across wagering pools in the simulcast era. </w:t>
      </w:r>
      <w:r w:rsidRPr="001960E5">
        <w:rPr>
          <w:i/>
          <w:iCs/>
        </w:rPr>
        <w:t>Southern Economic Journal</w:t>
      </w:r>
      <w:r>
        <w:t xml:space="preserve"> 72:926-</w:t>
      </w:r>
      <w:r w:rsidRPr="001960E5">
        <w:t>37.</w:t>
      </w:r>
    </w:p>
    <w:p w14:paraId="1AFA10EB" w14:textId="77777777" w:rsidR="00BB7A93" w:rsidRDefault="00BB7A93" w:rsidP="00BB7A93">
      <w:pPr>
        <w:spacing w:line="480" w:lineRule="auto"/>
        <w:ind w:left="567" w:hanging="567"/>
      </w:pPr>
      <w:proofErr w:type="gramStart"/>
      <w:r>
        <w:rPr>
          <w:rFonts w:eastAsia="PMingLiU"/>
          <w:lang w:val="en-GB" w:eastAsia="zh-TW"/>
        </w:rPr>
        <w:t>Johnson, J. E. V.</w:t>
      </w:r>
      <w:r w:rsidRPr="00E30191">
        <w:rPr>
          <w:rFonts w:eastAsia="PMingLiU" w:hint="eastAsia"/>
          <w:lang w:val="en-GB" w:eastAsia="zh-TW"/>
        </w:rPr>
        <w:t>,</w:t>
      </w:r>
      <w:r w:rsidRPr="00E30191">
        <w:rPr>
          <w:lang w:val="en-GB"/>
        </w:rPr>
        <w:t xml:space="preserve"> </w:t>
      </w:r>
      <w:r>
        <w:rPr>
          <w:lang w:val="en-GB"/>
        </w:rPr>
        <w:t xml:space="preserve">O. </w:t>
      </w:r>
      <w:r w:rsidRPr="00E30191">
        <w:rPr>
          <w:rFonts w:eastAsia="PMingLiU" w:hint="eastAsia"/>
          <w:lang w:val="en-GB" w:eastAsia="zh-TW"/>
        </w:rPr>
        <w:t>J</w:t>
      </w:r>
      <w:r>
        <w:rPr>
          <w:rFonts w:eastAsia="PMingLiU"/>
          <w:lang w:val="en-GB" w:eastAsia="zh-TW"/>
        </w:rPr>
        <w:t>ones</w:t>
      </w:r>
      <w:r>
        <w:rPr>
          <w:lang w:val="en-GB"/>
        </w:rPr>
        <w:t>,</w:t>
      </w:r>
      <w:r w:rsidRPr="00E30191">
        <w:rPr>
          <w:rFonts w:eastAsia="PMingLiU" w:hint="eastAsia"/>
          <w:lang w:val="en-GB" w:eastAsia="zh-TW"/>
        </w:rPr>
        <w:t xml:space="preserve"> and </w:t>
      </w:r>
      <w:r>
        <w:rPr>
          <w:rFonts w:eastAsia="PMingLiU"/>
          <w:lang w:val="en-GB" w:eastAsia="zh-TW"/>
        </w:rPr>
        <w:t xml:space="preserve">L. </w:t>
      </w:r>
      <w:r>
        <w:rPr>
          <w:rFonts w:eastAsia="PMingLiU" w:hint="eastAsia"/>
          <w:lang w:val="en-GB" w:eastAsia="zh-TW"/>
        </w:rPr>
        <w:t>T</w:t>
      </w:r>
      <w:r>
        <w:rPr>
          <w:rFonts w:eastAsia="PMingLiU"/>
          <w:lang w:val="en-GB" w:eastAsia="zh-TW"/>
        </w:rPr>
        <w:t>ang.</w:t>
      </w:r>
      <w:proofErr w:type="gramEnd"/>
      <w:r>
        <w:rPr>
          <w:rFonts w:eastAsia="PMingLiU"/>
          <w:lang w:val="en-GB" w:eastAsia="zh-TW"/>
        </w:rPr>
        <w:t xml:space="preserve"> </w:t>
      </w:r>
      <w:r w:rsidRPr="00E30191">
        <w:rPr>
          <w:lang w:val="en-GB"/>
        </w:rPr>
        <w:t xml:space="preserve">2006. </w:t>
      </w:r>
      <w:r w:rsidRPr="00C92ED3">
        <w:t xml:space="preserve">Exploring decision makers' use of price information in a speculative market. </w:t>
      </w:r>
      <w:r w:rsidRPr="00C92ED3">
        <w:rPr>
          <w:i/>
          <w:iCs/>
        </w:rPr>
        <w:t>Management Science</w:t>
      </w:r>
      <w:r>
        <w:rPr>
          <w:rFonts w:eastAsia="PMingLiU" w:hint="eastAsia"/>
          <w:lang w:eastAsia="zh-TW"/>
        </w:rPr>
        <w:t xml:space="preserve"> </w:t>
      </w:r>
      <w:r w:rsidRPr="00E30191">
        <w:t>52</w:t>
      </w:r>
      <w:r>
        <w:rPr>
          <w:rFonts w:eastAsia="PMingLiU"/>
          <w:lang w:eastAsia="zh-TW"/>
        </w:rPr>
        <w:t>:</w:t>
      </w:r>
      <w:r w:rsidRPr="00C92ED3">
        <w:t>897-908.</w:t>
      </w:r>
    </w:p>
    <w:p w14:paraId="5A695BB9" w14:textId="1B1C7686" w:rsidR="00110256" w:rsidRPr="00110256" w:rsidRDefault="00110256" w:rsidP="006F6A85">
      <w:pPr>
        <w:spacing w:line="480" w:lineRule="auto"/>
        <w:ind w:left="567" w:hanging="567"/>
        <w:rPr>
          <w:lang w:val="en-GB"/>
        </w:rPr>
      </w:pPr>
      <w:r w:rsidRPr="00110256">
        <w:rPr>
          <w:rFonts w:eastAsia="PMingLiU"/>
          <w:lang w:val="en-GB" w:eastAsia="zh-TW"/>
        </w:rPr>
        <w:t xml:space="preserve">Johnstone, D. 2016. </w:t>
      </w:r>
      <w:proofErr w:type="gramStart"/>
      <w:r w:rsidRPr="00110256">
        <w:rPr>
          <w:rFonts w:eastAsia="PMingLiU"/>
          <w:lang w:val="en-GB" w:eastAsia="zh-TW"/>
        </w:rPr>
        <w:t xml:space="preserve">The </w:t>
      </w:r>
      <w:r>
        <w:rPr>
          <w:rFonts w:eastAsia="PMingLiU"/>
          <w:lang w:val="en-GB" w:eastAsia="zh-TW"/>
        </w:rPr>
        <w:t>e</w:t>
      </w:r>
      <w:r w:rsidRPr="00110256">
        <w:rPr>
          <w:rFonts w:eastAsia="PMingLiU"/>
          <w:lang w:val="en-GB" w:eastAsia="zh-TW"/>
        </w:rPr>
        <w:t xml:space="preserve">ffect of </w:t>
      </w:r>
      <w:r>
        <w:rPr>
          <w:rFonts w:eastAsia="PMingLiU"/>
          <w:lang w:val="en-GB" w:eastAsia="zh-TW"/>
        </w:rPr>
        <w:t>i</w:t>
      </w:r>
      <w:r w:rsidRPr="00110256">
        <w:rPr>
          <w:rFonts w:eastAsia="PMingLiU"/>
          <w:lang w:val="en-GB" w:eastAsia="zh-TW"/>
        </w:rPr>
        <w:t xml:space="preserve">nformation on </w:t>
      </w:r>
      <w:r>
        <w:rPr>
          <w:rFonts w:eastAsia="PMingLiU"/>
          <w:lang w:val="en-GB" w:eastAsia="zh-TW"/>
        </w:rPr>
        <w:t>u</w:t>
      </w:r>
      <w:r w:rsidRPr="00110256">
        <w:rPr>
          <w:rFonts w:eastAsia="PMingLiU"/>
          <w:lang w:val="en-GB" w:eastAsia="zh-TW"/>
        </w:rPr>
        <w:t xml:space="preserve">ncertainty and the </w:t>
      </w:r>
      <w:r>
        <w:rPr>
          <w:rFonts w:eastAsia="PMingLiU"/>
          <w:lang w:val="en-GB" w:eastAsia="zh-TW"/>
        </w:rPr>
        <w:t>c</w:t>
      </w:r>
      <w:r w:rsidRPr="00110256">
        <w:rPr>
          <w:rFonts w:eastAsia="PMingLiU"/>
          <w:lang w:val="en-GB" w:eastAsia="zh-TW"/>
        </w:rPr>
        <w:t xml:space="preserve">ost of </w:t>
      </w:r>
      <w:r>
        <w:rPr>
          <w:rFonts w:eastAsia="PMingLiU"/>
          <w:lang w:val="en-GB" w:eastAsia="zh-TW"/>
        </w:rPr>
        <w:t>c</w:t>
      </w:r>
      <w:r w:rsidRPr="00110256">
        <w:rPr>
          <w:rFonts w:eastAsia="PMingLiU"/>
          <w:lang w:val="en-GB" w:eastAsia="zh-TW"/>
        </w:rPr>
        <w:t>apital</w:t>
      </w:r>
      <w:r>
        <w:rPr>
          <w:rFonts w:eastAsia="PMingLiU"/>
          <w:lang w:val="en-GB" w:eastAsia="zh-TW"/>
        </w:rPr>
        <w:t>.</w:t>
      </w:r>
      <w:proofErr w:type="gramEnd"/>
      <w:r>
        <w:rPr>
          <w:rFonts w:eastAsia="PMingLiU"/>
          <w:lang w:val="en-GB" w:eastAsia="zh-TW"/>
        </w:rPr>
        <w:t xml:space="preserve"> </w:t>
      </w:r>
      <w:r w:rsidRPr="006F6A85">
        <w:rPr>
          <w:rFonts w:eastAsia="PMingLiU"/>
          <w:i/>
          <w:iCs/>
          <w:lang w:val="en-GB" w:eastAsia="zh-TW"/>
        </w:rPr>
        <w:t>Contemporary Accounting Research</w:t>
      </w:r>
      <w:r w:rsidR="006F6A85">
        <w:rPr>
          <w:rFonts w:eastAsia="PMingLiU"/>
          <w:lang w:val="en-GB" w:eastAsia="zh-TW"/>
        </w:rPr>
        <w:t xml:space="preserve"> 32: 752-774.</w:t>
      </w:r>
      <w:bookmarkStart w:id="0" w:name="_GoBack"/>
      <w:bookmarkEnd w:id="0"/>
    </w:p>
    <w:p w14:paraId="50E5D876" w14:textId="77777777" w:rsidR="00962EB5" w:rsidRPr="00855B6E" w:rsidRDefault="00962EB5" w:rsidP="00962EB5">
      <w:pPr>
        <w:spacing w:line="480" w:lineRule="auto"/>
        <w:ind w:left="567" w:hanging="567"/>
        <w:rPr>
          <w:lang w:val="en-GB"/>
        </w:rPr>
      </w:pPr>
      <w:proofErr w:type="gramStart"/>
      <w:r>
        <w:t>L</w:t>
      </w:r>
      <w:r>
        <w:rPr>
          <w:rFonts w:eastAsia="PMingLiU"/>
          <w:lang w:eastAsia="zh-TW"/>
        </w:rPr>
        <w:t>aw</w:t>
      </w:r>
      <w:r>
        <w:t>, D.,</w:t>
      </w:r>
      <w:r>
        <w:rPr>
          <w:rFonts w:eastAsia="PMingLiU" w:hint="eastAsia"/>
          <w:lang w:eastAsia="zh-TW"/>
        </w:rPr>
        <w:t xml:space="preserve"> and </w:t>
      </w:r>
      <w:r>
        <w:rPr>
          <w:rFonts w:eastAsia="PMingLiU"/>
          <w:lang w:eastAsia="zh-TW"/>
        </w:rPr>
        <w:t xml:space="preserve">D. A. </w:t>
      </w:r>
      <w:r>
        <w:rPr>
          <w:rFonts w:eastAsia="PMingLiU" w:hint="eastAsia"/>
          <w:lang w:eastAsia="zh-TW"/>
        </w:rPr>
        <w:t>P</w:t>
      </w:r>
      <w:r>
        <w:rPr>
          <w:rFonts w:eastAsia="PMingLiU"/>
          <w:lang w:eastAsia="zh-TW"/>
        </w:rPr>
        <w:t>eel.</w:t>
      </w:r>
      <w:proofErr w:type="gramEnd"/>
      <w:r>
        <w:rPr>
          <w:rFonts w:eastAsia="PMingLiU"/>
          <w:lang w:eastAsia="zh-TW"/>
        </w:rPr>
        <w:t xml:space="preserve"> </w:t>
      </w:r>
      <w:r w:rsidRPr="00C92ED3">
        <w:t>2002</w:t>
      </w:r>
      <w:r w:rsidRPr="00C92ED3">
        <w:rPr>
          <w:rFonts w:eastAsia="PMingLiU" w:hint="eastAsia"/>
          <w:lang w:eastAsia="zh-TW"/>
        </w:rPr>
        <w:t>.</w:t>
      </w:r>
      <w:r w:rsidRPr="00C92ED3">
        <w:t xml:space="preserve"> Insider trading, herding </w:t>
      </w:r>
      <w:proofErr w:type="spellStart"/>
      <w:r w:rsidRPr="00C92ED3">
        <w:t>behaviour</w:t>
      </w:r>
      <w:proofErr w:type="spellEnd"/>
      <w:r w:rsidRPr="00C92ED3">
        <w:t xml:space="preserve"> and market plungers in the British horse-race betting market. </w:t>
      </w:r>
      <w:proofErr w:type="spellStart"/>
      <w:r w:rsidRPr="00855B6E">
        <w:rPr>
          <w:i/>
          <w:iCs/>
          <w:lang w:val="en-GB"/>
        </w:rPr>
        <w:t>Economica</w:t>
      </w:r>
      <w:proofErr w:type="spellEnd"/>
      <w:r w:rsidRPr="00855B6E">
        <w:rPr>
          <w:rFonts w:eastAsia="PMingLiU" w:hint="eastAsia"/>
          <w:lang w:val="en-GB" w:eastAsia="zh-TW"/>
        </w:rPr>
        <w:t xml:space="preserve"> </w:t>
      </w:r>
      <w:r w:rsidRPr="00855B6E">
        <w:rPr>
          <w:lang w:val="en-GB"/>
        </w:rPr>
        <w:t>69</w:t>
      </w:r>
      <w:r>
        <w:rPr>
          <w:rFonts w:eastAsia="PMingLiU"/>
          <w:lang w:val="en-GB" w:eastAsia="zh-TW"/>
        </w:rPr>
        <w:t>:</w:t>
      </w:r>
      <w:r w:rsidRPr="00855B6E">
        <w:rPr>
          <w:lang w:val="en-GB"/>
        </w:rPr>
        <w:t>327-38.</w:t>
      </w:r>
    </w:p>
    <w:p w14:paraId="5E4084AD" w14:textId="77777777" w:rsidR="00962EB5" w:rsidRPr="00C92ED3" w:rsidRDefault="00962EB5" w:rsidP="00962EB5">
      <w:pPr>
        <w:spacing w:line="480" w:lineRule="auto"/>
        <w:ind w:left="567" w:hanging="567"/>
        <w:rPr>
          <w:rFonts w:eastAsia="PMingLiU"/>
          <w:lang w:eastAsia="zh-TW"/>
        </w:rPr>
      </w:pPr>
      <w:proofErr w:type="spellStart"/>
      <w:r>
        <w:rPr>
          <w:rFonts w:eastAsia="PMingLiU" w:hint="eastAsia"/>
          <w:lang w:val="en-GB" w:eastAsia="zh-TW"/>
        </w:rPr>
        <w:t>M</w:t>
      </w:r>
      <w:r>
        <w:rPr>
          <w:rFonts w:eastAsia="PMingLiU"/>
          <w:lang w:val="en-GB" w:eastAsia="zh-TW"/>
        </w:rPr>
        <w:t>addala</w:t>
      </w:r>
      <w:proofErr w:type="spellEnd"/>
      <w:r>
        <w:rPr>
          <w:rFonts w:eastAsia="PMingLiU"/>
          <w:lang w:val="en-GB" w:eastAsia="zh-TW"/>
        </w:rPr>
        <w:t>,</w:t>
      </w:r>
      <w:r>
        <w:rPr>
          <w:rFonts w:eastAsia="PMingLiU" w:hint="eastAsia"/>
          <w:lang w:val="en-GB" w:eastAsia="zh-TW"/>
        </w:rPr>
        <w:t xml:space="preserve"> G.</w:t>
      </w:r>
      <w:r>
        <w:rPr>
          <w:rFonts w:eastAsia="PMingLiU"/>
          <w:lang w:val="en-GB" w:eastAsia="zh-TW"/>
        </w:rPr>
        <w:t xml:space="preserve"> S</w:t>
      </w:r>
      <w:r w:rsidRPr="00855B6E">
        <w:rPr>
          <w:rFonts w:eastAsia="PMingLiU" w:hint="eastAsia"/>
          <w:lang w:val="en-GB" w:eastAsia="zh-TW"/>
        </w:rPr>
        <w:t xml:space="preserve">. </w:t>
      </w:r>
      <w:r w:rsidRPr="00855B6E">
        <w:rPr>
          <w:lang w:val="en-GB"/>
        </w:rPr>
        <w:t xml:space="preserve">1983. </w:t>
      </w:r>
      <w:proofErr w:type="gramStart"/>
      <w:r w:rsidRPr="00C92ED3">
        <w:rPr>
          <w:i/>
          <w:iCs/>
        </w:rPr>
        <w:t xml:space="preserve">Limited </w:t>
      </w:r>
      <w:r w:rsidRPr="00C92ED3">
        <w:rPr>
          <w:rFonts w:eastAsia="PMingLiU" w:hint="eastAsia"/>
          <w:i/>
          <w:iCs/>
          <w:lang w:eastAsia="zh-TW"/>
        </w:rPr>
        <w:t>D</w:t>
      </w:r>
      <w:r w:rsidRPr="00C92ED3">
        <w:rPr>
          <w:i/>
          <w:iCs/>
        </w:rPr>
        <w:t>ependent and</w:t>
      </w:r>
      <w:r w:rsidRPr="00C92ED3">
        <w:rPr>
          <w:rFonts w:eastAsia="PMingLiU" w:hint="eastAsia"/>
          <w:i/>
          <w:iCs/>
          <w:lang w:eastAsia="zh-TW"/>
        </w:rPr>
        <w:t xml:space="preserve"> Q</w:t>
      </w:r>
      <w:r w:rsidRPr="00C92ED3">
        <w:rPr>
          <w:i/>
          <w:iCs/>
        </w:rPr>
        <w:t xml:space="preserve">ualitative </w:t>
      </w:r>
      <w:r w:rsidRPr="00C92ED3">
        <w:rPr>
          <w:rFonts w:eastAsia="PMingLiU" w:hint="eastAsia"/>
          <w:i/>
          <w:iCs/>
          <w:lang w:eastAsia="zh-TW"/>
        </w:rPr>
        <w:t>V</w:t>
      </w:r>
      <w:r w:rsidRPr="00C92ED3">
        <w:rPr>
          <w:i/>
          <w:iCs/>
        </w:rPr>
        <w:t xml:space="preserve">ariables in </w:t>
      </w:r>
      <w:r w:rsidRPr="00C92ED3">
        <w:rPr>
          <w:rFonts w:eastAsia="PMingLiU" w:hint="eastAsia"/>
          <w:i/>
          <w:iCs/>
          <w:lang w:eastAsia="zh-TW"/>
        </w:rPr>
        <w:t>E</w:t>
      </w:r>
      <w:r w:rsidRPr="00C92ED3">
        <w:rPr>
          <w:i/>
          <w:iCs/>
        </w:rPr>
        <w:t>conometrics</w:t>
      </w:r>
      <w:r w:rsidRPr="00C92ED3">
        <w:t>.</w:t>
      </w:r>
      <w:proofErr w:type="gramEnd"/>
      <w:r w:rsidRPr="00C92ED3">
        <w:t xml:space="preserve"> Cambridge</w:t>
      </w:r>
      <w:r>
        <w:rPr>
          <w:rFonts w:eastAsia="PMingLiU" w:hint="eastAsia"/>
          <w:lang w:eastAsia="zh-TW"/>
        </w:rPr>
        <w:t>:</w:t>
      </w:r>
      <w:r w:rsidRPr="00C92ED3">
        <w:rPr>
          <w:rFonts w:eastAsia="PMingLiU" w:hint="eastAsia"/>
          <w:lang w:eastAsia="zh-TW"/>
        </w:rPr>
        <w:t xml:space="preserve"> </w:t>
      </w:r>
      <w:r w:rsidRPr="00C92ED3">
        <w:t>Cambridge University Press</w:t>
      </w:r>
      <w:r w:rsidRPr="00C92ED3">
        <w:rPr>
          <w:rFonts w:eastAsia="PMingLiU" w:hint="eastAsia"/>
          <w:lang w:eastAsia="zh-TW"/>
        </w:rPr>
        <w:t>.</w:t>
      </w:r>
    </w:p>
    <w:p w14:paraId="6C2EDA27" w14:textId="77777777" w:rsidR="00962EB5" w:rsidRDefault="00962EB5" w:rsidP="00962EB5">
      <w:pPr>
        <w:spacing w:line="480" w:lineRule="auto"/>
        <w:ind w:left="567" w:hanging="567"/>
      </w:pPr>
      <w:r>
        <w:t>Mc</w:t>
      </w:r>
      <w:r>
        <w:rPr>
          <w:rFonts w:eastAsia="PMingLiU" w:hint="eastAsia"/>
          <w:lang w:eastAsia="zh-TW"/>
        </w:rPr>
        <w:t>F</w:t>
      </w:r>
      <w:r>
        <w:rPr>
          <w:rFonts w:eastAsia="PMingLiU"/>
          <w:lang w:eastAsia="zh-TW"/>
        </w:rPr>
        <w:t>adden</w:t>
      </w:r>
      <w:r w:rsidRPr="00C92ED3">
        <w:t xml:space="preserve">, D. 1974. </w:t>
      </w:r>
      <w:proofErr w:type="gramStart"/>
      <w:r w:rsidRPr="00C92ED3">
        <w:t>Conditional logit analysis of qualitative choice behavior.</w:t>
      </w:r>
      <w:proofErr w:type="gramEnd"/>
      <w:r w:rsidRPr="00C92ED3">
        <w:t xml:space="preserve"> </w:t>
      </w:r>
      <w:proofErr w:type="gramStart"/>
      <w:r>
        <w:rPr>
          <w:rFonts w:eastAsia="PMingLiU" w:hint="eastAsia"/>
          <w:lang w:eastAsia="zh-TW"/>
        </w:rPr>
        <w:t>In</w:t>
      </w:r>
      <w:r>
        <w:rPr>
          <w:rFonts w:eastAsia="PMingLiU"/>
          <w:lang w:eastAsia="zh-TW"/>
        </w:rPr>
        <w:t xml:space="preserve"> </w:t>
      </w:r>
      <w:r w:rsidRPr="00C92ED3">
        <w:rPr>
          <w:i/>
          <w:iCs/>
        </w:rPr>
        <w:t>Frontiers in Econometrics</w:t>
      </w:r>
      <w:r>
        <w:rPr>
          <w:rFonts w:eastAsia="PMingLiU"/>
          <w:lang w:eastAsia="zh-TW"/>
        </w:rPr>
        <w:t xml:space="preserve">, edited by </w:t>
      </w:r>
      <w:r w:rsidRPr="00C92ED3">
        <w:t xml:space="preserve">P. </w:t>
      </w:r>
      <w:proofErr w:type="spellStart"/>
      <w:r w:rsidRPr="00C92ED3">
        <w:t>Zarembka</w:t>
      </w:r>
      <w:proofErr w:type="spellEnd"/>
      <w:r w:rsidRPr="00C92ED3">
        <w:t>.</w:t>
      </w:r>
      <w:proofErr w:type="gramEnd"/>
      <w:r w:rsidRPr="00C92ED3">
        <w:t xml:space="preserve"> New York</w:t>
      </w:r>
      <w:r>
        <w:rPr>
          <w:rFonts w:eastAsia="PMingLiU" w:hint="eastAsia"/>
          <w:lang w:eastAsia="zh-TW"/>
        </w:rPr>
        <w:t>:</w:t>
      </w:r>
      <w:r w:rsidRPr="00C92ED3">
        <w:t xml:space="preserve"> Academic Press</w:t>
      </w:r>
      <w:r w:rsidRPr="00C92ED3">
        <w:rPr>
          <w:rFonts w:eastAsia="PMingLiU" w:hint="eastAsia"/>
          <w:lang w:eastAsia="zh-TW"/>
        </w:rPr>
        <w:t xml:space="preserve">, </w:t>
      </w:r>
      <w:r>
        <w:t>105-</w:t>
      </w:r>
      <w:r w:rsidRPr="00C92ED3">
        <w:t>42.</w:t>
      </w:r>
    </w:p>
    <w:p w14:paraId="428760A3" w14:textId="5B0D0A50" w:rsidR="00035EBF" w:rsidRPr="00035EBF" w:rsidRDefault="00035EBF" w:rsidP="00962EB5">
      <w:pPr>
        <w:spacing w:line="480" w:lineRule="auto"/>
        <w:ind w:left="567" w:hanging="567"/>
        <w:rPr>
          <w:lang w:val="en-GB"/>
        </w:rPr>
      </w:pPr>
      <w:proofErr w:type="gramStart"/>
      <w:r w:rsidRPr="00035EBF">
        <w:t>Peirson, J., and Smith, M. A. (2010).</w:t>
      </w:r>
      <w:proofErr w:type="gramEnd"/>
      <w:r w:rsidRPr="00035EBF">
        <w:t xml:space="preserve"> Expert analysis and insider information in horse race betting: regulating informed market behavior. </w:t>
      </w:r>
      <w:r w:rsidRPr="00035EBF">
        <w:rPr>
          <w:i/>
          <w:iCs/>
        </w:rPr>
        <w:t>Southern Economic Journal</w:t>
      </w:r>
      <w:r w:rsidRPr="00035EBF">
        <w:t>, 76(4), 976-992.</w:t>
      </w:r>
    </w:p>
    <w:p w14:paraId="6B2ECB4A" w14:textId="77777777" w:rsidR="00962EB5" w:rsidRPr="00C92ED3" w:rsidRDefault="00962EB5" w:rsidP="00962EB5">
      <w:pPr>
        <w:spacing w:line="480" w:lineRule="auto"/>
        <w:ind w:left="567" w:hanging="567"/>
      </w:pPr>
      <w:r w:rsidRPr="00C92ED3">
        <w:t>S</w:t>
      </w:r>
      <w:r>
        <w:rPr>
          <w:rFonts w:eastAsia="PMingLiU"/>
          <w:lang w:eastAsia="zh-TW"/>
        </w:rPr>
        <w:t>auer,</w:t>
      </w:r>
      <w:r>
        <w:t xml:space="preserve"> R. </w:t>
      </w:r>
      <w:r w:rsidRPr="00C92ED3">
        <w:t xml:space="preserve">D. 1998. </w:t>
      </w:r>
      <w:proofErr w:type="gramStart"/>
      <w:r w:rsidRPr="00C92ED3">
        <w:t>The economics of wagering markets.</w:t>
      </w:r>
      <w:proofErr w:type="gramEnd"/>
      <w:r w:rsidRPr="00C92ED3">
        <w:t xml:space="preserve"> </w:t>
      </w:r>
      <w:r w:rsidRPr="00C92ED3">
        <w:rPr>
          <w:i/>
          <w:iCs/>
        </w:rPr>
        <w:t>Journal of Economic Literature</w:t>
      </w:r>
      <w:r>
        <w:rPr>
          <w:rFonts w:eastAsia="PMingLiU" w:hint="eastAsia"/>
          <w:lang w:eastAsia="zh-TW"/>
        </w:rPr>
        <w:t xml:space="preserve"> </w:t>
      </w:r>
      <w:r w:rsidRPr="00E30191">
        <w:t>36</w:t>
      </w:r>
      <w:r>
        <w:t>:2021-64</w:t>
      </w:r>
      <w:r w:rsidRPr="00C92ED3">
        <w:t>.</w:t>
      </w:r>
    </w:p>
    <w:p w14:paraId="2A05B34C" w14:textId="77777777" w:rsidR="00962EB5" w:rsidRPr="00C92ED3" w:rsidRDefault="00962EB5" w:rsidP="00962EB5">
      <w:pPr>
        <w:spacing w:line="480" w:lineRule="auto"/>
        <w:ind w:left="567" w:hanging="567"/>
      </w:pPr>
      <w:proofErr w:type="gramStart"/>
      <w:r>
        <w:t>Shiller, R. J.</w:t>
      </w:r>
      <w:r w:rsidRPr="00C92ED3">
        <w:t xml:space="preserve"> 1990.</w:t>
      </w:r>
      <w:proofErr w:type="gramEnd"/>
      <w:r w:rsidRPr="00C92ED3">
        <w:t xml:space="preserve"> </w:t>
      </w:r>
      <w:proofErr w:type="gramStart"/>
      <w:r w:rsidRPr="00C92ED3">
        <w:t>Market volatility and investor behavior.</w:t>
      </w:r>
      <w:proofErr w:type="gramEnd"/>
      <w:r w:rsidRPr="00C92ED3">
        <w:t xml:space="preserve"> </w:t>
      </w:r>
      <w:r w:rsidRPr="00C92ED3">
        <w:rPr>
          <w:i/>
          <w:iCs/>
        </w:rPr>
        <w:t>The American Economic Review</w:t>
      </w:r>
      <w:r>
        <w:rPr>
          <w:rFonts w:eastAsia="PMingLiU" w:hint="eastAsia"/>
          <w:lang w:eastAsia="zh-TW"/>
        </w:rPr>
        <w:t xml:space="preserve"> </w:t>
      </w:r>
      <w:r w:rsidRPr="00E30191">
        <w:t>80</w:t>
      </w:r>
      <w:r>
        <w:rPr>
          <w:rFonts w:eastAsia="PMingLiU"/>
          <w:lang w:eastAsia="zh-TW"/>
        </w:rPr>
        <w:t>:</w:t>
      </w:r>
      <w:r w:rsidRPr="00C92ED3">
        <w:t>58-62.</w:t>
      </w:r>
    </w:p>
    <w:p w14:paraId="58C511A8" w14:textId="77777777" w:rsidR="00962EB5" w:rsidRPr="00C92ED3" w:rsidRDefault="00962EB5" w:rsidP="00962EB5">
      <w:pPr>
        <w:spacing w:line="480" w:lineRule="auto"/>
        <w:ind w:left="567" w:hanging="567"/>
      </w:pPr>
      <w:proofErr w:type="gramStart"/>
      <w:r>
        <w:rPr>
          <w:rFonts w:eastAsia="PMingLiU"/>
          <w:lang w:eastAsia="zh-TW"/>
        </w:rPr>
        <w:t>Shin, H. S.</w:t>
      </w:r>
      <w:r w:rsidRPr="00C92ED3">
        <w:t xml:space="preserve"> 1993.</w:t>
      </w:r>
      <w:proofErr w:type="gramEnd"/>
      <w:r w:rsidRPr="00C92ED3">
        <w:t xml:space="preserve"> </w:t>
      </w:r>
      <w:proofErr w:type="gramStart"/>
      <w:r w:rsidRPr="00C92ED3">
        <w:t>Measuring the incidence of insider trading in a market for state-contingent claims.</w:t>
      </w:r>
      <w:proofErr w:type="gramEnd"/>
      <w:r w:rsidRPr="00C92ED3">
        <w:t xml:space="preserve"> </w:t>
      </w:r>
      <w:r w:rsidRPr="00C92ED3">
        <w:rPr>
          <w:i/>
          <w:iCs/>
        </w:rPr>
        <w:t>The Economic Journal</w:t>
      </w:r>
      <w:r>
        <w:rPr>
          <w:rFonts w:eastAsia="PMingLiU" w:hint="eastAsia"/>
          <w:lang w:eastAsia="zh-TW"/>
        </w:rPr>
        <w:t xml:space="preserve"> </w:t>
      </w:r>
      <w:r w:rsidRPr="00E30191">
        <w:t>103</w:t>
      </w:r>
      <w:r>
        <w:rPr>
          <w:rFonts w:eastAsia="PMingLiU"/>
          <w:lang w:eastAsia="zh-TW"/>
        </w:rPr>
        <w:t>:</w:t>
      </w:r>
      <w:r>
        <w:t>1141-</w:t>
      </w:r>
      <w:r w:rsidRPr="00C92ED3">
        <w:t>53.</w:t>
      </w:r>
    </w:p>
    <w:p w14:paraId="7F0A8269" w14:textId="77777777" w:rsidR="00962EB5" w:rsidRDefault="00962EB5" w:rsidP="00962EB5">
      <w:pPr>
        <w:spacing w:line="480" w:lineRule="auto"/>
        <w:ind w:left="567" w:hanging="567"/>
      </w:pPr>
      <w:proofErr w:type="gramStart"/>
      <w:r w:rsidRPr="00C92ED3">
        <w:t>S</w:t>
      </w:r>
      <w:r>
        <w:rPr>
          <w:rFonts w:eastAsia="PMingLiU"/>
          <w:lang w:eastAsia="zh-TW"/>
        </w:rPr>
        <w:t>mith</w:t>
      </w:r>
      <w:r>
        <w:t xml:space="preserve">, M. </w:t>
      </w:r>
      <w:r w:rsidRPr="00C92ED3">
        <w:t xml:space="preserve">A., </w:t>
      </w:r>
      <w:r>
        <w:t xml:space="preserve">D. </w:t>
      </w:r>
      <w:r>
        <w:rPr>
          <w:rFonts w:eastAsia="PMingLiU" w:hint="eastAsia"/>
          <w:lang w:eastAsia="zh-TW"/>
        </w:rPr>
        <w:t>P</w:t>
      </w:r>
      <w:r>
        <w:rPr>
          <w:rFonts w:eastAsia="PMingLiU"/>
          <w:lang w:eastAsia="zh-TW"/>
        </w:rPr>
        <w:t>aton, and</w:t>
      </w:r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 xml:space="preserve">L. </w:t>
      </w:r>
      <w:r>
        <w:rPr>
          <w:rFonts w:eastAsia="PMingLiU" w:hint="eastAsia"/>
          <w:lang w:eastAsia="zh-TW"/>
        </w:rPr>
        <w:t>V</w:t>
      </w:r>
      <w:r>
        <w:rPr>
          <w:rFonts w:eastAsia="PMingLiU"/>
          <w:lang w:eastAsia="zh-TW"/>
        </w:rPr>
        <w:t>aughan</w:t>
      </w:r>
      <w:r>
        <w:rPr>
          <w:rFonts w:eastAsia="PMingLiU" w:hint="eastAsia"/>
          <w:lang w:eastAsia="zh-TW"/>
        </w:rPr>
        <w:t xml:space="preserve"> W</w:t>
      </w:r>
      <w:r>
        <w:rPr>
          <w:rFonts w:eastAsia="PMingLiU"/>
          <w:lang w:eastAsia="zh-TW"/>
        </w:rPr>
        <w:t>illiams</w:t>
      </w:r>
      <w:r>
        <w:rPr>
          <w:rFonts w:eastAsia="PMingLiU" w:hint="eastAsia"/>
          <w:lang w:eastAsia="zh-TW"/>
        </w:rPr>
        <w:t>.</w:t>
      </w:r>
      <w:proofErr w:type="gramEnd"/>
      <w:r>
        <w:rPr>
          <w:rFonts w:eastAsia="PMingLiU" w:hint="eastAsia"/>
          <w:lang w:eastAsia="zh-TW"/>
        </w:rPr>
        <w:t xml:space="preserve"> </w:t>
      </w:r>
      <w:r w:rsidRPr="00C92ED3">
        <w:rPr>
          <w:rFonts w:eastAsia="PMingLiU" w:hint="eastAsia"/>
          <w:lang w:eastAsia="zh-TW"/>
        </w:rPr>
        <w:t>2</w:t>
      </w:r>
      <w:r w:rsidRPr="00C92ED3">
        <w:t xml:space="preserve">006. Market efficiency in person-to-person betting. </w:t>
      </w:r>
      <w:proofErr w:type="spellStart"/>
      <w:r w:rsidRPr="00C92ED3">
        <w:rPr>
          <w:i/>
          <w:iCs/>
        </w:rPr>
        <w:t>Economica</w:t>
      </w:r>
      <w:proofErr w:type="spellEnd"/>
      <w:r>
        <w:rPr>
          <w:rFonts w:eastAsia="PMingLiU" w:hint="eastAsia"/>
          <w:lang w:eastAsia="zh-TW"/>
        </w:rPr>
        <w:t xml:space="preserve"> </w:t>
      </w:r>
      <w:r w:rsidRPr="00E30191">
        <w:t>73</w:t>
      </w:r>
      <w:r>
        <w:rPr>
          <w:rFonts w:eastAsia="PMingLiU"/>
          <w:lang w:eastAsia="zh-TW"/>
        </w:rPr>
        <w:t>:</w:t>
      </w:r>
      <w:r>
        <w:t>673-</w:t>
      </w:r>
      <w:r w:rsidRPr="00C92ED3">
        <w:t>89.</w:t>
      </w:r>
    </w:p>
    <w:p w14:paraId="5AA3FE3A" w14:textId="7C5EF38C" w:rsidR="00334B41" w:rsidRPr="00701D5C" w:rsidRDefault="00334B41" w:rsidP="00962EB5">
      <w:pPr>
        <w:spacing w:line="480" w:lineRule="auto"/>
        <w:ind w:left="567" w:hanging="567"/>
        <w:rPr>
          <w:lang w:val="en-GB"/>
        </w:rPr>
      </w:pPr>
      <w:proofErr w:type="spellStart"/>
      <w:proofErr w:type="gramStart"/>
      <w:r w:rsidRPr="00334B41">
        <w:t>Tavakoli</w:t>
      </w:r>
      <w:proofErr w:type="spellEnd"/>
      <w:r w:rsidRPr="00334B41">
        <w:t>, M., McM</w:t>
      </w:r>
      <w:r>
        <w:t>illan, D., and McKnight, P. J. 2012</w:t>
      </w:r>
      <w:r w:rsidRPr="00334B41">
        <w:t>.</w:t>
      </w:r>
      <w:proofErr w:type="gramEnd"/>
      <w:r w:rsidRPr="00334B41">
        <w:t xml:space="preserve"> </w:t>
      </w:r>
      <w:proofErr w:type="gramStart"/>
      <w:r w:rsidRPr="00334B41">
        <w:t>Insider trading and stock prices.</w:t>
      </w:r>
      <w:proofErr w:type="gramEnd"/>
      <w:r w:rsidRPr="00334B41">
        <w:t xml:space="preserve"> </w:t>
      </w:r>
      <w:r w:rsidRPr="00334B41">
        <w:rPr>
          <w:i/>
          <w:iCs/>
        </w:rPr>
        <w:t>International Review of Economics and Finance</w:t>
      </w:r>
      <w:r w:rsidRPr="00334B41">
        <w:t xml:space="preserve"> 22</w:t>
      </w:r>
      <w:r>
        <w:t>:254-</w:t>
      </w:r>
      <w:r w:rsidRPr="00334B41">
        <w:t>66.</w:t>
      </w:r>
    </w:p>
    <w:p w14:paraId="067A0768" w14:textId="155144D3" w:rsidR="00005D98" w:rsidRPr="00512C3F" w:rsidRDefault="00962EB5" w:rsidP="00D7450C">
      <w:pPr>
        <w:spacing w:line="480" w:lineRule="auto"/>
        <w:ind w:left="567" w:hanging="567"/>
      </w:pPr>
      <w:proofErr w:type="gramStart"/>
      <w:r>
        <w:rPr>
          <w:rFonts w:eastAsia="PMingLiU"/>
          <w:lang w:eastAsia="zh-TW"/>
        </w:rPr>
        <w:t>Vaughan Williams, L., and D. Paton.</w:t>
      </w:r>
      <w:proofErr w:type="gramEnd"/>
      <w:r>
        <w:rPr>
          <w:rFonts w:eastAsia="PMingLiU"/>
          <w:lang w:eastAsia="zh-TW"/>
        </w:rPr>
        <w:t xml:space="preserve"> </w:t>
      </w:r>
      <w:r w:rsidRPr="00C92ED3">
        <w:t xml:space="preserve">1997. Why is there a favorite-longshot bias in British racetrack betting markets? </w:t>
      </w:r>
      <w:r w:rsidRPr="00C92ED3">
        <w:rPr>
          <w:i/>
          <w:iCs/>
        </w:rPr>
        <w:t>The Economic Journal</w:t>
      </w:r>
      <w:r>
        <w:rPr>
          <w:rFonts w:eastAsia="PMingLiU" w:hint="eastAsia"/>
          <w:lang w:eastAsia="zh-TW"/>
        </w:rPr>
        <w:t xml:space="preserve">, </w:t>
      </w:r>
      <w:r w:rsidRPr="00E30191">
        <w:t>107</w:t>
      </w:r>
      <w:r>
        <w:rPr>
          <w:rFonts w:eastAsia="PMingLiU"/>
          <w:lang w:eastAsia="zh-TW"/>
        </w:rPr>
        <w:t>:</w:t>
      </w:r>
      <w:r>
        <w:t>150-</w:t>
      </w:r>
      <w:r w:rsidRPr="00C92ED3">
        <w:t>8.</w:t>
      </w:r>
    </w:p>
    <w:sectPr w:rsidR="00005D98" w:rsidRPr="00512C3F" w:rsidSect="00782653">
      <w:footerReference w:type="even" r:id="rId17"/>
      <w:footerReference w:type="default" r:id="rId18"/>
      <w:endnotePr>
        <w:numFmt w:val="decimal"/>
      </w:endnotePr>
      <w:type w:val="continuous"/>
      <w:pgSz w:w="11906" w:h="16838"/>
      <w:pgMar w:top="2160" w:right="1440" w:bottom="21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9E557" w14:textId="77777777" w:rsidR="00EE09ED" w:rsidRDefault="00EE09ED">
      <w:r>
        <w:separator/>
      </w:r>
    </w:p>
  </w:endnote>
  <w:endnote w:type="continuationSeparator" w:id="0">
    <w:p w14:paraId="1B0E23D9" w14:textId="77777777" w:rsidR="00EE09ED" w:rsidRDefault="00EE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ONIB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24312" w14:textId="77777777" w:rsidR="00EE09ED" w:rsidRDefault="00EE09ED" w:rsidP="007826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63BDEB" w14:textId="77777777" w:rsidR="00EE09ED" w:rsidRDefault="00EE09ED" w:rsidP="007826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8EB34" w14:textId="77777777" w:rsidR="00EE09ED" w:rsidRDefault="00EE09E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6A85">
      <w:rPr>
        <w:noProof/>
      </w:rPr>
      <w:t>1</w:t>
    </w:r>
    <w:r>
      <w:rPr>
        <w:noProof/>
      </w:rPr>
      <w:fldChar w:fldCharType="end"/>
    </w:r>
  </w:p>
  <w:p w14:paraId="78640B42" w14:textId="77777777" w:rsidR="00EE09ED" w:rsidRDefault="00EE09ED" w:rsidP="0078265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0059C" w14:textId="77777777" w:rsidR="00EE09ED" w:rsidRDefault="00EE09ED" w:rsidP="007826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03DF9B" w14:textId="77777777" w:rsidR="00EE09ED" w:rsidRDefault="00EE09ED" w:rsidP="00782653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FE9CC" w14:textId="77777777" w:rsidR="00EE09ED" w:rsidRDefault="00EE09E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6A85">
      <w:rPr>
        <w:noProof/>
      </w:rPr>
      <w:t>4</w:t>
    </w:r>
    <w:r>
      <w:rPr>
        <w:noProof/>
      </w:rPr>
      <w:fldChar w:fldCharType="end"/>
    </w:r>
  </w:p>
  <w:p w14:paraId="45893656" w14:textId="77777777" w:rsidR="00EE09ED" w:rsidRDefault="00EE09ED" w:rsidP="007826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9AADE" w14:textId="77777777" w:rsidR="00EE09ED" w:rsidRDefault="00EE09ED">
      <w:r>
        <w:separator/>
      </w:r>
    </w:p>
  </w:footnote>
  <w:footnote w:type="continuationSeparator" w:id="0">
    <w:p w14:paraId="378101C6" w14:textId="77777777" w:rsidR="00EE09ED" w:rsidRDefault="00EE0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4F4"/>
    <w:multiLevelType w:val="hybridMultilevel"/>
    <w:tmpl w:val="171A834A"/>
    <w:lvl w:ilvl="0" w:tplc="8D206E9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SimSu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82310"/>
    <w:multiLevelType w:val="hybridMultilevel"/>
    <w:tmpl w:val="AAC0FF6C"/>
    <w:lvl w:ilvl="0" w:tplc="3B66368A">
      <w:start w:val="1"/>
      <w:numFmt w:val="upperRoman"/>
      <w:lvlText w:val="%1."/>
      <w:lvlJc w:val="left"/>
      <w:pPr>
        <w:tabs>
          <w:tab w:val="num" w:pos="1174"/>
        </w:tabs>
        <w:ind w:left="1174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2">
    <w:nsid w:val="0A1456BC"/>
    <w:multiLevelType w:val="hybridMultilevel"/>
    <w:tmpl w:val="CD666358"/>
    <w:lvl w:ilvl="0" w:tplc="BE08A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54E8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4E48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4F67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0466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522D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FBEC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E5CA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9C2B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0CDC018A"/>
    <w:multiLevelType w:val="hybridMultilevel"/>
    <w:tmpl w:val="B80ADA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4C3A0D"/>
    <w:multiLevelType w:val="hybridMultilevel"/>
    <w:tmpl w:val="B43871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B5F4C"/>
    <w:multiLevelType w:val="hybridMultilevel"/>
    <w:tmpl w:val="7E88BB56"/>
    <w:lvl w:ilvl="0" w:tplc="6E5EA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FBC0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8826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2E25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D24B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888A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11CF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746E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D921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11C9070C"/>
    <w:multiLevelType w:val="hybridMultilevel"/>
    <w:tmpl w:val="0A363174"/>
    <w:lvl w:ilvl="0" w:tplc="D8C6E4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EE1A95"/>
    <w:multiLevelType w:val="hybridMultilevel"/>
    <w:tmpl w:val="11DC8654"/>
    <w:lvl w:ilvl="0" w:tplc="A3AED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CF86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47A7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5B02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B7C0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BCE8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7D8F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A98D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3E00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140657EC"/>
    <w:multiLevelType w:val="hybridMultilevel"/>
    <w:tmpl w:val="C35079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E07F65"/>
    <w:multiLevelType w:val="hybridMultilevel"/>
    <w:tmpl w:val="2F448C22"/>
    <w:lvl w:ilvl="0" w:tplc="8B76D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E98A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856E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B189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C68D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C468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460F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6A05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132C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1EC40F50"/>
    <w:multiLevelType w:val="hybridMultilevel"/>
    <w:tmpl w:val="1278C8B6"/>
    <w:lvl w:ilvl="0" w:tplc="31AE66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9A5FA4"/>
    <w:multiLevelType w:val="hybridMultilevel"/>
    <w:tmpl w:val="3EE2B1F0"/>
    <w:lvl w:ilvl="0" w:tplc="FA0432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SimSu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ED20F0"/>
    <w:multiLevelType w:val="hybridMultilevel"/>
    <w:tmpl w:val="ADCCF2AE"/>
    <w:lvl w:ilvl="0" w:tplc="C8667826">
      <w:start w:val="1"/>
      <w:numFmt w:val="lowerLetter"/>
      <w:lvlText w:val="(%1)"/>
      <w:lvlJc w:val="left"/>
      <w:pPr>
        <w:tabs>
          <w:tab w:val="num" w:pos="814"/>
        </w:tabs>
        <w:ind w:left="814" w:hanging="36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13">
    <w:nsid w:val="27907412"/>
    <w:multiLevelType w:val="multilevel"/>
    <w:tmpl w:val="F2A442F0"/>
    <w:lvl w:ilvl="0">
      <w:start w:val="1"/>
      <w:numFmt w:val="decimal"/>
      <w:lvlText w:val="%1."/>
      <w:lvlJc w:val="left"/>
      <w:pPr>
        <w:tabs>
          <w:tab w:val="num" w:pos="646"/>
        </w:tabs>
        <w:ind w:left="646" w:hanging="30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B0585C"/>
    <w:multiLevelType w:val="hybridMultilevel"/>
    <w:tmpl w:val="F300FD02"/>
    <w:lvl w:ilvl="0" w:tplc="4176D0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SimSu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396B39"/>
    <w:multiLevelType w:val="hybridMultilevel"/>
    <w:tmpl w:val="E346A4BA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051592D"/>
    <w:multiLevelType w:val="hybridMultilevel"/>
    <w:tmpl w:val="6BA4FE8A"/>
    <w:lvl w:ilvl="0" w:tplc="F8068D2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mbria" w:eastAsia="SimSu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343A5101"/>
    <w:multiLevelType w:val="hybridMultilevel"/>
    <w:tmpl w:val="C8805A3E"/>
    <w:lvl w:ilvl="0" w:tplc="8500C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FE6D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DE6B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B2A0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5544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822E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6125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BC6A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58A9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>
    <w:nsid w:val="34880790"/>
    <w:multiLevelType w:val="hybridMultilevel"/>
    <w:tmpl w:val="FFE6D4E0"/>
    <w:lvl w:ilvl="0" w:tplc="20E2E2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C86661"/>
    <w:multiLevelType w:val="hybridMultilevel"/>
    <w:tmpl w:val="710A16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75C70AE"/>
    <w:multiLevelType w:val="hybridMultilevel"/>
    <w:tmpl w:val="1972AE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A20B64"/>
    <w:multiLevelType w:val="hybridMultilevel"/>
    <w:tmpl w:val="609A76DC"/>
    <w:lvl w:ilvl="0" w:tplc="535E9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D7A6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874A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586D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6A0F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228D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7E01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8C8B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BC44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2">
    <w:nsid w:val="394433C0"/>
    <w:multiLevelType w:val="hybridMultilevel"/>
    <w:tmpl w:val="01D0F762"/>
    <w:lvl w:ilvl="0" w:tplc="1A022772">
      <w:start w:val="1"/>
      <w:numFmt w:val="decimal"/>
      <w:lvlText w:val="%1."/>
      <w:lvlJc w:val="left"/>
      <w:pPr>
        <w:tabs>
          <w:tab w:val="num" w:pos="646"/>
        </w:tabs>
        <w:ind w:left="646" w:hanging="30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725413"/>
    <w:multiLevelType w:val="hybridMultilevel"/>
    <w:tmpl w:val="ED92A4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5C5E4B"/>
    <w:multiLevelType w:val="hybridMultilevel"/>
    <w:tmpl w:val="74904D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EC3565"/>
    <w:multiLevelType w:val="hybridMultilevel"/>
    <w:tmpl w:val="472CEBA2"/>
    <w:lvl w:ilvl="0" w:tplc="35902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0C8EAAA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4742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AE2D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21AC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E184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1CE9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B18C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32A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>
    <w:nsid w:val="441C39FE"/>
    <w:multiLevelType w:val="hybridMultilevel"/>
    <w:tmpl w:val="0A968CD0"/>
    <w:lvl w:ilvl="0" w:tplc="90C2F0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43444AD"/>
    <w:multiLevelType w:val="hybridMultilevel"/>
    <w:tmpl w:val="12D83BD8"/>
    <w:lvl w:ilvl="0" w:tplc="DA28AA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B466B5"/>
    <w:multiLevelType w:val="hybridMultilevel"/>
    <w:tmpl w:val="949248B2"/>
    <w:lvl w:ilvl="0" w:tplc="0EEE2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C845BC"/>
    <w:multiLevelType w:val="hybridMultilevel"/>
    <w:tmpl w:val="F80EED2E"/>
    <w:lvl w:ilvl="0" w:tplc="9BF0E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2364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2B84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2BEB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0AA4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2C48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328C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9DE2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ED00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0">
    <w:nsid w:val="4E8A5C6D"/>
    <w:multiLevelType w:val="hybridMultilevel"/>
    <w:tmpl w:val="464418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676623"/>
    <w:multiLevelType w:val="hybridMultilevel"/>
    <w:tmpl w:val="493C0A10"/>
    <w:lvl w:ilvl="0" w:tplc="7610C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0261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BAC1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C923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636E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3F49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CA65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ED2C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0584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2">
    <w:nsid w:val="5B7C7E8B"/>
    <w:multiLevelType w:val="hybridMultilevel"/>
    <w:tmpl w:val="B9C0724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C834BD1"/>
    <w:multiLevelType w:val="hybridMultilevel"/>
    <w:tmpl w:val="5FCA2D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741D9D"/>
    <w:multiLevelType w:val="hybridMultilevel"/>
    <w:tmpl w:val="8D1255E4"/>
    <w:lvl w:ilvl="0" w:tplc="1A022772">
      <w:start w:val="1"/>
      <w:numFmt w:val="decimal"/>
      <w:lvlText w:val="%1."/>
      <w:lvlJc w:val="left"/>
      <w:pPr>
        <w:tabs>
          <w:tab w:val="num" w:pos="646"/>
        </w:tabs>
        <w:ind w:left="646" w:hanging="30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F61BD6"/>
    <w:multiLevelType w:val="multilevel"/>
    <w:tmpl w:val="259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BB1882"/>
    <w:multiLevelType w:val="hybridMultilevel"/>
    <w:tmpl w:val="E7F0A4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BF29EF"/>
    <w:multiLevelType w:val="multilevel"/>
    <w:tmpl w:val="69BCEC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DC1658E"/>
    <w:multiLevelType w:val="hybridMultilevel"/>
    <w:tmpl w:val="936C1CA0"/>
    <w:lvl w:ilvl="0" w:tplc="94A4F3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SimSu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4D0EBC"/>
    <w:multiLevelType w:val="hybridMultilevel"/>
    <w:tmpl w:val="F2A442F0"/>
    <w:lvl w:ilvl="0" w:tplc="1A022772">
      <w:start w:val="1"/>
      <w:numFmt w:val="decimal"/>
      <w:lvlText w:val="%1."/>
      <w:lvlJc w:val="left"/>
      <w:pPr>
        <w:tabs>
          <w:tab w:val="num" w:pos="646"/>
        </w:tabs>
        <w:ind w:left="646" w:hanging="30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90793C"/>
    <w:multiLevelType w:val="multilevel"/>
    <w:tmpl w:val="4644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C54A3A"/>
    <w:multiLevelType w:val="hybridMultilevel"/>
    <w:tmpl w:val="7BFC11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06435D"/>
    <w:multiLevelType w:val="hybridMultilevel"/>
    <w:tmpl w:val="34621946"/>
    <w:lvl w:ilvl="0" w:tplc="F9805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404C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9FC1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A9EF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4E26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9580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C347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B14F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1CE0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3">
    <w:nsid w:val="7B1E1189"/>
    <w:multiLevelType w:val="hybridMultilevel"/>
    <w:tmpl w:val="EBA83D86"/>
    <w:lvl w:ilvl="0" w:tplc="60F02C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SimSu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B342A4"/>
    <w:multiLevelType w:val="multilevel"/>
    <w:tmpl w:val="E346A4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D2C595F"/>
    <w:multiLevelType w:val="hybridMultilevel"/>
    <w:tmpl w:val="90C4348C"/>
    <w:lvl w:ilvl="0" w:tplc="64DEE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26CC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06C4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3A6C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646C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C7AB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7081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D38A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696C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6">
    <w:nsid w:val="7FA64E4C"/>
    <w:multiLevelType w:val="hybridMultilevel"/>
    <w:tmpl w:val="FA7CF51E"/>
    <w:lvl w:ilvl="0" w:tplc="1752F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3546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C4ED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AD41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AFA2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226B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E147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0804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BFE2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6"/>
  </w:num>
  <w:num w:numId="2">
    <w:abstractNumId w:val="28"/>
  </w:num>
  <w:num w:numId="3">
    <w:abstractNumId w:val="21"/>
  </w:num>
  <w:num w:numId="4">
    <w:abstractNumId w:val="5"/>
  </w:num>
  <w:num w:numId="5">
    <w:abstractNumId w:val="31"/>
  </w:num>
  <w:num w:numId="6">
    <w:abstractNumId w:val="45"/>
  </w:num>
  <w:num w:numId="7">
    <w:abstractNumId w:val="17"/>
  </w:num>
  <w:num w:numId="8">
    <w:abstractNumId w:val="9"/>
  </w:num>
  <w:num w:numId="9">
    <w:abstractNumId w:val="29"/>
  </w:num>
  <w:num w:numId="10">
    <w:abstractNumId w:val="42"/>
  </w:num>
  <w:num w:numId="11">
    <w:abstractNumId w:val="7"/>
  </w:num>
  <w:num w:numId="12">
    <w:abstractNumId w:val="27"/>
  </w:num>
  <w:num w:numId="13">
    <w:abstractNumId w:val="2"/>
  </w:num>
  <w:num w:numId="14">
    <w:abstractNumId w:val="46"/>
  </w:num>
  <w:num w:numId="15">
    <w:abstractNumId w:val="15"/>
  </w:num>
  <w:num w:numId="16">
    <w:abstractNumId w:val="37"/>
  </w:num>
  <w:num w:numId="17">
    <w:abstractNumId w:val="44"/>
  </w:num>
  <w:num w:numId="18">
    <w:abstractNumId w:val="32"/>
  </w:num>
  <w:num w:numId="19">
    <w:abstractNumId w:val="36"/>
  </w:num>
  <w:num w:numId="20">
    <w:abstractNumId w:val="33"/>
  </w:num>
  <w:num w:numId="21">
    <w:abstractNumId w:val="41"/>
  </w:num>
  <w:num w:numId="22">
    <w:abstractNumId w:val="30"/>
  </w:num>
  <w:num w:numId="23">
    <w:abstractNumId w:val="39"/>
  </w:num>
  <w:num w:numId="24">
    <w:abstractNumId w:val="23"/>
  </w:num>
  <w:num w:numId="25">
    <w:abstractNumId w:val="40"/>
  </w:num>
  <w:num w:numId="26">
    <w:abstractNumId w:val="13"/>
  </w:num>
  <w:num w:numId="27">
    <w:abstractNumId w:val="20"/>
  </w:num>
  <w:num w:numId="28">
    <w:abstractNumId w:val="16"/>
  </w:num>
  <w:num w:numId="29">
    <w:abstractNumId w:val="0"/>
  </w:num>
  <w:num w:numId="30">
    <w:abstractNumId w:val="14"/>
  </w:num>
  <w:num w:numId="31">
    <w:abstractNumId w:val="11"/>
  </w:num>
  <w:num w:numId="32">
    <w:abstractNumId w:val="43"/>
  </w:num>
  <w:num w:numId="33">
    <w:abstractNumId w:val="38"/>
  </w:num>
  <w:num w:numId="34">
    <w:abstractNumId w:val="22"/>
  </w:num>
  <w:num w:numId="35">
    <w:abstractNumId w:val="4"/>
  </w:num>
  <w:num w:numId="36">
    <w:abstractNumId w:val="34"/>
  </w:num>
  <w:num w:numId="37">
    <w:abstractNumId w:val="1"/>
  </w:num>
  <w:num w:numId="38">
    <w:abstractNumId w:val="3"/>
  </w:num>
  <w:num w:numId="39">
    <w:abstractNumId w:val="10"/>
  </w:num>
  <w:num w:numId="40">
    <w:abstractNumId w:val="26"/>
  </w:num>
  <w:num w:numId="41">
    <w:abstractNumId w:val="18"/>
  </w:num>
  <w:num w:numId="42">
    <w:abstractNumId w:val="12"/>
  </w:num>
  <w:num w:numId="43">
    <w:abstractNumId w:val="19"/>
  </w:num>
  <w:num w:numId="44">
    <w:abstractNumId w:val="35"/>
  </w:num>
  <w:num w:numId="45">
    <w:abstractNumId w:val="24"/>
  </w:num>
  <w:num w:numId="46">
    <w:abstractNumId w:val="8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FA"/>
    <w:rsid w:val="00005D98"/>
    <w:rsid w:val="00035EBF"/>
    <w:rsid w:val="00082762"/>
    <w:rsid w:val="00083682"/>
    <w:rsid w:val="000939DB"/>
    <w:rsid w:val="000A1833"/>
    <w:rsid w:val="000B5EC8"/>
    <w:rsid w:val="000C5D84"/>
    <w:rsid w:val="000E1EC7"/>
    <w:rsid w:val="000F1327"/>
    <w:rsid w:val="00110256"/>
    <w:rsid w:val="001121E3"/>
    <w:rsid w:val="00144D28"/>
    <w:rsid w:val="00147A53"/>
    <w:rsid w:val="001777F9"/>
    <w:rsid w:val="00184F2A"/>
    <w:rsid w:val="00187DEB"/>
    <w:rsid w:val="00190E0C"/>
    <w:rsid w:val="00197623"/>
    <w:rsid w:val="001A60F0"/>
    <w:rsid w:val="001C238A"/>
    <w:rsid w:val="001D2CF2"/>
    <w:rsid w:val="00216136"/>
    <w:rsid w:val="002163E7"/>
    <w:rsid w:val="00217D97"/>
    <w:rsid w:val="00223E40"/>
    <w:rsid w:val="00233ADB"/>
    <w:rsid w:val="002475F0"/>
    <w:rsid w:val="002D5966"/>
    <w:rsid w:val="002E1012"/>
    <w:rsid w:val="002F0AFE"/>
    <w:rsid w:val="003057D9"/>
    <w:rsid w:val="00307E51"/>
    <w:rsid w:val="0031222C"/>
    <w:rsid w:val="0032333D"/>
    <w:rsid w:val="0033421A"/>
    <w:rsid w:val="00334B41"/>
    <w:rsid w:val="003410AD"/>
    <w:rsid w:val="00342AD8"/>
    <w:rsid w:val="0034354B"/>
    <w:rsid w:val="00360CD7"/>
    <w:rsid w:val="00367AB2"/>
    <w:rsid w:val="003748C5"/>
    <w:rsid w:val="00377C9B"/>
    <w:rsid w:val="0038011C"/>
    <w:rsid w:val="00394170"/>
    <w:rsid w:val="003A06E4"/>
    <w:rsid w:val="003C2CB7"/>
    <w:rsid w:val="003C3B6C"/>
    <w:rsid w:val="003F513B"/>
    <w:rsid w:val="003F53DE"/>
    <w:rsid w:val="00460FC4"/>
    <w:rsid w:val="0047088D"/>
    <w:rsid w:val="00471B1B"/>
    <w:rsid w:val="00481B20"/>
    <w:rsid w:val="004A023B"/>
    <w:rsid w:val="004D4F9D"/>
    <w:rsid w:val="004E11D3"/>
    <w:rsid w:val="004E3060"/>
    <w:rsid w:val="0050739D"/>
    <w:rsid w:val="00512624"/>
    <w:rsid w:val="00512C3F"/>
    <w:rsid w:val="005B329A"/>
    <w:rsid w:val="005C63EA"/>
    <w:rsid w:val="005D0F58"/>
    <w:rsid w:val="005E03FF"/>
    <w:rsid w:val="005E39A4"/>
    <w:rsid w:val="005F55DF"/>
    <w:rsid w:val="00600FE1"/>
    <w:rsid w:val="0063457A"/>
    <w:rsid w:val="0065207D"/>
    <w:rsid w:val="0066181D"/>
    <w:rsid w:val="00664E3D"/>
    <w:rsid w:val="00673995"/>
    <w:rsid w:val="00681DF0"/>
    <w:rsid w:val="0068488E"/>
    <w:rsid w:val="00691D27"/>
    <w:rsid w:val="006A1DEF"/>
    <w:rsid w:val="006D4766"/>
    <w:rsid w:val="006D6202"/>
    <w:rsid w:val="006E13C4"/>
    <w:rsid w:val="006F6A85"/>
    <w:rsid w:val="00701D5C"/>
    <w:rsid w:val="007200C7"/>
    <w:rsid w:val="00723829"/>
    <w:rsid w:val="00736BC6"/>
    <w:rsid w:val="007405C4"/>
    <w:rsid w:val="007562C4"/>
    <w:rsid w:val="007742F4"/>
    <w:rsid w:val="00781727"/>
    <w:rsid w:val="00782653"/>
    <w:rsid w:val="007A1895"/>
    <w:rsid w:val="007A7592"/>
    <w:rsid w:val="007E531C"/>
    <w:rsid w:val="007F0BA8"/>
    <w:rsid w:val="008018C0"/>
    <w:rsid w:val="008026E0"/>
    <w:rsid w:val="00816218"/>
    <w:rsid w:val="00817512"/>
    <w:rsid w:val="008270DF"/>
    <w:rsid w:val="00837600"/>
    <w:rsid w:val="008600C6"/>
    <w:rsid w:val="0086476C"/>
    <w:rsid w:val="00870B42"/>
    <w:rsid w:val="008A1035"/>
    <w:rsid w:val="008C2DDC"/>
    <w:rsid w:val="009034DD"/>
    <w:rsid w:val="00921C30"/>
    <w:rsid w:val="0092483A"/>
    <w:rsid w:val="00932CFA"/>
    <w:rsid w:val="0093484F"/>
    <w:rsid w:val="00962EB5"/>
    <w:rsid w:val="00986771"/>
    <w:rsid w:val="009D49E1"/>
    <w:rsid w:val="00A04743"/>
    <w:rsid w:val="00A10DD5"/>
    <w:rsid w:val="00A1490E"/>
    <w:rsid w:val="00A22C5B"/>
    <w:rsid w:val="00A524EC"/>
    <w:rsid w:val="00A73FBB"/>
    <w:rsid w:val="00A76764"/>
    <w:rsid w:val="00A9281A"/>
    <w:rsid w:val="00A96E58"/>
    <w:rsid w:val="00AB46D8"/>
    <w:rsid w:val="00AC0683"/>
    <w:rsid w:val="00AD6CCB"/>
    <w:rsid w:val="00AF7F85"/>
    <w:rsid w:val="00B10C12"/>
    <w:rsid w:val="00B37E70"/>
    <w:rsid w:val="00B518C6"/>
    <w:rsid w:val="00B542DF"/>
    <w:rsid w:val="00B87AE0"/>
    <w:rsid w:val="00B9022C"/>
    <w:rsid w:val="00B953A4"/>
    <w:rsid w:val="00B957CC"/>
    <w:rsid w:val="00BB6A99"/>
    <w:rsid w:val="00BB7A93"/>
    <w:rsid w:val="00BC69D7"/>
    <w:rsid w:val="00BC6B30"/>
    <w:rsid w:val="00BF52A3"/>
    <w:rsid w:val="00C01E51"/>
    <w:rsid w:val="00C10940"/>
    <w:rsid w:val="00C13FEE"/>
    <w:rsid w:val="00C43879"/>
    <w:rsid w:val="00C66690"/>
    <w:rsid w:val="00C956CF"/>
    <w:rsid w:val="00CA2A9C"/>
    <w:rsid w:val="00CA450F"/>
    <w:rsid w:val="00CB6250"/>
    <w:rsid w:val="00CB6D03"/>
    <w:rsid w:val="00CD2734"/>
    <w:rsid w:val="00CE4763"/>
    <w:rsid w:val="00CF589A"/>
    <w:rsid w:val="00D000ED"/>
    <w:rsid w:val="00D0779C"/>
    <w:rsid w:val="00D229A3"/>
    <w:rsid w:val="00D2301D"/>
    <w:rsid w:val="00D50DFD"/>
    <w:rsid w:val="00D7450C"/>
    <w:rsid w:val="00DC5662"/>
    <w:rsid w:val="00DF6838"/>
    <w:rsid w:val="00DF6BB9"/>
    <w:rsid w:val="00E12DCF"/>
    <w:rsid w:val="00E152BA"/>
    <w:rsid w:val="00E26C76"/>
    <w:rsid w:val="00E404AF"/>
    <w:rsid w:val="00E755CB"/>
    <w:rsid w:val="00EC0EB8"/>
    <w:rsid w:val="00EC30A1"/>
    <w:rsid w:val="00ED0F47"/>
    <w:rsid w:val="00EE09ED"/>
    <w:rsid w:val="00EF3AFF"/>
    <w:rsid w:val="00F60044"/>
    <w:rsid w:val="00F86415"/>
    <w:rsid w:val="00FA0DD0"/>
    <w:rsid w:val="00FA4DA6"/>
    <w:rsid w:val="00FB5FD4"/>
    <w:rsid w:val="00FE0938"/>
    <w:rsid w:val="00FE4B48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ED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2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2EB5"/>
    <w:pPr>
      <w:autoSpaceDE w:val="0"/>
      <w:autoSpaceDN w:val="0"/>
      <w:adjustRightInd w:val="0"/>
      <w:spacing w:after="0" w:line="240" w:lineRule="auto"/>
    </w:pPr>
    <w:rPr>
      <w:rFonts w:ascii="HONIBB+TimesNewRoman" w:eastAsia="SimSun" w:hAnsi="HONIBB+TimesNewRoman" w:cs="HONIBB+TimesNewRoman"/>
      <w:color w:val="000000"/>
      <w:sz w:val="24"/>
      <w:szCs w:val="24"/>
      <w:lang w:eastAsia="zh-CN"/>
    </w:rPr>
  </w:style>
  <w:style w:type="table" w:styleId="TableGrid">
    <w:name w:val="Table Grid"/>
    <w:basedOn w:val="TableNormal"/>
    <w:rsid w:val="00962EB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62EB5"/>
    <w:rPr>
      <w:color w:val="0000FF"/>
      <w:u w:val="single"/>
    </w:rPr>
  </w:style>
  <w:style w:type="character" w:styleId="CommentReference">
    <w:name w:val="annotation reference"/>
    <w:semiHidden/>
    <w:rsid w:val="00962E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62E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2EB5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62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2EB5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962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62EB5"/>
    <w:rPr>
      <w:rFonts w:ascii="Tahoma" w:eastAsia="SimSun" w:hAnsi="Tahoma" w:cs="Tahoma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rsid w:val="00962EB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62EB5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962EB5"/>
  </w:style>
  <w:style w:type="paragraph" w:styleId="Footer">
    <w:name w:val="footer"/>
    <w:basedOn w:val="Normal"/>
    <w:link w:val="FooterChar"/>
    <w:uiPriority w:val="99"/>
    <w:rsid w:val="00962E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EB5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qFormat/>
    <w:rsid w:val="00962EB5"/>
    <w:rPr>
      <w:b/>
      <w:bCs/>
    </w:rPr>
  </w:style>
  <w:style w:type="paragraph" w:styleId="FootnoteText">
    <w:name w:val="footnote text"/>
    <w:basedOn w:val="Normal"/>
    <w:link w:val="FootnoteTextChar"/>
    <w:semiHidden/>
    <w:rsid w:val="00962E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2EB5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styleId="FootnoteReference">
    <w:name w:val="footnote reference"/>
    <w:semiHidden/>
    <w:rsid w:val="00962EB5"/>
    <w:rPr>
      <w:vertAlign w:val="superscript"/>
    </w:rPr>
  </w:style>
  <w:style w:type="paragraph" w:styleId="Revision">
    <w:name w:val="Revision"/>
    <w:hidden/>
    <w:uiPriority w:val="99"/>
    <w:semiHidden/>
    <w:rsid w:val="00962E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Footnote">
    <w:name w:val="Footnote"/>
    <w:basedOn w:val="FootnoteText"/>
    <w:link w:val="FootnoteChar"/>
    <w:rsid w:val="00962EB5"/>
  </w:style>
  <w:style w:type="character" w:customStyle="1" w:styleId="FootnoteChar">
    <w:name w:val="Footnote Char"/>
    <w:basedOn w:val="FootnoteTextChar"/>
    <w:link w:val="Footnote"/>
    <w:rsid w:val="00962EB5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EndnoteText">
    <w:name w:val="endnote text"/>
    <w:basedOn w:val="Normal"/>
    <w:link w:val="EndnoteTextChar"/>
    <w:rsid w:val="00962E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62EB5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styleId="EndnoteReference">
    <w:name w:val="endnote reference"/>
    <w:rsid w:val="00962EB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62EB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102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2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2EB5"/>
    <w:pPr>
      <w:autoSpaceDE w:val="0"/>
      <w:autoSpaceDN w:val="0"/>
      <w:adjustRightInd w:val="0"/>
      <w:spacing w:after="0" w:line="240" w:lineRule="auto"/>
    </w:pPr>
    <w:rPr>
      <w:rFonts w:ascii="HONIBB+TimesNewRoman" w:eastAsia="SimSun" w:hAnsi="HONIBB+TimesNewRoman" w:cs="HONIBB+TimesNewRoman"/>
      <w:color w:val="000000"/>
      <w:sz w:val="24"/>
      <w:szCs w:val="24"/>
      <w:lang w:eastAsia="zh-CN"/>
    </w:rPr>
  </w:style>
  <w:style w:type="table" w:styleId="TableGrid">
    <w:name w:val="Table Grid"/>
    <w:basedOn w:val="TableNormal"/>
    <w:rsid w:val="00962EB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62EB5"/>
    <w:rPr>
      <w:color w:val="0000FF"/>
      <w:u w:val="single"/>
    </w:rPr>
  </w:style>
  <w:style w:type="character" w:styleId="CommentReference">
    <w:name w:val="annotation reference"/>
    <w:semiHidden/>
    <w:rsid w:val="00962E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62E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2EB5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62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2EB5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962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62EB5"/>
    <w:rPr>
      <w:rFonts w:ascii="Tahoma" w:eastAsia="SimSun" w:hAnsi="Tahoma" w:cs="Tahoma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rsid w:val="00962EB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62EB5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962EB5"/>
  </w:style>
  <w:style w:type="paragraph" w:styleId="Footer">
    <w:name w:val="footer"/>
    <w:basedOn w:val="Normal"/>
    <w:link w:val="FooterChar"/>
    <w:uiPriority w:val="99"/>
    <w:rsid w:val="00962E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EB5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qFormat/>
    <w:rsid w:val="00962EB5"/>
    <w:rPr>
      <w:b/>
      <w:bCs/>
    </w:rPr>
  </w:style>
  <w:style w:type="paragraph" w:styleId="FootnoteText">
    <w:name w:val="footnote text"/>
    <w:basedOn w:val="Normal"/>
    <w:link w:val="FootnoteTextChar"/>
    <w:semiHidden/>
    <w:rsid w:val="00962E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2EB5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styleId="FootnoteReference">
    <w:name w:val="footnote reference"/>
    <w:semiHidden/>
    <w:rsid w:val="00962EB5"/>
    <w:rPr>
      <w:vertAlign w:val="superscript"/>
    </w:rPr>
  </w:style>
  <w:style w:type="paragraph" w:styleId="Revision">
    <w:name w:val="Revision"/>
    <w:hidden/>
    <w:uiPriority w:val="99"/>
    <w:semiHidden/>
    <w:rsid w:val="00962E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Footnote">
    <w:name w:val="Footnote"/>
    <w:basedOn w:val="FootnoteText"/>
    <w:link w:val="FootnoteChar"/>
    <w:rsid w:val="00962EB5"/>
  </w:style>
  <w:style w:type="character" w:customStyle="1" w:styleId="FootnoteChar">
    <w:name w:val="Footnote Char"/>
    <w:basedOn w:val="FootnoteTextChar"/>
    <w:link w:val="Footnote"/>
    <w:rsid w:val="00962EB5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EndnoteText">
    <w:name w:val="endnote text"/>
    <w:basedOn w:val="Normal"/>
    <w:link w:val="EndnoteTextChar"/>
    <w:rsid w:val="00962E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62EB5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styleId="EndnoteReference">
    <w:name w:val="endnote reference"/>
    <w:rsid w:val="00962EB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62EB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102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.mcdonald@soton.ac.u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jej@soton.ac.u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.sung@soton.ac.uk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22FD7-60D9-40F7-B578-EDFE14FE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11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 D.C.J.</dc:creator>
  <cp:lastModifiedBy>Johnson J.E.</cp:lastModifiedBy>
  <cp:revision>5</cp:revision>
  <dcterms:created xsi:type="dcterms:W3CDTF">2016-08-11T15:45:00Z</dcterms:created>
  <dcterms:modified xsi:type="dcterms:W3CDTF">2016-08-15T10:54:00Z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-1516176191</vt:i4>
  </property>
  <property fmtid="{D5CDD505-2E9C-101B-9397-08002B2CF9AE}" pid="3" name="_NewReviewCycle">
    <vt:lpwstr/>
  </property>
  <property fmtid="{D5CDD505-2E9C-101B-9397-08002B2CF9AE}" pid="4" name="_EmailSubject">
    <vt:lpwstr>Economics Letters</vt:lpwstr>
  </property>
  <property fmtid="{D5CDD505-2E9C-101B-9397-08002B2CF9AE}" pid="5" name="_AuthorEmail">
    <vt:lpwstr>J.E.Johnson@soton.ac.uk</vt:lpwstr>
  </property>
  <property fmtid="{D5CDD505-2E9C-101B-9397-08002B2CF9AE}" pid="6" name="_AuthorEmailDisplayName">
    <vt:lpwstr>Johnson J.E.</vt:lpwstr>
  </property>
  <property fmtid="{D5CDD505-2E9C-101B-9397-08002B2CF9AE}" pid="7" name="_ReviewingToolsShownOnce">
    <vt:lpwstr/>
  </property>
</Properties>
</file>