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0BE8" w:rsidRDefault="00920BE8" w:rsidP="00920BE8">
      <w:pPr>
        <w:pStyle w:val="Copyright"/>
        <w:jc w:val="center"/>
      </w:pPr>
    </w:p>
    <w:p w:rsidR="00920BE8" w:rsidRPr="0030660E" w:rsidRDefault="00920BE8" w:rsidP="00920BE8">
      <w:pPr>
        <w:tabs>
          <w:tab w:val="left" w:pos="3560"/>
        </w:tabs>
        <w:jc w:val="center"/>
        <w:rPr>
          <w:rFonts w:ascii="Times New Roman" w:hAnsi="Times New Roman"/>
          <w:b/>
          <w:sz w:val="24"/>
          <w:szCs w:val="24"/>
        </w:rPr>
      </w:pPr>
      <w:r w:rsidRPr="0030660E">
        <w:rPr>
          <w:rFonts w:ascii="Times New Roman" w:hAnsi="Times New Roman"/>
          <w:b/>
          <w:sz w:val="24"/>
          <w:szCs w:val="24"/>
        </w:rPr>
        <w:t>TITLE</w:t>
      </w:r>
    </w:p>
    <w:p w:rsidR="00920BE8" w:rsidRDefault="00920BE8" w:rsidP="00920BE8">
      <w:pPr>
        <w:pStyle w:val="Articletitle"/>
      </w:pPr>
      <w:r w:rsidRPr="00C25D1A">
        <w:t>SURVEY OF SEXUAL ACTIVIT</w:t>
      </w:r>
      <w:r>
        <w:t>Y</w:t>
      </w:r>
      <w:r w:rsidRPr="00C25D1A">
        <w:t xml:space="preserve"> AND CONTRACEPTIVE USE AMONG UNMARRIED </w:t>
      </w:r>
      <w:r>
        <w:t>YOUNG SCHOOL AND COLLEGE DROP-OUTS</w:t>
      </w:r>
      <w:r w:rsidRPr="00C25D1A">
        <w:t xml:space="preserve"> IN A DEFINED NIGERIAN POPULATION</w:t>
      </w:r>
    </w:p>
    <w:p w:rsidR="00920BE8" w:rsidRPr="00C25D1A" w:rsidRDefault="00920BE8" w:rsidP="00920BE8">
      <w:pPr>
        <w:pStyle w:val="Articletitle"/>
      </w:pPr>
    </w:p>
    <w:p w:rsidR="00920BE8" w:rsidRPr="0030660E" w:rsidRDefault="00920BE8" w:rsidP="00920BE8">
      <w:pPr>
        <w:jc w:val="center"/>
        <w:rPr>
          <w:rFonts w:ascii="Times New Roman" w:hAnsi="Times New Roman"/>
          <w:b/>
          <w:sz w:val="24"/>
          <w:szCs w:val="24"/>
        </w:rPr>
      </w:pPr>
    </w:p>
    <w:p w:rsidR="00920BE8" w:rsidRPr="0030660E" w:rsidRDefault="00920BE8" w:rsidP="00920BE8">
      <w:pPr>
        <w:jc w:val="center"/>
        <w:rPr>
          <w:rFonts w:ascii="Times New Roman" w:hAnsi="Times New Roman"/>
          <w:b/>
          <w:sz w:val="24"/>
          <w:szCs w:val="24"/>
        </w:rPr>
      </w:pPr>
      <w:r w:rsidRPr="0030660E">
        <w:rPr>
          <w:rFonts w:ascii="Times New Roman" w:hAnsi="Times New Roman"/>
          <w:b/>
          <w:sz w:val="24"/>
          <w:szCs w:val="24"/>
        </w:rPr>
        <w:t>AUTHORS</w:t>
      </w:r>
      <w:r>
        <w:rPr>
          <w:rFonts w:ascii="Times New Roman" w:hAnsi="Times New Roman"/>
          <w:b/>
          <w:sz w:val="24"/>
          <w:szCs w:val="24"/>
        </w:rPr>
        <w:t xml:space="preserve"> &amp; AFFILIATION</w:t>
      </w:r>
    </w:p>
    <w:p w:rsidR="00920BE8" w:rsidRPr="00EC70EE" w:rsidRDefault="00920BE8" w:rsidP="00920BE8">
      <w:pPr>
        <w:pStyle w:val="Authorname"/>
      </w:pPr>
      <w:r w:rsidRPr="00EC70EE">
        <w:t>ABIODUN IDOWU ADANIKIN</w:t>
      </w:r>
      <w:r>
        <w:t>*</w:t>
      </w:r>
      <w:r w:rsidRPr="00A76774">
        <w:t>†</w:t>
      </w:r>
      <w:r w:rsidRPr="0077340E">
        <w:rPr>
          <w:vertAlign w:val="superscript"/>
        </w:rPr>
        <w:t>1</w:t>
      </w:r>
      <w:r>
        <w:t>,</w:t>
      </w:r>
      <w:r w:rsidRPr="00EC70EE">
        <w:t xml:space="preserve"> PIPELOLUWA OLUWAYEMISI</w:t>
      </w:r>
      <w:r w:rsidRPr="0077340E">
        <w:t xml:space="preserve"> </w:t>
      </w:r>
      <w:r w:rsidRPr="00EC70EE">
        <w:t>ADANIKIN</w:t>
      </w:r>
      <w:r w:rsidRPr="00A76774">
        <w:t>‡</w:t>
      </w:r>
      <w:r w:rsidRPr="00EC70EE">
        <w:t>, ERNEST OKECHUKWU</w:t>
      </w:r>
      <w:r w:rsidRPr="0077340E">
        <w:t xml:space="preserve"> </w:t>
      </w:r>
      <w:r w:rsidRPr="00EC70EE">
        <w:t>ORJI</w:t>
      </w:r>
      <w:r w:rsidRPr="00A76774">
        <w:t>§</w:t>
      </w:r>
      <w:r>
        <w:t xml:space="preserve"> AND</w:t>
      </w:r>
      <w:r w:rsidRPr="00EC70EE">
        <w:t xml:space="preserve"> BENEDICT TOLULOPE</w:t>
      </w:r>
      <w:r w:rsidRPr="0077340E">
        <w:t xml:space="preserve"> </w:t>
      </w:r>
      <w:r w:rsidRPr="00EC70EE">
        <w:t>ADEYANJU</w:t>
      </w:r>
      <w:r w:rsidRPr="00A76774">
        <w:t>†</w:t>
      </w:r>
    </w:p>
    <w:p w:rsidR="00920BE8" w:rsidRPr="00C25D1A" w:rsidRDefault="00920BE8" w:rsidP="00920BE8">
      <w:pPr>
        <w:pStyle w:val="Affiliation"/>
      </w:pPr>
      <w:r>
        <w:t>*</w:t>
      </w:r>
      <w:r w:rsidRPr="00C25D1A">
        <w:t xml:space="preserve">Department of Social Statistics and Demography, University of Southampton, </w:t>
      </w:r>
      <w:r>
        <w:t>UK</w:t>
      </w:r>
      <w:r w:rsidRPr="0077340E">
        <w:rPr>
          <w:i w:val="0"/>
        </w:rPr>
        <w:t>, †</w:t>
      </w:r>
      <w:r w:rsidRPr="00C25D1A">
        <w:t>Department of Obstetrics and Gynaecology, Ekiti State University, Ado-Ekiti, Nigeria</w:t>
      </w:r>
      <w:r>
        <w:t xml:space="preserve">, </w:t>
      </w:r>
      <w:r w:rsidRPr="0077340E">
        <w:rPr>
          <w:i w:val="0"/>
        </w:rPr>
        <w:t>‡</w:t>
      </w:r>
      <w:r w:rsidRPr="00C25D1A">
        <w:t>Department of Family Medicine, Ekiti State University Teaching Hospital, Ado-Ekiti, Nigeria</w:t>
      </w:r>
      <w:r>
        <w:t xml:space="preserve"> and </w:t>
      </w:r>
      <w:r w:rsidRPr="0077340E">
        <w:rPr>
          <w:i w:val="0"/>
        </w:rPr>
        <w:t>§</w:t>
      </w:r>
      <w:r w:rsidRPr="00C25D1A">
        <w:t>Department of Obstetrics, Gynaecology and Perinatology, Obafemi Awolowo University, Ile-Ife, Nigeria</w:t>
      </w:r>
    </w:p>
    <w:p w:rsidR="00920BE8" w:rsidRPr="00C25D1A" w:rsidRDefault="00920BE8" w:rsidP="00920BE8">
      <w:pPr>
        <w:pStyle w:val="Footer"/>
      </w:pPr>
      <w:r w:rsidRPr="0077340E">
        <w:rPr>
          <w:vertAlign w:val="superscript"/>
        </w:rPr>
        <w:t>1</w:t>
      </w:r>
      <w:r>
        <w:t xml:space="preserve">Corresponding author. </w:t>
      </w:r>
      <w:r w:rsidRPr="00C25D1A">
        <w:t>Email: a.i.adanikin@soton.ac.uk</w:t>
      </w:r>
    </w:p>
    <w:p w:rsidR="00920BE8" w:rsidRDefault="00920BE8" w:rsidP="00920BE8">
      <w:pPr>
        <w:rPr>
          <w:rFonts w:ascii="Times New Roman" w:hAnsi="Times New Roman"/>
          <w:sz w:val="24"/>
          <w:szCs w:val="24"/>
        </w:rPr>
      </w:pPr>
    </w:p>
    <w:p w:rsidR="00920BE8" w:rsidRPr="00AB514A" w:rsidRDefault="00920BE8" w:rsidP="00920BE8">
      <w:pPr>
        <w:rPr>
          <w:rFonts w:ascii="Times New Roman" w:hAnsi="Times New Roman"/>
          <w:sz w:val="24"/>
          <w:szCs w:val="24"/>
        </w:rPr>
      </w:pPr>
    </w:p>
    <w:p w:rsidR="00920BE8" w:rsidRPr="009C7FF7" w:rsidRDefault="00920BE8" w:rsidP="00920BE8">
      <w:pPr>
        <w:spacing w:after="200" w:line="276" w:lineRule="auto"/>
        <w:rPr>
          <w:rFonts w:ascii="Times New Roman" w:eastAsia="Calibri" w:hAnsi="Times New Roman"/>
          <w:sz w:val="24"/>
          <w:szCs w:val="24"/>
        </w:rPr>
      </w:pPr>
    </w:p>
    <w:p w:rsidR="00920BE8" w:rsidRPr="009C7FF7" w:rsidRDefault="00920BE8" w:rsidP="00920BE8">
      <w:pPr>
        <w:spacing w:after="200" w:line="276" w:lineRule="auto"/>
        <w:rPr>
          <w:rFonts w:ascii="Times New Roman" w:eastAsia="Calibri" w:hAnsi="Times New Roman"/>
          <w:sz w:val="24"/>
          <w:szCs w:val="24"/>
        </w:rPr>
      </w:pPr>
    </w:p>
    <w:p w:rsidR="00920BE8" w:rsidRDefault="00920BE8" w:rsidP="00920BE8">
      <w:pPr>
        <w:spacing w:after="200" w:line="276" w:lineRule="auto"/>
        <w:rPr>
          <w:rFonts w:ascii="Times New Roman" w:eastAsia="Calibri" w:hAnsi="Times New Roman"/>
          <w:sz w:val="24"/>
          <w:szCs w:val="24"/>
        </w:rPr>
      </w:pPr>
    </w:p>
    <w:p w:rsidR="00920BE8" w:rsidRDefault="00920BE8" w:rsidP="00920BE8">
      <w:pPr>
        <w:spacing w:after="200" w:line="276" w:lineRule="auto"/>
        <w:rPr>
          <w:rFonts w:ascii="Times New Roman" w:eastAsia="Calibri" w:hAnsi="Times New Roman"/>
          <w:sz w:val="24"/>
          <w:szCs w:val="24"/>
        </w:rPr>
      </w:pPr>
    </w:p>
    <w:p w:rsidR="00920BE8" w:rsidRDefault="00920BE8" w:rsidP="00920BE8">
      <w:pPr>
        <w:spacing w:after="200" w:line="276" w:lineRule="auto"/>
        <w:rPr>
          <w:rFonts w:ascii="Times New Roman" w:eastAsia="Calibri" w:hAnsi="Times New Roman"/>
          <w:sz w:val="24"/>
          <w:szCs w:val="24"/>
        </w:rPr>
      </w:pPr>
    </w:p>
    <w:p w:rsidR="00920BE8" w:rsidRDefault="00920BE8" w:rsidP="00920BE8">
      <w:pPr>
        <w:spacing w:after="200" w:line="276" w:lineRule="auto"/>
        <w:rPr>
          <w:rFonts w:ascii="Times New Roman" w:eastAsia="Calibri" w:hAnsi="Times New Roman"/>
          <w:sz w:val="24"/>
          <w:szCs w:val="24"/>
        </w:rPr>
      </w:pPr>
    </w:p>
    <w:p w:rsidR="00920BE8" w:rsidRDefault="00920BE8" w:rsidP="00920BE8">
      <w:pPr>
        <w:spacing w:after="200" w:line="276" w:lineRule="auto"/>
        <w:rPr>
          <w:rFonts w:ascii="Times New Roman" w:eastAsia="Calibri" w:hAnsi="Times New Roman"/>
          <w:sz w:val="24"/>
          <w:szCs w:val="24"/>
        </w:rPr>
      </w:pPr>
    </w:p>
    <w:p w:rsidR="00920BE8" w:rsidRDefault="00920BE8" w:rsidP="00920BE8">
      <w:pPr>
        <w:spacing w:after="200" w:line="276" w:lineRule="auto"/>
        <w:rPr>
          <w:rFonts w:ascii="Times New Roman" w:eastAsia="Calibri" w:hAnsi="Times New Roman"/>
          <w:sz w:val="24"/>
          <w:szCs w:val="24"/>
        </w:rPr>
      </w:pPr>
    </w:p>
    <w:p w:rsidR="00920BE8" w:rsidRDefault="00920BE8" w:rsidP="00920BE8">
      <w:pPr>
        <w:spacing w:after="200" w:line="276" w:lineRule="auto"/>
        <w:rPr>
          <w:rFonts w:ascii="Times New Roman" w:eastAsia="Calibri" w:hAnsi="Times New Roman"/>
          <w:sz w:val="24"/>
          <w:szCs w:val="24"/>
        </w:rPr>
      </w:pPr>
    </w:p>
    <w:p w:rsidR="00920BE8" w:rsidRDefault="00920BE8" w:rsidP="00920BE8">
      <w:pPr>
        <w:spacing w:after="200" w:line="276" w:lineRule="auto"/>
        <w:rPr>
          <w:rFonts w:ascii="Times New Roman" w:eastAsia="Calibri" w:hAnsi="Times New Roman"/>
          <w:sz w:val="24"/>
          <w:szCs w:val="24"/>
        </w:rPr>
      </w:pPr>
    </w:p>
    <w:p w:rsidR="00920BE8" w:rsidRDefault="00920BE8" w:rsidP="00920BE8">
      <w:pPr>
        <w:spacing w:after="200" w:line="276" w:lineRule="auto"/>
        <w:rPr>
          <w:rFonts w:ascii="Times New Roman" w:eastAsia="Calibri" w:hAnsi="Times New Roman"/>
          <w:sz w:val="24"/>
          <w:szCs w:val="24"/>
        </w:rPr>
      </w:pPr>
    </w:p>
    <w:p w:rsidR="00920BE8" w:rsidRPr="009C7FF7" w:rsidRDefault="00920BE8" w:rsidP="00920BE8">
      <w:pPr>
        <w:spacing w:after="200" w:line="276" w:lineRule="auto"/>
        <w:rPr>
          <w:rFonts w:ascii="Times New Roman" w:eastAsia="Calibri" w:hAnsi="Times New Roman"/>
          <w:sz w:val="24"/>
          <w:szCs w:val="24"/>
        </w:rPr>
      </w:pPr>
    </w:p>
    <w:p w:rsidR="00920BE8" w:rsidRPr="009C7FF7" w:rsidRDefault="00920BE8" w:rsidP="00920BE8">
      <w:pPr>
        <w:spacing w:after="200" w:line="276" w:lineRule="auto"/>
        <w:rPr>
          <w:rFonts w:ascii="Times New Roman" w:eastAsia="Calibri" w:hAnsi="Times New Roman"/>
          <w:sz w:val="24"/>
          <w:szCs w:val="24"/>
        </w:rPr>
      </w:pPr>
    </w:p>
    <w:p w:rsidR="00920BE8" w:rsidRPr="00C25D1A" w:rsidRDefault="00920BE8" w:rsidP="00920BE8">
      <w:pPr>
        <w:pStyle w:val="Summary"/>
        <w:rPr>
          <w:rFonts w:eastAsia="Calibri"/>
        </w:rPr>
      </w:pPr>
      <w:r w:rsidRPr="00C12679">
        <w:rPr>
          <w:rFonts w:eastAsia="Calibri"/>
          <w:b/>
        </w:rPr>
        <w:lastRenderedPageBreak/>
        <w:t>Summary.</w:t>
      </w:r>
      <w:r w:rsidRPr="00C25D1A">
        <w:rPr>
          <w:rFonts w:eastAsia="Calibri"/>
        </w:rPr>
        <w:t xml:space="preserve"> </w:t>
      </w:r>
      <w:r>
        <w:rPr>
          <w:rFonts w:eastAsia="Calibri"/>
        </w:rPr>
        <w:t>This</w:t>
      </w:r>
      <w:r w:rsidRPr="00C25D1A">
        <w:rPr>
          <w:rFonts w:eastAsia="Calibri"/>
        </w:rPr>
        <w:t xml:space="preserve"> study sought to characterize sexual behaviour, contraceptive us</w:t>
      </w:r>
      <w:r>
        <w:rPr>
          <w:rFonts w:eastAsia="Calibri"/>
        </w:rPr>
        <w:t>e</w:t>
      </w:r>
      <w:r w:rsidRPr="00C25D1A">
        <w:rPr>
          <w:rFonts w:eastAsia="Calibri"/>
        </w:rPr>
        <w:t xml:space="preserve"> and contributory upbringing factors among </w:t>
      </w:r>
      <w:r>
        <w:rPr>
          <w:rFonts w:eastAsia="Calibri"/>
        </w:rPr>
        <w:t xml:space="preserve">young people who had dropped out of </w:t>
      </w:r>
      <w:r w:rsidRPr="00C25D1A">
        <w:rPr>
          <w:rFonts w:eastAsia="Calibri"/>
        </w:rPr>
        <w:t>school</w:t>
      </w:r>
      <w:r>
        <w:rPr>
          <w:rFonts w:eastAsia="Calibri"/>
        </w:rPr>
        <w:t xml:space="preserve"> or college</w:t>
      </w:r>
      <w:r w:rsidRPr="00C25D1A">
        <w:rPr>
          <w:rFonts w:eastAsia="Calibri"/>
        </w:rPr>
        <w:t xml:space="preserve"> in a Nigerian setting. </w:t>
      </w:r>
      <w:r>
        <w:rPr>
          <w:rFonts w:eastAsia="Calibri"/>
        </w:rPr>
        <w:t>A community-based, cross-</w:t>
      </w:r>
      <w:r w:rsidRPr="00C25D1A">
        <w:rPr>
          <w:rFonts w:eastAsia="Calibri"/>
        </w:rPr>
        <w:t xml:space="preserve">sectional sexual survey of 161 </w:t>
      </w:r>
      <w:r>
        <w:rPr>
          <w:rFonts w:eastAsia="Calibri"/>
        </w:rPr>
        <w:t>young people</w:t>
      </w:r>
      <w:r w:rsidRPr="00C25D1A">
        <w:rPr>
          <w:rFonts w:eastAsia="Calibri"/>
        </w:rPr>
        <w:t xml:space="preserve"> </w:t>
      </w:r>
      <w:r w:rsidRPr="00D80CF4">
        <w:rPr>
          <w:rFonts w:eastAsia="Calibri"/>
        </w:rPr>
        <w:t>aged between 15 and 35 who had dropped out of school or college was performed in</w:t>
      </w:r>
      <w:r w:rsidRPr="00D80CF4">
        <w:rPr>
          <w:rFonts w:eastAsia="Calibri"/>
          <w:lang w:val="en-US"/>
        </w:rPr>
        <w:t xml:space="preserve"> Ado-Ekiti, south-west Nigeria,</w:t>
      </w:r>
      <w:r w:rsidRPr="00D80CF4">
        <w:rPr>
          <w:rFonts w:eastAsia="Calibri"/>
        </w:rPr>
        <w:t xml:space="preserve"> in April 2015. One hundred and nineteen of the respondents (73.9%) had had sexual intercourse. Mean age at sexual debut was 19.08±3.5 years. Of those with sexual experience, 79 (66.4%) had their sexual debut with a previous boy/girlfriend and 33 (27.7%) had it in their current relationship. Three (2.5%) respondents had first sex with a stranger. About 90% were still having sexual intercourse within 12 months of the survey; more males had had sex than females (81.1% versus 67.8%). Around 80% of those with sexual exposure practised a form of contraception, mainly use of the male condom, but fewer than 25% were all-time contraceptive</w:t>
      </w:r>
      <w:r>
        <w:rPr>
          <w:rFonts w:eastAsia="Calibri"/>
        </w:rPr>
        <w:t xml:space="preserve"> users. Coming from a single-parent family (</w:t>
      </w:r>
      <w:r w:rsidRPr="00D4501D">
        <w:rPr>
          <w:rFonts w:eastAsia="Calibri"/>
          <w:i/>
        </w:rPr>
        <w:t>p</w:t>
      </w:r>
      <w:r>
        <w:rPr>
          <w:rFonts w:eastAsia="Calibri"/>
        </w:rPr>
        <w:t>=</w:t>
      </w:r>
      <w:r w:rsidRPr="00C25D1A">
        <w:rPr>
          <w:rFonts w:eastAsia="Calibri"/>
        </w:rPr>
        <w:t xml:space="preserve">0.04) </w:t>
      </w:r>
      <w:r>
        <w:rPr>
          <w:rFonts w:eastAsia="Calibri"/>
        </w:rPr>
        <w:t>or from</w:t>
      </w:r>
      <w:r w:rsidRPr="00C25D1A">
        <w:rPr>
          <w:rFonts w:eastAsia="Calibri"/>
        </w:rPr>
        <w:t xml:space="preserve"> </w:t>
      </w:r>
      <w:r>
        <w:rPr>
          <w:rFonts w:eastAsia="Calibri"/>
        </w:rPr>
        <w:t>a</w:t>
      </w:r>
      <w:r w:rsidRPr="00C25D1A">
        <w:rPr>
          <w:rFonts w:eastAsia="Calibri"/>
        </w:rPr>
        <w:t xml:space="preserve"> family </w:t>
      </w:r>
      <w:r>
        <w:rPr>
          <w:rFonts w:eastAsia="Calibri"/>
        </w:rPr>
        <w:t>of poor economic status (AOR: 7.41</w:t>
      </w:r>
      <w:r w:rsidRPr="00C25D1A">
        <w:rPr>
          <w:rFonts w:eastAsia="Calibri"/>
        </w:rPr>
        <w:t>; 95% CI: 0.69</w:t>
      </w:r>
      <w:r>
        <w:rPr>
          <w:rFonts w:eastAsia="Calibri"/>
        </w:rPr>
        <w:t>–</w:t>
      </w:r>
      <w:r w:rsidRPr="00C25D1A">
        <w:rPr>
          <w:rFonts w:eastAsia="Calibri"/>
        </w:rPr>
        <w:t xml:space="preserve">0.83) were </w:t>
      </w:r>
      <w:r>
        <w:rPr>
          <w:rFonts w:eastAsia="Calibri"/>
        </w:rPr>
        <w:t xml:space="preserve">found to be </w:t>
      </w:r>
      <w:r w:rsidRPr="00C25D1A">
        <w:rPr>
          <w:rFonts w:eastAsia="Calibri"/>
        </w:rPr>
        <w:t>associated with sexual debut by the age of 19 and premarital sex</w:t>
      </w:r>
      <w:r>
        <w:rPr>
          <w:rFonts w:eastAsia="Calibri"/>
          <w:lang w:val="en-US"/>
        </w:rPr>
        <w:t>,</w:t>
      </w:r>
      <w:r w:rsidRPr="00C25D1A">
        <w:rPr>
          <w:rFonts w:eastAsia="Calibri"/>
        </w:rPr>
        <w:t xml:space="preserve"> respectively</w:t>
      </w:r>
      <w:r>
        <w:rPr>
          <w:rFonts w:eastAsia="Calibri"/>
        </w:rPr>
        <w:t>, in these young people</w:t>
      </w:r>
      <w:r w:rsidRPr="00C25D1A">
        <w:rPr>
          <w:rFonts w:eastAsia="Calibri"/>
        </w:rPr>
        <w:t>.</w:t>
      </w:r>
      <w:r>
        <w:rPr>
          <w:rFonts w:eastAsia="Calibri"/>
        </w:rPr>
        <w:t xml:space="preserve"> Unprotected sexual intimacy was found to be</w:t>
      </w:r>
      <w:r w:rsidRPr="00C25D1A">
        <w:rPr>
          <w:rFonts w:eastAsia="Calibri"/>
        </w:rPr>
        <w:t xml:space="preserve"> high among </w:t>
      </w:r>
      <w:r>
        <w:rPr>
          <w:rFonts w:eastAsia="Calibri"/>
        </w:rPr>
        <w:t xml:space="preserve">young school/college drop-outs </w:t>
      </w:r>
      <w:r w:rsidRPr="00C25D1A">
        <w:rPr>
          <w:rFonts w:eastAsia="Calibri"/>
        </w:rPr>
        <w:t xml:space="preserve">in </w:t>
      </w:r>
      <w:r>
        <w:rPr>
          <w:rFonts w:eastAsia="Calibri"/>
        </w:rPr>
        <w:t>this region of Nigeria. This</w:t>
      </w:r>
      <w:r w:rsidRPr="00C25D1A">
        <w:rPr>
          <w:rFonts w:eastAsia="Calibri"/>
        </w:rPr>
        <w:t xml:space="preserve"> group </w:t>
      </w:r>
      <w:r>
        <w:rPr>
          <w:rFonts w:eastAsia="Calibri"/>
        </w:rPr>
        <w:t xml:space="preserve">of young people </w:t>
      </w:r>
      <w:r w:rsidRPr="00C25D1A">
        <w:rPr>
          <w:rFonts w:eastAsia="Calibri"/>
        </w:rPr>
        <w:t>nee</w:t>
      </w:r>
      <w:r>
        <w:rPr>
          <w:rFonts w:eastAsia="Calibri"/>
        </w:rPr>
        <w:t>d</w:t>
      </w:r>
      <w:r w:rsidRPr="00C25D1A">
        <w:rPr>
          <w:rFonts w:eastAsia="Calibri"/>
        </w:rPr>
        <w:t xml:space="preserve"> targeted reproductive health intervention as they represent a potent route for HIV transmission in the region.</w:t>
      </w:r>
    </w:p>
    <w:p w:rsidR="00920BE8" w:rsidRPr="00C25D1A" w:rsidRDefault="00920BE8" w:rsidP="00920BE8">
      <w:pPr>
        <w:pStyle w:val="Heading1"/>
        <w:rPr>
          <w:rFonts w:eastAsia="Calibri"/>
        </w:rPr>
      </w:pPr>
      <w:r w:rsidRPr="00C25D1A">
        <w:rPr>
          <w:rFonts w:eastAsia="Calibri"/>
        </w:rPr>
        <w:t>Introduction</w:t>
      </w:r>
    </w:p>
    <w:p w:rsidR="00920BE8" w:rsidRDefault="00920BE8" w:rsidP="00920BE8">
      <w:pPr>
        <w:pStyle w:val="Text"/>
        <w:rPr>
          <w:rFonts w:eastAsia="Calibri"/>
        </w:rPr>
      </w:pPr>
      <w:r w:rsidRPr="00C25D1A">
        <w:rPr>
          <w:rFonts w:eastAsia="Calibri"/>
        </w:rPr>
        <w:t>Rece</w:t>
      </w:r>
      <w:r w:rsidRPr="00D80CF4">
        <w:rPr>
          <w:rFonts w:eastAsia="Calibri"/>
        </w:rPr>
        <w:t>nt global d</w:t>
      </w:r>
      <w:r w:rsidRPr="00C25D1A">
        <w:rPr>
          <w:rFonts w:eastAsia="Calibri"/>
        </w:rPr>
        <w:t xml:space="preserve">emographic reports have demonstrated a bulge in the proportion of </w:t>
      </w:r>
      <w:r>
        <w:rPr>
          <w:rFonts w:eastAsia="Calibri"/>
        </w:rPr>
        <w:t>young people aged 15–24 years</w:t>
      </w:r>
      <w:r w:rsidRPr="00C25D1A">
        <w:rPr>
          <w:rFonts w:eastAsia="Calibri"/>
        </w:rPr>
        <w:t xml:space="preserve"> in comparison to the total population. Specifically, sub-Saharan African countries have the highest populations</w:t>
      </w:r>
      <w:r>
        <w:rPr>
          <w:rFonts w:eastAsia="Calibri"/>
        </w:rPr>
        <w:t xml:space="preserve"> of young people</w:t>
      </w:r>
      <w:r w:rsidRPr="00C25D1A">
        <w:rPr>
          <w:rFonts w:eastAsia="Calibri"/>
        </w:rPr>
        <w:t xml:space="preserve"> in the world, and the figure</w:t>
      </w:r>
      <w:r>
        <w:rPr>
          <w:rFonts w:eastAsia="Calibri"/>
        </w:rPr>
        <w:t>s</w:t>
      </w:r>
      <w:r w:rsidRPr="00C25D1A">
        <w:rPr>
          <w:rFonts w:eastAsia="Calibri"/>
        </w:rPr>
        <w:t xml:space="preserve"> keeps growing </w:t>
      </w:r>
      <w:r w:rsidRPr="00C25D1A">
        <w:rPr>
          <w:rFonts w:eastAsia="Calibri"/>
          <w:noProof/>
        </w:rPr>
        <w:t>(Haub, 2013)</w:t>
      </w:r>
      <w:r w:rsidRPr="00C25D1A">
        <w:rPr>
          <w:rFonts w:eastAsia="Calibri"/>
        </w:rPr>
        <w:t>.</w:t>
      </w:r>
      <w:r>
        <w:rPr>
          <w:rFonts w:eastAsia="Calibri"/>
        </w:rPr>
        <w:t xml:space="preserve"> Young people</w:t>
      </w:r>
      <w:r w:rsidRPr="00C25D1A">
        <w:rPr>
          <w:rFonts w:eastAsia="Calibri"/>
        </w:rPr>
        <w:t xml:space="preserve"> constitute an important human resource base </w:t>
      </w:r>
      <w:r>
        <w:rPr>
          <w:rFonts w:eastAsia="Calibri"/>
        </w:rPr>
        <w:t>in</w:t>
      </w:r>
      <w:r w:rsidRPr="00C25D1A">
        <w:rPr>
          <w:rFonts w:eastAsia="Calibri"/>
        </w:rPr>
        <w:t xml:space="preserve"> developing countries. </w:t>
      </w:r>
      <w:r>
        <w:rPr>
          <w:rFonts w:eastAsia="Calibri"/>
        </w:rPr>
        <w:t>T</w:t>
      </w:r>
      <w:r w:rsidRPr="00C25D1A">
        <w:rPr>
          <w:rFonts w:eastAsia="Calibri"/>
        </w:rPr>
        <w:t xml:space="preserve">hey are the future citizens, </w:t>
      </w:r>
      <w:r>
        <w:rPr>
          <w:rFonts w:eastAsia="Calibri"/>
        </w:rPr>
        <w:t xml:space="preserve">a </w:t>
      </w:r>
      <w:r w:rsidRPr="00C25D1A">
        <w:rPr>
          <w:rFonts w:eastAsia="Calibri"/>
        </w:rPr>
        <w:t xml:space="preserve">productive work force and </w:t>
      </w:r>
      <w:r>
        <w:rPr>
          <w:rFonts w:eastAsia="Calibri"/>
        </w:rPr>
        <w:t xml:space="preserve">potential </w:t>
      </w:r>
      <w:r w:rsidRPr="00C25D1A">
        <w:rPr>
          <w:rFonts w:eastAsia="Calibri"/>
        </w:rPr>
        <w:t>leaders of nation</w:t>
      </w:r>
      <w:r>
        <w:rPr>
          <w:rFonts w:eastAsia="Calibri"/>
        </w:rPr>
        <w:t>s</w:t>
      </w:r>
      <w:r w:rsidRPr="00C25D1A">
        <w:rPr>
          <w:rFonts w:eastAsia="Calibri"/>
        </w:rPr>
        <w:t xml:space="preserve"> </w:t>
      </w:r>
      <w:r>
        <w:rPr>
          <w:rFonts w:eastAsia="Calibri"/>
          <w:noProof/>
        </w:rPr>
        <w:t>(Fawcett</w:t>
      </w:r>
      <w:r w:rsidRPr="00C25D1A">
        <w:rPr>
          <w:rFonts w:eastAsia="Calibri"/>
          <w:noProof/>
        </w:rPr>
        <w:t xml:space="preserve"> </w:t>
      </w:r>
      <w:r w:rsidRPr="00D4501D">
        <w:rPr>
          <w:rFonts w:eastAsia="Calibri"/>
          <w:i/>
          <w:noProof/>
        </w:rPr>
        <w:t>et al</w:t>
      </w:r>
      <w:r>
        <w:rPr>
          <w:rFonts w:eastAsia="Calibri"/>
          <w:noProof/>
        </w:rPr>
        <w:t>.</w:t>
      </w:r>
      <w:r w:rsidRPr="00C25D1A">
        <w:rPr>
          <w:rFonts w:eastAsia="Calibri"/>
          <w:noProof/>
        </w:rPr>
        <w:t>, 2010)</w:t>
      </w:r>
      <w:r w:rsidRPr="00C25D1A">
        <w:rPr>
          <w:rFonts w:eastAsia="Calibri"/>
        </w:rPr>
        <w:t>.</w:t>
      </w:r>
    </w:p>
    <w:p w:rsidR="00920BE8" w:rsidRPr="00C25D1A" w:rsidRDefault="00920BE8" w:rsidP="00920BE8">
      <w:pPr>
        <w:pStyle w:val="Text"/>
        <w:rPr>
          <w:rFonts w:eastAsia="Calibri"/>
        </w:rPr>
      </w:pPr>
      <w:r>
        <w:rPr>
          <w:rFonts w:eastAsia="Calibri"/>
        </w:rPr>
        <w:tab/>
        <w:t>Besides</w:t>
      </w:r>
      <w:r w:rsidRPr="00C25D1A">
        <w:rPr>
          <w:rFonts w:eastAsia="Calibri"/>
        </w:rPr>
        <w:t xml:space="preserve"> </w:t>
      </w:r>
      <w:r>
        <w:rPr>
          <w:rFonts w:eastAsia="Calibri"/>
        </w:rPr>
        <w:t xml:space="preserve">being </w:t>
      </w:r>
      <w:r w:rsidRPr="00C25D1A">
        <w:rPr>
          <w:rFonts w:eastAsia="Calibri"/>
        </w:rPr>
        <w:t>a fight for personal control and independence, th</w:t>
      </w:r>
      <w:r>
        <w:rPr>
          <w:rFonts w:eastAsia="Calibri"/>
        </w:rPr>
        <w:t>e</w:t>
      </w:r>
      <w:r w:rsidRPr="00C25D1A">
        <w:rPr>
          <w:rFonts w:eastAsia="Calibri"/>
        </w:rPr>
        <w:t xml:space="preserve"> transition period to adulthood is characterized by high-risk sexual interactions </w:t>
      </w:r>
      <w:r>
        <w:rPr>
          <w:rFonts w:eastAsia="Calibri"/>
          <w:noProof/>
        </w:rPr>
        <w:t>(</w:t>
      </w:r>
      <w:r w:rsidRPr="00C25D1A">
        <w:rPr>
          <w:rFonts w:eastAsia="Calibri"/>
          <w:noProof/>
        </w:rPr>
        <w:t>Fatusi &amp; Hindin, 2010</w:t>
      </w:r>
      <w:r>
        <w:rPr>
          <w:rFonts w:eastAsia="Calibri"/>
          <w:noProof/>
        </w:rPr>
        <w:t>; Epstein</w:t>
      </w:r>
      <w:r w:rsidRPr="00C25D1A">
        <w:rPr>
          <w:rFonts w:eastAsia="Calibri"/>
          <w:noProof/>
        </w:rPr>
        <w:t xml:space="preserve"> </w:t>
      </w:r>
      <w:r w:rsidRPr="00D4501D">
        <w:rPr>
          <w:rFonts w:eastAsia="Calibri"/>
          <w:i/>
          <w:noProof/>
        </w:rPr>
        <w:t>et al</w:t>
      </w:r>
      <w:r>
        <w:rPr>
          <w:rFonts w:eastAsia="Calibri"/>
          <w:noProof/>
        </w:rPr>
        <w:t>., 2014</w:t>
      </w:r>
      <w:r w:rsidRPr="00C25D1A">
        <w:rPr>
          <w:rFonts w:eastAsia="Calibri"/>
          <w:noProof/>
        </w:rPr>
        <w:t>)</w:t>
      </w:r>
      <w:r w:rsidRPr="00C25D1A">
        <w:rPr>
          <w:rFonts w:eastAsia="Calibri"/>
        </w:rPr>
        <w:t>.</w:t>
      </w:r>
      <w:r>
        <w:rPr>
          <w:rFonts w:eastAsia="Calibri"/>
        </w:rPr>
        <w:t xml:space="preserve"> The t</w:t>
      </w:r>
      <w:r w:rsidRPr="00C25D1A">
        <w:rPr>
          <w:rFonts w:eastAsia="Calibri"/>
        </w:rPr>
        <w:t xml:space="preserve">raditional norm in </w:t>
      </w:r>
      <w:r>
        <w:rPr>
          <w:rFonts w:eastAsia="Calibri"/>
        </w:rPr>
        <w:t>African countries</w:t>
      </w:r>
      <w:r w:rsidRPr="00C25D1A">
        <w:rPr>
          <w:rFonts w:eastAsia="Calibri"/>
        </w:rPr>
        <w:t xml:space="preserve">, </w:t>
      </w:r>
      <w:r>
        <w:rPr>
          <w:rFonts w:eastAsia="Calibri"/>
        </w:rPr>
        <w:t xml:space="preserve">including </w:t>
      </w:r>
      <w:r w:rsidRPr="00C25D1A">
        <w:rPr>
          <w:rFonts w:eastAsia="Calibri"/>
        </w:rPr>
        <w:t xml:space="preserve">Nigeria, </w:t>
      </w:r>
      <w:r>
        <w:rPr>
          <w:rFonts w:eastAsia="Calibri"/>
        </w:rPr>
        <w:t>is to forbid</w:t>
      </w:r>
      <w:r w:rsidRPr="00C25D1A">
        <w:rPr>
          <w:rFonts w:eastAsia="Calibri"/>
        </w:rPr>
        <w:t xml:space="preserve"> premarital sex until entry into marital union</w:t>
      </w:r>
      <w:r>
        <w:rPr>
          <w:rFonts w:eastAsia="Calibri"/>
        </w:rPr>
        <w:t>,</w:t>
      </w:r>
      <w:r w:rsidRPr="00C25D1A">
        <w:rPr>
          <w:rFonts w:eastAsia="Calibri"/>
        </w:rPr>
        <w:t xml:space="preserve"> but the norm seems to have fizzled out in most </w:t>
      </w:r>
      <w:r>
        <w:rPr>
          <w:rFonts w:eastAsia="Calibri"/>
        </w:rPr>
        <w:t xml:space="preserve">Nigerian </w:t>
      </w:r>
      <w:r w:rsidRPr="00C25D1A">
        <w:rPr>
          <w:rFonts w:eastAsia="Calibri"/>
        </w:rPr>
        <w:t xml:space="preserve">societies </w:t>
      </w:r>
      <w:r w:rsidRPr="00C25D1A">
        <w:rPr>
          <w:rFonts w:eastAsia="Calibri"/>
          <w:noProof/>
        </w:rPr>
        <w:t>(Okonofua, 2000</w:t>
      </w:r>
      <w:r>
        <w:rPr>
          <w:rFonts w:eastAsia="Calibri"/>
          <w:noProof/>
        </w:rPr>
        <w:t>; Ogunjuyigbe &amp; Adepoju, 2014</w:t>
      </w:r>
      <w:r w:rsidRPr="00C25D1A">
        <w:rPr>
          <w:rFonts w:eastAsia="Calibri"/>
          <w:noProof/>
        </w:rPr>
        <w:t>)</w:t>
      </w:r>
      <w:r w:rsidRPr="00C25D1A">
        <w:rPr>
          <w:rFonts w:eastAsia="Calibri"/>
        </w:rPr>
        <w:t xml:space="preserve">. The reason may be </w:t>
      </w:r>
      <w:r>
        <w:rPr>
          <w:rFonts w:eastAsia="Calibri"/>
        </w:rPr>
        <w:t xml:space="preserve">that </w:t>
      </w:r>
      <w:r w:rsidRPr="00C25D1A">
        <w:rPr>
          <w:rFonts w:eastAsia="Calibri"/>
        </w:rPr>
        <w:t xml:space="preserve">traditional family and community support is no longer available or unable to cope with rapidly changing </w:t>
      </w:r>
      <w:r>
        <w:rPr>
          <w:rFonts w:eastAsia="Calibri"/>
        </w:rPr>
        <w:t xml:space="preserve">societal </w:t>
      </w:r>
      <w:r w:rsidRPr="00C25D1A">
        <w:rPr>
          <w:rFonts w:eastAsia="Calibri"/>
        </w:rPr>
        <w:t xml:space="preserve">realities </w:t>
      </w:r>
      <w:r w:rsidRPr="00C25D1A">
        <w:rPr>
          <w:rFonts w:eastAsia="Calibri"/>
          <w:noProof/>
        </w:rPr>
        <w:t>(Ogunjuyigbe &amp; Adepoju, 2014)</w:t>
      </w:r>
      <w:r w:rsidRPr="00C25D1A">
        <w:rPr>
          <w:rFonts w:eastAsia="Calibri"/>
        </w:rPr>
        <w:t xml:space="preserve">. Invariably, there </w:t>
      </w:r>
      <w:r>
        <w:rPr>
          <w:rFonts w:eastAsia="Calibri"/>
        </w:rPr>
        <w:t xml:space="preserve">has been a </w:t>
      </w:r>
      <w:r w:rsidRPr="00C25D1A">
        <w:rPr>
          <w:rFonts w:eastAsia="Calibri"/>
        </w:rPr>
        <w:t>gradual extinction of family connectedness and/or parental disapproval of premarital sex.</w:t>
      </w:r>
    </w:p>
    <w:p w:rsidR="00920BE8" w:rsidRPr="00C25D1A" w:rsidRDefault="00920BE8" w:rsidP="00920BE8">
      <w:pPr>
        <w:pStyle w:val="Text"/>
        <w:rPr>
          <w:rFonts w:eastAsia="Calibri"/>
        </w:rPr>
      </w:pPr>
      <w:r>
        <w:rPr>
          <w:rFonts w:eastAsia="Calibri"/>
        </w:rPr>
        <w:tab/>
      </w:r>
      <w:r w:rsidRPr="00C25D1A">
        <w:rPr>
          <w:rFonts w:eastAsia="Calibri"/>
        </w:rPr>
        <w:t xml:space="preserve">Previous studies </w:t>
      </w:r>
      <w:r>
        <w:rPr>
          <w:rFonts w:eastAsia="Calibri"/>
        </w:rPr>
        <w:t>in</w:t>
      </w:r>
      <w:r w:rsidRPr="00C25D1A">
        <w:rPr>
          <w:rFonts w:eastAsia="Calibri"/>
        </w:rPr>
        <w:t xml:space="preserve"> Ethiopia and China have shown that a sub-set of </w:t>
      </w:r>
      <w:r>
        <w:rPr>
          <w:rFonts w:eastAsia="Calibri"/>
        </w:rPr>
        <w:t>young people</w:t>
      </w:r>
      <w:r w:rsidRPr="00C25D1A">
        <w:rPr>
          <w:rFonts w:eastAsia="Calibri"/>
        </w:rPr>
        <w:t xml:space="preserve"> may be more predisposed to increased sexual activit</w:t>
      </w:r>
      <w:r>
        <w:rPr>
          <w:rFonts w:eastAsia="Calibri"/>
        </w:rPr>
        <w:t>y</w:t>
      </w:r>
      <w:r w:rsidRPr="00C25D1A">
        <w:rPr>
          <w:rFonts w:eastAsia="Calibri"/>
        </w:rPr>
        <w:t xml:space="preserve"> and ris</w:t>
      </w:r>
      <w:r>
        <w:rPr>
          <w:rFonts w:eastAsia="Calibri"/>
        </w:rPr>
        <w:t>ky sexual behavior than others</w:t>
      </w:r>
      <w:r w:rsidRPr="00C25D1A">
        <w:rPr>
          <w:rFonts w:eastAsia="Calibri"/>
        </w:rPr>
        <w:t xml:space="preserve"> </w:t>
      </w:r>
      <w:r w:rsidRPr="00C25D1A">
        <w:rPr>
          <w:rFonts w:eastAsia="Calibri"/>
          <w:noProof/>
        </w:rPr>
        <w:t>(</w:t>
      </w:r>
      <w:r>
        <w:rPr>
          <w:rFonts w:eastAsia="Calibri"/>
          <w:noProof/>
        </w:rPr>
        <w:t>Taffa</w:t>
      </w:r>
      <w:r w:rsidRPr="00C25D1A">
        <w:rPr>
          <w:rFonts w:eastAsia="Calibri"/>
          <w:noProof/>
        </w:rPr>
        <w:t xml:space="preserve"> </w:t>
      </w:r>
      <w:r w:rsidRPr="00D4501D">
        <w:rPr>
          <w:rFonts w:eastAsia="Calibri"/>
          <w:i/>
          <w:noProof/>
        </w:rPr>
        <w:t>et al</w:t>
      </w:r>
      <w:r>
        <w:rPr>
          <w:rFonts w:eastAsia="Calibri"/>
          <w:noProof/>
        </w:rPr>
        <w:t>.</w:t>
      </w:r>
      <w:r w:rsidRPr="00C25D1A">
        <w:rPr>
          <w:rFonts w:eastAsia="Calibri"/>
          <w:noProof/>
        </w:rPr>
        <w:t>, 2002</w:t>
      </w:r>
      <w:r>
        <w:rPr>
          <w:rFonts w:eastAsia="Calibri"/>
          <w:noProof/>
        </w:rPr>
        <w:t>;</w:t>
      </w:r>
      <w:r w:rsidRPr="00D4501D">
        <w:rPr>
          <w:rFonts w:eastAsia="Calibri"/>
          <w:noProof/>
        </w:rPr>
        <w:t xml:space="preserve"> </w:t>
      </w:r>
      <w:r w:rsidRPr="00C25D1A">
        <w:rPr>
          <w:rFonts w:eastAsia="Calibri"/>
          <w:noProof/>
        </w:rPr>
        <w:t xml:space="preserve">Kebede </w:t>
      </w:r>
      <w:r w:rsidRPr="00824F90">
        <w:rPr>
          <w:rFonts w:eastAsia="Calibri"/>
          <w:i/>
          <w:noProof/>
        </w:rPr>
        <w:t>et al</w:t>
      </w:r>
      <w:r w:rsidRPr="00C25D1A">
        <w:rPr>
          <w:rFonts w:eastAsia="Calibri"/>
          <w:noProof/>
        </w:rPr>
        <w:t>., 2005)</w:t>
      </w:r>
      <w:r w:rsidRPr="00C25D1A">
        <w:rPr>
          <w:rFonts w:eastAsia="Calibri"/>
        </w:rPr>
        <w:t xml:space="preserve">. It has been argued that </w:t>
      </w:r>
      <w:r>
        <w:rPr>
          <w:rFonts w:eastAsia="Calibri"/>
        </w:rPr>
        <w:t>young people who have dropped out of school/college</w:t>
      </w:r>
      <w:r w:rsidRPr="00C25D1A">
        <w:rPr>
          <w:rFonts w:eastAsia="Calibri"/>
        </w:rPr>
        <w:t xml:space="preserve"> have more opportunities to engage in sexual activit</w:t>
      </w:r>
      <w:r>
        <w:rPr>
          <w:rFonts w:eastAsia="Calibri"/>
        </w:rPr>
        <w:t>y</w:t>
      </w:r>
      <w:r w:rsidRPr="00C25D1A">
        <w:rPr>
          <w:rFonts w:eastAsia="Calibri"/>
        </w:rPr>
        <w:t xml:space="preserve"> as their social life exists in an en</w:t>
      </w:r>
      <w:r>
        <w:rPr>
          <w:rFonts w:eastAsia="Calibri"/>
        </w:rPr>
        <w:t>vironment that is more relaxed:</w:t>
      </w:r>
      <w:r w:rsidRPr="00C25D1A">
        <w:rPr>
          <w:rFonts w:eastAsia="Calibri"/>
        </w:rPr>
        <w:t xml:space="preserve"> no lectures to attend, no assignment</w:t>
      </w:r>
      <w:r>
        <w:rPr>
          <w:rFonts w:eastAsia="Calibri"/>
        </w:rPr>
        <w:t>s</w:t>
      </w:r>
      <w:r w:rsidRPr="00C25D1A">
        <w:rPr>
          <w:rFonts w:eastAsia="Calibri"/>
        </w:rPr>
        <w:t xml:space="preserve"> and no pending examinations </w:t>
      </w:r>
      <w:r w:rsidRPr="00C25D1A">
        <w:rPr>
          <w:rFonts w:eastAsia="Calibri"/>
          <w:noProof/>
        </w:rPr>
        <w:t xml:space="preserve">(Wang </w:t>
      </w:r>
      <w:r w:rsidRPr="00A35295">
        <w:rPr>
          <w:rFonts w:eastAsia="Calibri"/>
          <w:i/>
          <w:noProof/>
        </w:rPr>
        <w:t>et al</w:t>
      </w:r>
      <w:r w:rsidRPr="00C25D1A">
        <w:rPr>
          <w:rFonts w:eastAsia="Calibri"/>
          <w:noProof/>
        </w:rPr>
        <w:t>., 2007)</w:t>
      </w:r>
      <w:r w:rsidRPr="00C25D1A">
        <w:rPr>
          <w:rFonts w:eastAsia="Calibri"/>
        </w:rPr>
        <w:t xml:space="preserve">. Incidentally, this group has not received appropriate research attention in </w:t>
      </w:r>
      <w:r>
        <w:rPr>
          <w:rFonts w:eastAsia="Calibri"/>
        </w:rPr>
        <w:t>Nigerian</w:t>
      </w:r>
      <w:r w:rsidRPr="00C25D1A">
        <w:rPr>
          <w:rFonts w:eastAsia="Calibri"/>
        </w:rPr>
        <w:t xml:space="preserve"> society as most studies have focused on in-school youths.</w:t>
      </w:r>
    </w:p>
    <w:p w:rsidR="00920BE8" w:rsidRPr="00C25D1A" w:rsidRDefault="00920BE8" w:rsidP="00920BE8">
      <w:pPr>
        <w:pStyle w:val="Text"/>
        <w:rPr>
          <w:rFonts w:eastAsia="Calibri"/>
        </w:rPr>
      </w:pPr>
      <w:r>
        <w:rPr>
          <w:rFonts w:eastAsia="Calibri"/>
        </w:rPr>
        <w:tab/>
      </w:r>
      <w:r w:rsidRPr="00C25D1A">
        <w:rPr>
          <w:rFonts w:eastAsia="Calibri"/>
        </w:rPr>
        <w:t xml:space="preserve">Key to the future course of </w:t>
      </w:r>
      <w:r>
        <w:rPr>
          <w:rFonts w:eastAsia="Calibri"/>
        </w:rPr>
        <w:t xml:space="preserve">the </w:t>
      </w:r>
      <w:r w:rsidRPr="00C25D1A">
        <w:rPr>
          <w:rFonts w:eastAsia="Calibri"/>
        </w:rPr>
        <w:t xml:space="preserve">HIV </w:t>
      </w:r>
      <w:r>
        <w:rPr>
          <w:rFonts w:eastAsia="Calibri"/>
        </w:rPr>
        <w:t>pand</w:t>
      </w:r>
      <w:r w:rsidRPr="00C25D1A">
        <w:rPr>
          <w:rFonts w:eastAsia="Calibri"/>
        </w:rPr>
        <w:t xml:space="preserve">emic </w:t>
      </w:r>
      <w:r>
        <w:rPr>
          <w:rFonts w:eastAsia="Calibri"/>
        </w:rPr>
        <w:t>are</w:t>
      </w:r>
      <w:r w:rsidRPr="00C25D1A">
        <w:rPr>
          <w:rFonts w:eastAsia="Calibri"/>
        </w:rPr>
        <w:t xml:space="preserve"> young people. </w:t>
      </w:r>
      <w:r>
        <w:rPr>
          <w:rFonts w:eastAsia="Calibri"/>
        </w:rPr>
        <w:t>Those between the ages of 15 and 24 years account for 42% of new infections in people aged 15 and older,</w:t>
      </w:r>
      <w:r w:rsidRPr="00C25D1A">
        <w:rPr>
          <w:rFonts w:eastAsia="Calibri"/>
        </w:rPr>
        <w:t xml:space="preserve"> and nearly 80% of young people affected by HIV live in sub-Saharan Africa </w:t>
      </w:r>
      <w:r w:rsidRPr="00C25D1A">
        <w:rPr>
          <w:rFonts w:eastAsia="Calibri"/>
          <w:noProof/>
        </w:rPr>
        <w:t>(USAID, 2012)</w:t>
      </w:r>
      <w:r>
        <w:rPr>
          <w:rFonts w:eastAsia="Calibri"/>
        </w:rPr>
        <w:t>. A</w:t>
      </w:r>
      <w:r w:rsidRPr="00C25D1A">
        <w:rPr>
          <w:rFonts w:eastAsia="Calibri"/>
        </w:rPr>
        <w:t xml:space="preserve"> careful understanding of the sexual behavioural dynamics among the more vulnerable </w:t>
      </w:r>
      <w:r>
        <w:rPr>
          <w:rFonts w:eastAsia="Calibri"/>
        </w:rPr>
        <w:t>school/college drop-out</w:t>
      </w:r>
      <w:r w:rsidRPr="00C25D1A">
        <w:rPr>
          <w:rFonts w:eastAsia="Calibri"/>
        </w:rPr>
        <w:t xml:space="preserve"> subset </w:t>
      </w:r>
      <w:r>
        <w:rPr>
          <w:rFonts w:eastAsia="Calibri"/>
        </w:rPr>
        <w:t xml:space="preserve">in Nigeria </w:t>
      </w:r>
      <w:r w:rsidRPr="00C25D1A">
        <w:rPr>
          <w:rFonts w:eastAsia="Calibri"/>
        </w:rPr>
        <w:t>i</w:t>
      </w:r>
      <w:r>
        <w:rPr>
          <w:rFonts w:eastAsia="Calibri"/>
        </w:rPr>
        <w:t>s therefore essential. This may lead to better</w:t>
      </w:r>
      <w:r w:rsidRPr="00C25D1A">
        <w:rPr>
          <w:rFonts w:eastAsia="Calibri"/>
        </w:rPr>
        <w:t>-targeted reproductive health program</w:t>
      </w:r>
      <w:r>
        <w:rPr>
          <w:rFonts w:eastAsia="Calibri"/>
        </w:rPr>
        <w:t>me</w:t>
      </w:r>
      <w:r w:rsidRPr="00C25D1A">
        <w:rPr>
          <w:rFonts w:eastAsia="Calibri"/>
        </w:rPr>
        <w:t>s that can positively impact on curbing sexually transmitted infections (STIs)</w:t>
      </w:r>
      <w:r>
        <w:rPr>
          <w:rFonts w:eastAsia="Calibri"/>
        </w:rPr>
        <w:t>,</w:t>
      </w:r>
      <w:r w:rsidRPr="00C25D1A">
        <w:rPr>
          <w:rFonts w:eastAsia="Calibri"/>
        </w:rPr>
        <w:t xml:space="preserve"> including HIV/AIDS</w:t>
      </w:r>
      <w:r>
        <w:rPr>
          <w:rFonts w:eastAsia="Calibri"/>
        </w:rPr>
        <w:t>,</w:t>
      </w:r>
      <w:r w:rsidRPr="00C25D1A">
        <w:rPr>
          <w:rFonts w:eastAsia="Calibri"/>
        </w:rPr>
        <w:t xml:space="preserve"> and prevent unwanted pregnancies. Therefore, this </w:t>
      </w:r>
      <w:r>
        <w:rPr>
          <w:rFonts w:eastAsia="Calibri"/>
        </w:rPr>
        <w:t>study</w:t>
      </w:r>
      <w:r w:rsidRPr="00C25D1A">
        <w:rPr>
          <w:rFonts w:eastAsia="Calibri"/>
        </w:rPr>
        <w:t xml:space="preserve"> aim</w:t>
      </w:r>
      <w:r>
        <w:rPr>
          <w:rFonts w:eastAsia="Calibri"/>
        </w:rPr>
        <w:t>ed</w:t>
      </w:r>
      <w:r w:rsidRPr="00C25D1A">
        <w:rPr>
          <w:rFonts w:eastAsia="Calibri"/>
        </w:rPr>
        <w:t xml:space="preserve"> to characterize the prevalence of premarital sex, associated contraceptive use and contributing family upbringing factors </w:t>
      </w:r>
      <w:r w:rsidRPr="00633716">
        <w:rPr>
          <w:rFonts w:eastAsia="Calibri"/>
        </w:rPr>
        <w:t xml:space="preserve">among </w:t>
      </w:r>
      <w:r>
        <w:rPr>
          <w:rFonts w:eastAsia="Calibri"/>
        </w:rPr>
        <w:t xml:space="preserve">school and college drop-outs </w:t>
      </w:r>
      <w:r w:rsidRPr="00633716">
        <w:rPr>
          <w:rFonts w:eastAsia="Calibri"/>
        </w:rPr>
        <w:t>in a</w:t>
      </w:r>
      <w:r w:rsidRPr="00C25D1A">
        <w:rPr>
          <w:rFonts w:eastAsia="Calibri"/>
        </w:rPr>
        <w:t xml:space="preserve"> defined Nigerian population.</w:t>
      </w:r>
    </w:p>
    <w:p w:rsidR="00920BE8" w:rsidRPr="00C25D1A" w:rsidRDefault="00920BE8" w:rsidP="00920BE8">
      <w:pPr>
        <w:pStyle w:val="Heading1"/>
        <w:rPr>
          <w:rFonts w:eastAsia="Calibri"/>
        </w:rPr>
      </w:pPr>
      <w:r w:rsidRPr="00C25D1A">
        <w:rPr>
          <w:rFonts w:eastAsia="Calibri"/>
        </w:rPr>
        <w:t>Method</w:t>
      </w:r>
      <w:r>
        <w:rPr>
          <w:rFonts w:eastAsia="Calibri"/>
        </w:rPr>
        <w:t>s</w:t>
      </w:r>
    </w:p>
    <w:p w:rsidR="00920BE8" w:rsidRPr="00D80CF4" w:rsidRDefault="00920BE8" w:rsidP="00920BE8">
      <w:pPr>
        <w:pStyle w:val="Text"/>
        <w:rPr>
          <w:rFonts w:eastAsia="Calibri"/>
        </w:rPr>
      </w:pPr>
      <w:r>
        <w:rPr>
          <w:rFonts w:eastAsia="Calibri"/>
        </w:rPr>
        <w:t>This cross-sectional, community-</w:t>
      </w:r>
      <w:r w:rsidRPr="00C25D1A">
        <w:rPr>
          <w:rFonts w:eastAsia="Calibri"/>
        </w:rPr>
        <w:t>based survey was carried out in Ado-Ekiti, south</w:t>
      </w:r>
      <w:r>
        <w:rPr>
          <w:rFonts w:eastAsia="Calibri"/>
        </w:rPr>
        <w:t>-west Nigeria, in April</w:t>
      </w:r>
      <w:r w:rsidRPr="00C25D1A">
        <w:rPr>
          <w:rFonts w:eastAsia="Calibri"/>
        </w:rPr>
        <w:t xml:space="preserve"> 2015. Ado Ekiti </w:t>
      </w:r>
      <w:r>
        <w:rPr>
          <w:rFonts w:eastAsia="Calibri"/>
        </w:rPr>
        <w:t>is</w:t>
      </w:r>
      <w:r w:rsidRPr="00C25D1A">
        <w:rPr>
          <w:rFonts w:eastAsia="Calibri"/>
        </w:rPr>
        <w:t xml:space="preserve"> the capital city of E</w:t>
      </w:r>
      <w:r>
        <w:rPr>
          <w:rFonts w:eastAsia="Calibri"/>
        </w:rPr>
        <w:t>kiti State;</w:t>
      </w:r>
      <w:r w:rsidRPr="00C25D1A">
        <w:rPr>
          <w:rFonts w:eastAsia="Calibri"/>
        </w:rPr>
        <w:t xml:space="preserve"> it covers an area of 293 </w:t>
      </w:r>
      <w:r>
        <w:rPr>
          <w:rFonts w:eastAsia="Calibri"/>
        </w:rPr>
        <w:t>km</w:t>
      </w:r>
      <w:r w:rsidRPr="00A35295">
        <w:rPr>
          <w:rFonts w:eastAsia="Calibri"/>
          <w:vertAlign w:val="superscript"/>
        </w:rPr>
        <w:t>2</w:t>
      </w:r>
      <w:r w:rsidRPr="00C25D1A">
        <w:rPr>
          <w:rFonts w:eastAsia="Calibri"/>
        </w:rPr>
        <w:t xml:space="preserve"> and has a population of 313</w:t>
      </w:r>
      <w:r>
        <w:rPr>
          <w:rFonts w:eastAsia="Calibri"/>
        </w:rPr>
        <w:t xml:space="preserve">,690 based on the 2006 census. </w:t>
      </w:r>
      <w:r w:rsidRPr="00C25D1A">
        <w:rPr>
          <w:rFonts w:eastAsia="Calibri"/>
        </w:rPr>
        <w:t xml:space="preserve">The inhabitants are mostly </w:t>
      </w:r>
      <w:r>
        <w:rPr>
          <w:rFonts w:eastAsia="Calibri"/>
        </w:rPr>
        <w:t xml:space="preserve">of the </w:t>
      </w:r>
      <w:r w:rsidRPr="00C25D1A">
        <w:rPr>
          <w:rFonts w:eastAsia="Calibri"/>
        </w:rPr>
        <w:t>Yorub</w:t>
      </w:r>
      <w:r w:rsidRPr="00D80CF4">
        <w:rPr>
          <w:rFonts w:eastAsia="Calibri"/>
        </w:rPr>
        <w:t xml:space="preserve">a ethnic group and about 55% of them are engaged in trading or farming. The target group were young people who had dropped out of school or college. Since in Nigeria ‘youth’ are defined as persons between the ages of 15 and 35 years, based on the African Youth Charter definition </w:t>
      </w:r>
      <w:r w:rsidRPr="00D80CF4">
        <w:rPr>
          <w:rFonts w:eastAsia="Calibri"/>
          <w:noProof/>
        </w:rPr>
        <w:t>(African Union Commission, 2006)</w:t>
      </w:r>
      <w:r w:rsidRPr="00D80CF4">
        <w:rPr>
          <w:rFonts w:eastAsia="Calibri"/>
        </w:rPr>
        <w:t>, the study targeted young people between the ages of 15 and 35 years who had at some point dropped out of school/college and who were still unmarried. Those engaged in formal commercial sex work were excluded from the study.</w:t>
      </w:r>
    </w:p>
    <w:p w:rsidR="00920BE8" w:rsidRPr="00C25D1A" w:rsidRDefault="00920BE8" w:rsidP="00920BE8">
      <w:pPr>
        <w:pStyle w:val="Text"/>
        <w:rPr>
          <w:rFonts w:eastAsia="Calibri"/>
        </w:rPr>
      </w:pPr>
      <w:r w:rsidRPr="00D80CF4">
        <w:rPr>
          <w:rFonts w:eastAsia="Calibri"/>
        </w:rPr>
        <w:tab/>
        <w:t xml:space="preserve">A multistage sampling method was used. Ado Ekiti has thirteen political wards; three wards were selected by balloting. A national immunization template of streets, houses and household listings for the selected wards were obtained </w:t>
      </w:r>
      <w:r w:rsidRPr="00D80CF4">
        <w:rPr>
          <w:rFonts w:eastAsia="Calibri"/>
        </w:rPr>
        <w:lastRenderedPageBreak/>
        <w:t>with the assistance of the local government. For each of these three wards four streets w</w:t>
      </w:r>
      <w:r>
        <w:rPr>
          <w:rFonts w:eastAsia="Calibri"/>
        </w:rPr>
        <w:t>ere selected</w:t>
      </w:r>
      <w:r w:rsidRPr="00C25D1A">
        <w:rPr>
          <w:rFonts w:eastAsia="Calibri"/>
        </w:rPr>
        <w:t xml:space="preserve"> by balloting. The houses/shops in the selected streets were listed and sampled using a sim</w:t>
      </w:r>
      <w:r>
        <w:rPr>
          <w:rFonts w:eastAsia="Calibri"/>
        </w:rPr>
        <w:t xml:space="preserve">ple random sampling technique. </w:t>
      </w:r>
      <w:r w:rsidRPr="00C25D1A">
        <w:rPr>
          <w:rFonts w:eastAsia="Calibri"/>
        </w:rPr>
        <w:t xml:space="preserve">All eligible, consenting </w:t>
      </w:r>
      <w:r>
        <w:rPr>
          <w:rFonts w:eastAsia="Calibri"/>
        </w:rPr>
        <w:t>young people</w:t>
      </w:r>
      <w:r w:rsidRPr="00C25D1A">
        <w:rPr>
          <w:rFonts w:eastAsia="Calibri"/>
        </w:rPr>
        <w:t xml:space="preserve"> who resided in the selected houses/shops were interviewed. </w:t>
      </w:r>
      <w:r>
        <w:rPr>
          <w:rFonts w:eastAsia="Calibri"/>
        </w:rPr>
        <w:t>Interview were</w:t>
      </w:r>
      <w:r w:rsidRPr="00C25D1A">
        <w:rPr>
          <w:rFonts w:eastAsia="Calibri"/>
        </w:rPr>
        <w:t xml:space="preserve"> conducted privately, ensuring no other adult was </w:t>
      </w:r>
      <w:r>
        <w:rPr>
          <w:rFonts w:eastAsia="Calibri"/>
        </w:rPr>
        <w:t>present, and that none could overhear</w:t>
      </w:r>
      <w:r w:rsidRPr="00C25D1A">
        <w:rPr>
          <w:rFonts w:eastAsia="Calibri"/>
        </w:rPr>
        <w:t xml:space="preserve"> the interview conversation.</w:t>
      </w:r>
    </w:p>
    <w:p w:rsidR="00920BE8" w:rsidRPr="00C25D1A" w:rsidRDefault="00920BE8" w:rsidP="00920BE8">
      <w:pPr>
        <w:pStyle w:val="Text"/>
        <w:rPr>
          <w:rFonts w:eastAsia="Calibri"/>
        </w:rPr>
      </w:pPr>
      <w:r>
        <w:rPr>
          <w:rFonts w:eastAsia="Calibri"/>
        </w:rPr>
        <w:tab/>
      </w:r>
      <w:r w:rsidRPr="00C25D1A">
        <w:rPr>
          <w:rFonts w:eastAsia="Calibri"/>
        </w:rPr>
        <w:t xml:space="preserve">The research instrument used for data collection was a pre-tested semi-structured questionnaire </w:t>
      </w:r>
      <w:r>
        <w:rPr>
          <w:rFonts w:eastAsia="Calibri"/>
        </w:rPr>
        <w:t>that</w:t>
      </w:r>
      <w:r w:rsidRPr="00C25D1A">
        <w:rPr>
          <w:rFonts w:eastAsia="Calibri"/>
        </w:rPr>
        <w:t xml:space="preserve"> </w:t>
      </w:r>
      <w:r>
        <w:rPr>
          <w:rFonts w:eastAsia="Calibri"/>
        </w:rPr>
        <w:t>elicit</w:t>
      </w:r>
      <w:r w:rsidRPr="00C25D1A">
        <w:rPr>
          <w:rFonts w:eastAsia="Calibri"/>
        </w:rPr>
        <w:t xml:space="preserve">ed information on </w:t>
      </w:r>
      <w:r>
        <w:rPr>
          <w:rFonts w:eastAsia="Calibri"/>
        </w:rPr>
        <w:t xml:space="preserve">the </w:t>
      </w:r>
      <w:r w:rsidRPr="00C25D1A">
        <w:rPr>
          <w:rFonts w:eastAsia="Calibri"/>
        </w:rPr>
        <w:t xml:space="preserve">socio-demographic characteristics of </w:t>
      </w:r>
      <w:r>
        <w:rPr>
          <w:rFonts w:eastAsia="Calibri"/>
        </w:rPr>
        <w:t xml:space="preserve">the respondents, their </w:t>
      </w:r>
      <w:r w:rsidRPr="00C25D1A">
        <w:rPr>
          <w:rFonts w:eastAsia="Calibri"/>
        </w:rPr>
        <w:t xml:space="preserve">family structure and upbringing factors, sexual experience and contraceptive practices. </w:t>
      </w:r>
      <w:r w:rsidRPr="00C25D1A">
        <w:t xml:space="preserve">A face-to-face interview was conducted to obtain the needed information </w:t>
      </w:r>
      <w:r w:rsidRPr="00C25D1A">
        <w:rPr>
          <w:rFonts w:eastAsia="Calibri"/>
        </w:rPr>
        <w:t xml:space="preserve">by trained interviewers stratified by gender after </w:t>
      </w:r>
      <w:r>
        <w:rPr>
          <w:rFonts w:eastAsia="Calibri"/>
        </w:rPr>
        <w:t xml:space="preserve">the </w:t>
      </w:r>
      <w:r w:rsidRPr="00C25D1A">
        <w:rPr>
          <w:rFonts w:eastAsia="Calibri"/>
        </w:rPr>
        <w:t>informed consent</w:t>
      </w:r>
      <w:r>
        <w:rPr>
          <w:rFonts w:eastAsia="Calibri"/>
        </w:rPr>
        <w:t xml:space="preserve"> of the respondents had been obtained</w:t>
      </w:r>
      <w:r w:rsidRPr="00C25D1A">
        <w:rPr>
          <w:rFonts w:eastAsia="Calibri"/>
        </w:rPr>
        <w:t xml:space="preserve">. The trained interviewers explained each question in the questionnaire to the respondents before they gave anonymous responses. </w:t>
      </w:r>
      <w:r>
        <w:rPr>
          <w:rFonts w:eastAsia="Calibri"/>
        </w:rPr>
        <w:t>A d</w:t>
      </w:r>
      <w:r w:rsidRPr="00C25D1A">
        <w:rPr>
          <w:rFonts w:eastAsia="Calibri"/>
        </w:rPr>
        <w:t xml:space="preserve">aily review of </w:t>
      </w:r>
      <w:r>
        <w:rPr>
          <w:rFonts w:eastAsia="Calibri"/>
        </w:rPr>
        <w:t xml:space="preserve">the </w:t>
      </w:r>
      <w:r w:rsidRPr="00C25D1A">
        <w:rPr>
          <w:rFonts w:eastAsia="Calibri"/>
        </w:rPr>
        <w:t xml:space="preserve">administered questionnaires was done by the authors to ensure internal consistency and accuracy until data collection was completed. </w:t>
      </w:r>
    </w:p>
    <w:p w:rsidR="00920BE8" w:rsidRPr="00C25D1A" w:rsidRDefault="00920BE8" w:rsidP="00920BE8">
      <w:pPr>
        <w:pStyle w:val="Text"/>
        <w:rPr>
          <w:rFonts w:eastAsia="Calibri"/>
        </w:rPr>
      </w:pPr>
      <w:r>
        <w:rPr>
          <w:rFonts w:eastAsia="Calibri"/>
        </w:rPr>
        <w:tab/>
      </w:r>
      <w:r w:rsidRPr="00C25D1A">
        <w:rPr>
          <w:rFonts w:eastAsia="Calibri"/>
        </w:rPr>
        <w:t xml:space="preserve">The collected data were entered </w:t>
      </w:r>
      <w:r>
        <w:rPr>
          <w:rFonts w:eastAsia="Calibri"/>
        </w:rPr>
        <w:t xml:space="preserve">into, </w:t>
      </w:r>
      <w:r w:rsidRPr="00C25D1A">
        <w:rPr>
          <w:rFonts w:eastAsia="Calibri"/>
        </w:rPr>
        <w:t>and analy</w:t>
      </w:r>
      <w:r>
        <w:rPr>
          <w:rFonts w:eastAsia="Calibri"/>
        </w:rPr>
        <w:t>s</w:t>
      </w:r>
      <w:r w:rsidRPr="00C25D1A">
        <w:rPr>
          <w:rFonts w:eastAsia="Calibri"/>
        </w:rPr>
        <w:t>ed using</w:t>
      </w:r>
      <w:r>
        <w:rPr>
          <w:rFonts w:eastAsia="Calibri"/>
        </w:rPr>
        <w:t>,</w:t>
      </w:r>
      <w:r w:rsidRPr="00C25D1A">
        <w:rPr>
          <w:rFonts w:eastAsia="Calibri"/>
        </w:rPr>
        <w:t xml:space="preserve"> statistical software SPSS 17 (SPSS Inc., Chicago, USA). Univariate, bivariate</w:t>
      </w:r>
      <w:r>
        <w:rPr>
          <w:rFonts w:eastAsia="Calibri"/>
        </w:rPr>
        <w:t xml:space="preserve"> and logistic regression analyse</w:t>
      </w:r>
      <w:r w:rsidRPr="00C25D1A">
        <w:rPr>
          <w:rFonts w:eastAsia="Calibri"/>
        </w:rPr>
        <w:t xml:space="preserve">s were employed as appropriate for descriptive statistics and to test association between </w:t>
      </w:r>
      <w:r>
        <w:rPr>
          <w:rFonts w:eastAsia="Calibri"/>
        </w:rPr>
        <w:t xml:space="preserve">the </w:t>
      </w:r>
      <w:r w:rsidRPr="00C25D1A">
        <w:rPr>
          <w:rFonts w:eastAsia="Calibri"/>
        </w:rPr>
        <w:t xml:space="preserve">variables of interest. </w:t>
      </w:r>
      <w:r>
        <w:rPr>
          <w:rFonts w:eastAsia="Calibri"/>
        </w:rPr>
        <w:t>The l</w:t>
      </w:r>
      <w:r w:rsidRPr="00C25D1A">
        <w:rPr>
          <w:rFonts w:eastAsia="Calibri"/>
        </w:rPr>
        <w:t xml:space="preserve">evel of significance was set at </w:t>
      </w:r>
      <w:r w:rsidRPr="00FB0831">
        <w:rPr>
          <w:rFonts w:eastAsia="Calibri"/>
          <w:i/>
        </w:rPr>
        <w:t>p</w:t>
      </w:r>
      <w:r>
        <w:rPr>
          <w:rFonts w:eastAsia="Calibri"/>
        </w:rPr>
        <w:t>&lt;</w:t>
      </w:r>
      <w:r w:rsidRPr="00C25D1A">
        <w:rPr>
          <w:rFonts w:eastAsia="Calibri"/>
        </w:rPr>
        <w:t xml:space="preserve">0.05. Ethical clearance for the study was obtained from the Ekiti State University Teaching Hospital Ethics Committee. </w:t>
      </w:r>
    </w:p>
    <w:p w:rsidR="00920BE8" w:rsidRPr="00C25D1A" w:rsidRDefault="00920BE8" w:rsidP="00920BE8">
      <w:pPr>
        <w:pStyle w:val="Heading1"/>
        <w:rPr>
          <w:rFonts w:eastAsia="Calibri"/>
        </w:rPr>
      </w:pPr>
      <w:r w:rsidRPr="00C25D1A">
        <w:rPr>
          <w:rFonts w:eastAsia="Calibri"/>
        </w:rPr>
        <w:t>Results</w:t>
      </w:r>
    </w:p>
    <w:p w:rsidR="00920BE8" w:rsidRPr="00C25D1A" w:rsidRDefault="00920BE8" w:rsidP="00920BE8">
      <w:pPr>
        <w:pStyle w:val="Text"/>
        <w:rPr>
          <w:rFonts w:eastAsia="Calibri"/>
        </w:rPr>
      </w:pPr>
      <w:r>
        <w:rPr>
          <w:rFonts w:eastAsia="Calibri"/>
        </w:rPr>
        <w:t>O</w:t>
      </w:r>
      <w:r w:rsidRPr="00C25D1A">
        <w:rPr>
          <w:rFonts w:eastAsia="Calibri"/>
        </w:rPr>
        <w:t xml:space="preserve">f the 208 </w:t>
      </w:r>
      <w:r w:rsidRPr="00633716">
        <w:rPr>
          <w:rFonts w:eastAsia="Calibri"/>
        </w:rPr>
        <w:t xml:space="preserve">eligible </w:t>
      </w:r>
      <w:r>
        <w:rPr>
          <w:rFonts w:eastAsia="Calibri"/>
        </w:rPr>
        <w:t>young people</w:t>
      </w:r>
      <w:r w:rsidRPr="00633716">
        <w:rPr>
          <w:rFonts w:eastAsia="Calibri"/>
        </w:rPr>
        <w:t xml:space="preserve"> approached</w:t>
      </w:r>
      <w:r w:rsidRPr="00C25D1A">
        <w:rPr>
          <w:rFonts w:eastAsia="Calibri"/>
        </w:rPr>
        <w:t xml:space="preserve"> in the selected streets, 48 declined to participate. A total of 161 respondents were therefore successfully sampled, giving a response rate of 77.4</w:t>
      </w:r>
      <w:r>
        <w:rPr>
          <w:rFonts w:eastAsia="Calibri"/>
        </w:rPr>
        <w:t>% and analysis was based on these</w:t>
      </w:r>
      <w:r w:rsidRPr="00C25D1A">
        <w:rPr>
          <w:rFonts w:eastAsia="Calibri"/>
        </w:rPr>
        <w:t xml:space="preserve">. As shown in Table 1, 28 (17.4%) of </w:t>
      </w:r>
      <w:r>
        <w:rPr>
          <w:rFonts w:eastAsia="Calibri"/>
        </w:rPr>
        <w:t xml:space="preserve">the </w:t>
      </w:r>
      <w:r w:rsidRPr="00C25D1A">
        <w:rPr>
          <w:rFonts w:eastAsia="Calibri"/>
        </w:rPr>
        <w:t>respondents were between the ages of 15</w:t>
      </w:r>
      <w:r>
        <w:rPr>
          <w:rFonts w:eastAsia="Calibri"/>
        </w:rPr>
        <w:t xml:space="preserve"> and 20 years. Fifty-</w:t>
      </w:r>
      <w:r w:rsidRPr="00C25D1A">
        <w:rPr>
          <w:rFonts w:eastAsia="Calibri"/>
        </w:rPr>
        <w:t>three (32.9%) were 21-</w:t>
      </w:r>
      <w:r>
        <w:rPr>
          <w:rFonts w:eastAsia="Calibri"/>
        </w:rPr>
        <w:t xml:space="preserve"> to </w:t>
      </w:r>
      <w:r w:rsidRPr="00C25D1A">
        <w:rPr>
          <w:rFonts w:eastAsia="Calibri"/>
        </w:rPr>
        <w:t>25</w:t>
      </w:r>
      <w:r>
        <w:rPr>
          <w:rFonts w:eastAsia="Calibri"/>
        </w:rPr>
        <w:t>-</w:t>
      </w:r>
      <w:r w:rsidRPr="00C25D1A">
        <w:rPr>
          <w:rFonts w:eastAsia="Calibri"/>
        </w:rPr>
        <w:t>years</w:t>
      </w:r>
      <w:r>
        <w:rPr>
          <w:rFonts w:eastAsia="Calibri"/>
        </w:rPr>
        <w:t>-</w:t>
      </w:r>
      <w:r w:rsidRPr="00C25D1A">
        <w:rPr>
          <w:rFonts w:eastAsia="Calibri"/>
        </w:rPr>
        <w:t xml:space="preserve">old while 59 (36.6%) were </w:t>
      </w:r>
      <w:r>
        <w:rPr>
          <w:rFonts w:eastAsia="Calibri"/>
        </w:rPr>
        <w:t xml:space="preserve">aged </w:t>
      </w:r>
      <w:r w:rsidRPr="00C25D1A">
        <w:rPr>
          <w:rFonts w:eastAsia="Calibri"/>
        </w:rPr>
        <w:t>26</w:t>
      </w:r>
      <w:r>
        <w:rPr>
          <w:rFonts w:eastAsia="Calibri"/>
        </w:rPr>
        <w:t>–30 years. Eighty-</w:t>
      </w:r>
      <w:r w:rsidRPr="00C25D1A">
        <w:rPr>
          <w:rFonts w:eastAsia="Calibri"/>
        </w:rPr>
        <w:t xml:space="preserve">seven (54.0%) </w:t>
      </w:r>
      <w:r>
        <w:rPr>
          <w:rFonts w:eastAsia="Calibri"/>
        </w:rPr>
        <w:t>were female</w:t>
      </w:r>
      <w:r w:rsidRPr="00C25D1A">
        <w:rPr>
          <w:rFonts w:eastAsia="Calibri"/>
        </w:rPr>
        <w:t xml:space="preserve"> and </w:t>
      </w:r>
      <w:r>
        <w:rPr>
          <w:rFonts w:eastAsia="Calibri"/>
        </w:rPr>
        <w:t>74 (46.0%) were male</w:t>
      </w:r>
      <w:r w:rsidRPr="00C25D1A">
        <w:rPr>
          <w:rFonts w:eastAsia="Calibri"/>
        </w:rPr>
        <w:t xml:space="preserve">. </w:t>
      </w:r>
      <w:r>
        <w:rPr>
          <w:rFonts w:eastAsia="Calibri"/>
        </w:rPr>
        <w:t xml:space="preserve">The majority (84, </w:t>
      </w:r>
      <w:r w:rsidRPr="00C25D1A">
        <w:rPr>
          <w:rFonts w:eastAsia="Calibri"/>
        </w:rPr>
        <w:t xml:space="preserve">52.2%) </w:t>
      </w:r>
      <w:r>
        <w:rPr>
          <w:rFonts w:eastAsia="Calibri"/>
        </w:rPr>
        <w:t xml:space="preserve">had </w:t>
      </w:r>
      <w:r w:rsidRPr="00C25D1A">
        <w:rPr>
          <w:rFonts w:eastAsia="Calibri"/>
        </w:rPr>
        <w:t>dropped out of secondary school</w:t>
      </w:r>
      <w:r>
        <w:rPr>
          <w:rFonts w:eastAsia="Calibri"/>
        </w:rPr>
        <w:t>/college,</w:t>
      </w:r>
      <w:r w:rsidRPr="00C25D1A">
        <w:rPr>
          <w:rFonts w:eastAsia="Calibri"/>
        </w:rPr>
        <w:t xml:space="preserve"> while 70 (43.5%) </w:t>
      </w:r>
      <w:r>
        <w:rPr>
          <w:rFonts w:eastAsia="Calibri"/>
        </w:rPr>
        <w:t>had</w:t>
      </w:r>
      <w:r w:rsidRPr="00C25D1A">
        <w:rPr>
          <w:rFonts w:eastAsia="Calibri"/>
        </w:rPr>
        <w:t xml:space="preserve"> not complete</w:t>
      </w:r>
      <w:r>
        <w:rPr>
          <w:rFonts w:eastAsia="Calibri"/>
        </w:rPr>
        <w:t>d</w:t>
      </w:r>
      <w:r w:rsidRPr="00C25D1A">
        <w:rPr>
          <w:rFonts w:eastAsia="Calibri"/>
        </w:rPr>
        <w:t xml:space="preserve"> their college/tertiary education.</w:t>
      </w:r>
      <w:r>
        <w:rPr>
          <w:rFonts w:eastAsia="Calibri"/>
        </w:rPr>
        <w:t xml:space="preserve"> Thirty-</w:t>
      </w:r>
      <w:r w:rsidRPr="00C25D1A">
        <w:rPr>
          <w:rFonts w:eastAsia="Calibri"/>
        </w:rPr>
        <w:t>three (20.5%) we</w:t>
      </w:r>
      <w:r>
        <w:rPr>
          <w:rFonts w:eastAsia="Calibri"/>
        </w:rPr>
        <w:t>re unemployed. About a quarter (40, 24.8%)</w:t>
      </w:r>
      <w:r w:rsidRPr="00C25D1A">
        <w:rPr>
          <w:rFonts w:eastAsia="Calibri"/>
        </w:rPr>
        <w:t xml:space="preserve"> were engaged in </w:t>
      </w:r>
      <w:r>
        <w:rPr>
          <w:rFonts w:eastAsia="Calibri"/>
        </w:rPr>
        <w:t xml:space="preserve">the </w:t>
      </w:r>
      <w:r w:rsidRPr="00C25D1A">
        <w:rPr>
          <w:rFonts w:eastAsia="Calibri"/>
        </w:rPr>
        <w:t>trading business, 22 (13.7%) were artisans and 33 (20.5%) were undergoing apprenticeship</w:t>
      </w:r>
      <w:r>
        <w:rPr>
          <w:rFonts w:eastAsia="Calibri"/>
        </w:rPr>
        <w:t>s</w:t>
      </w:r>
      <w:r w:rsidRPr="00C25D1A">
        <w:rPr>
          <w:rFonts w:eastAsia="Calibri"/>
        </w:rPr>
        <w:t>. Sixteen (9.9%) had a public service job.</w:t>
      </w:r>
    </w:p>
    <w:p w:rsidR="00920BE8" w:rsidRPr="00C25D1A" w:rsidRDefault="00920BE8" w:rsidP="00920BE8">
      <w:pPr>
        <w:pStyle w:val="Text"/>
        <w:rPr>
          <w:rFonts w:eastAsia="Calibri"/>
        </w:rPr>
      </w:pPr>
      <w:r>
        <w:rPr>
          <w:rFonts w:eastAsia="Calibri"/>
        </w:rPr>
        <w:tab/>
      </w:r>
    </w:p>
    <w:p w:rsidR="00920BE8" w:rsidRPr="00C25D1A" w:rsidRDefault="00920BE8" w:rsidP="00920BE8">
      <w:pPr>
        <w:pStyle w:val="Text"/>
        <w:rPr>
          <w:rFonts w:eastAsia="Calibri"/>
        </w:rPr>
      </w:pPr>
      <w:r>
        <w:rPr>
          <w:rFonts w:eastAsia="Calibri"/>
        </w:rPr>
        <w:tab/>
      </w:r>
      <w:r w:rsidRPr="00D80CF4">
        <w:rPr>
          <w:rFonts w:eastAsia="Calibri"/>
        </w:rPr>
        <w:t>Table 2 giv</w:t>
      </w:r>
      <w:r w:rsidRPr="00C25D1A">
        <w:rPr>
          <w:rFonts w:eastAsia="Calibri"/>
        </w:rPr>
        <w:t xml:space="preserve">es a summary of the sexual activity and contraceptive practices </w:t>
      </w:r>
      <w:r>
        <w:rPr>
          <w:rFonts w:eastAsia="Calibri"/>
        </w:rPr>
        <w:t>of</w:t>
      </w:r>
      <w:r w:rsidRPr="00C25D1A">
        <w:rPr>
          <w:rFonts w:eastAsia="Calibri"/>
        </w:rPr>
        <w:t xml:space="preserve"> the </w:t>
      </w:r>
      <w:r>
        <w:rPr>
          <w:rFonts w:eastAsia="Calibri"/>
        </w:rPr>
        <w:t>respondents</w:t>
      </w:r>
      <w:r w:rsidRPr="00C25D1A">
        <w:rPr>
          <w:rFonts w:eastAsia="Calibri"/>
        </w:rPr>
        <w:t xml:space="preserve">. Only </w:t>
      </w:r>
      <w:r>
        <w:rPr>
          <w:rFonts w:eastAsia="Calibri"/>
        </w:rPr>
        <w:t>fourteen</w:t>
      </w:r>
      <w:r w:rsidRPr="00C25D1A">
        <w:rPr>
          <w:rFonts w:eastAsia="Calibri"/>
        </w:rPr>
        <w:t xml:space="preserve"> (8.7%) ha</w:t>
      </w:r>
      <w:r>
        <w:rPr>
          <w:rFonts w:eastAsia="Calibri"/>
        </w:rPr>
        <w:t>d</w:t>
      </w:r>
      <w:r w:rsidRPr="00C25D1A">
        <w:rPr>
          <w:rFonts w:eastAsia="Calibri"/>
        </w:rPr>
        <w:t xml:space="preserve"> not ha</w:t>
      </w:r>
      <w:r>
        <w:rPr>
          <w:rFonts w:eastAsia="Calibri"/>
        </w:rPr>
        <w:t>d any sexual experience. Twenty-</w:t>
      </w:r>
      <w:r w:rsidRPr="00C25D1A">
        <w:rPr>
          <w:rFonts w:eastAsia="Calibri"/>
        </w:rPr>
        <w:t xml:space="preserve">eight (17.4%) </w:t>
      </w:r>
      <w:r>
        <w:rPr>
          <w:rFonts w:eastAsia="Calibri"/>
        </w:rPr>
        <w:t>had only</w:t>
      </w:r>
      <w:r w:rsidRPr="00C25D1A">
        <w:rPr>
          <w:rFonts w:eastAsia="Calibri"/>
        </w:rPr>
        <w:t xml:space="preserve"> caress</w:t>
      </w:r>
      <w:r>
        <w:rPr>
          <w:rFonts w:eastAsia="Calibri"/>
        </w:rPr>
        <w:t xml:space="preserve">ed, </w:t>
      </w:r>
      <w:r w:rsidRPr="00C25D1A">
        <w:rPr>
          <w:rFonts w:eastAsia="Calibri"/>
        </w:rPr>
        <w:t>but 119 (73.9%) ha</w:t>
      </w:r>
      <w:r>
        <w:rPr>
          <w:rFonts w:eastAsia="Calibri"/>
        </w:rPr>
        <w:t>d</w:t>
      </w:r>
      <w:r w:rsidRPr="00C25D1A">
        <w:rPr>
          <w:rFonts w:eastAsia="Calibri"/>
        </w:rPr>
        <w:t xml:space="preserve"> had </w:t>
      </w:r>
      <w:r>
        <w:rPr>
          <w:rFonts w:eastAsia="Calibri"/>
        </w:rPr>
        <w:t xml:space="preserve">full </w:t>
      </w:r>
      <w:r w:rsidRPr="00C25D1A">
        <w:rPr>
          <w:rFonts w:eastAsia="Calibri"/>
        </w:rPr>
        <w:t>sexual intercourse. Among those with coital experience, 79 (66.4%) had first inter</w:t>
      </w:r>
      <w:r>
        <w:rPr>
          <w:rFonts w:eastAsia="Calibri"/>
        </w:rPr>
        <w:t>course with a previous boy/girl</w:t>
      </w:r>
      <w:r w:rsidRPr="00C25D1A">
        <w:rPr>
          <w:rFonts w:eastAsia="Calibri"/>
        </w:rPr>
        <w:t>friend</w:t>
      </w:r>
      <w:r>
        <w:rPr>
          <w:rFonts w:eastAsia="Calibri"/>
        </w:rPr>
        <w:t>,</w:t>
      </w:r>
      <w:r w:rsidRPr="00C25D1A">
        <w:rPr>
          <w:rFonts w:eastAsia="Calibri"/>
        </w:rPr>
        <w:t xml:space="preserve"> while 33 (27.7%) had </w:t>
      </w:r>
      <w:r>
        <w:rPr>
          <w:rFonts w:eastAsia="Calibri"/>
        </w:rPr>
        <w:t>it</w:t>
      </w:r>
      <w:r w:rsidRPr="00C25D1A">
        <w:rPr>
          <w:rFonts w:eastAsia="Calibri"/>
        </w:rPr>
        <w:t xml:space="preserve"> in the</w:t>
      </w:r>
      <w:r>
        <w:rPr>
          <w:rFonts w:eastAsia="Calibri"/>
        </w:rPr>
        <w:t>ir</w:t>
      </w:r>
      <w:r w:rsidRPr="00C25D1A">
        <w:rPr>
          <w:rFonts w:eastAsia="Calibri"/>
        </w:rPr>
        <w:t xml:space="preserve"> current relationship. </w:t>
      </w:r>
      <w:r>
        <w:rPr>
          <w:rFonts w:eastAsia="Calibri"/>
        </w:rPr>
        <w:t xml:space="preserve">For three (2.5%) respondents </w:t>
      </w:r>
      <w:r w:rsidRPr="00C25D1A">
        <w:rPr>
          <w:rFonts w:eastAsia="Calibri"/>
        </w:rPr>
        <w:t xml:space="preserve">first intercourse was with a stranger. </w:t>
      </w:r>
    </w:p>
    <w:p w:rsidR="00920BE8" w:rsidRPr="00C25D1A" w:rsidRDefault="00920BE8" w:rsidP="00920BE8">
      <w:pPr>
        <w:pStyle w:val="Text"/>
        <w:rPr>
          <w:rFonts w:eastAsia="Calibri"/>
        </w:rPr>
      </w:pPr>
      <w:r>
        <w:rPr>
          <w:rFonts w:eastAsia="Calibri"/>
        </w:rPr>
        <w:tab/>
      </w:r>
      <w:r w:rsidRPr="00C25D1A">
        <w:rPr>
          <w:rFonts w:eastAsia="Calibri"/>
        </w:rPr>
        <w:t xml:space="preserve">Mean age at sexual debut was 19.08±3.5 years. </w:t>
      </w:r>
      <w:r>
        <w:rPr>
          <w:rFonts w:eastAsia="Calibri"/>
        </w:rPr>
        <w:t>Sexual d</w:t>
      </w:r>
      <w:r w:rsidRPr="00C25D1A">
        <w:rPr>
          <w:rFonts w:eastAsia="Calibri"/>
        </w:rPr>
        <w:t>ebut was before the age 15</w:t>
      </w:r>
      <w:r>
        <w:rPr>
          <w:rFonts w:eastAsia="Calibri"/>
        </w:rPr>
        <w:t xml:space="preserve"> years</w:t>
      </w:r>
      <w:r w:rsidRPr="00C25D1A">
        <w:rPr>
          <w:rFonts w:eastAsia="Calibri"/>
        </w:rPr>
        <w:t xml:space="preserve"> </w:t>
      </w:r>
      <w:r>
        <w:rPr>
          <w:rFonts w:eastAsia="Calibri"/>
        </w:rPr>
        <w:t>for ten</w:t>
      </w:r>
      <w:r w:rsidRPr="00C25D1A">
        <w:rPr>
          <w:rFonts w:eastAsia="Calibri"/>
        </w:rPr>
        <w:t xml:space="preserve"> (8.4%) </w:t>
      </w:r>
      <w:r>
        <w:rPr>
          <w:rFonts w:eastAsia="Calibri"/>
        </w:rPr>
        <w:t xml:space="preserve">of the </w:t>
      </w:r>
      <w:r w:rsidRPr="00C25D1A">
        <w:rPr>
          <w:rFonts w:eastAsia="Calibri"/>
        </w:rPr>
        <w:t xml:space="preserve">respondents. </w:t>
      </w:r>
      <w:r>
        <w:rPr>
          <w:rFonts w:eastAsia="Calibri"/>
        </w:rPr>
        <w:t xml:space="preserve">The majority (53, </w:t>
      </w:r>
      <w:r w:rsidRPr="00C25D1A">
        <w:rPr>
          <w:rFonts w:eastAsia="Calibri"/>
        </w:rPr>
        <w:t xml:space="preserve">44.5%) had </w:t>
      </w:r>
      <w:r>
        <w:rPr>
          <w:rFonts w:eastAsia="Calibri"/>
        </w:rPr>
        <w:t>their sexual debut</w:t>
      </w:r>
      <w:r w:rsidRPr="00C25D1A">
        <w:rPr>
          <w:rFonts w:eastAsia="Calibri"/>
        </w:rPr>
        <w:t xml:space="preserve"> between the ages of 15 and 19 years. All respondents with coital experience ha</w:t>
      </w:r>
      <w:r>
        <w:rPr>
          <w:rFonts w:eastAsia="Calibri"/>
        </w:rPr>
        <w:t xml:space="preserve">d </w:t>
      </w:r>
      <w:r w:rsidRPr="00C25D1A">
        <w:rPr>
          <w:rFonts w:eastAsia="Calibri"/>
        </w:rPr>
        <w:t xml:space="preserve">had their </w:t>
      </w:r>
      <w:r>
        <w:rPr>
          <w:rFonts w:eastAsia="Calibri"/>
        </w:rPr>
        <w:t xml:space="preserve">sexual </w:t>
      </w:r>
      <w:r w:rsidRPr="00C25D1A">
        <w:rPr>
          <w:rFonts w:eastAsia="Calibri"/>
        </w:rPr>
        <w:t xml:space="preserve">debut before the age of 29. More males had </w:t>
      </w:r>
      <w:r>
        <w:rPr>
          <w:rFonts w:eastAsia="Calibri"/>
        </w:rPr>
        <w:t xml:space="preserve">had </w:t>
      </w:r>
      <w:r w:rsidRPr="00C25D1A">
        <w:rPr>
          <w:rFonts w:eastAsia="Calibri"/>
        </w:rPr>
        <w:t>premarital sex than females (81.1% versus 67.8%).</w:t>
      </w:r>
    </w:p>
    <w:p w:rsidR="00920BE8" w:rsidRPr="00C25D1A" w:rsidRDefault="00920BE8" w:rsidP="00920BE8">
      <w:pPr>
        <w:pStyle w:val="Text"/>
        <w:rPr>
          <w:rFonts w:eastAsia="Calibri"/>
        </w:rPr>
      </w:pPr>
      <w:r>
        <w:rPr>
          <w:rFonts w:eastAsia="Calibri"/>
        </w:rPr>
        <w:tab/>
      </w:r>
      <w:r w:rsidRPr="00C25D1A">
        <w:rPr>
          <w:rFonts w:eastAsia="Calibri"/>
        </w:rPr>
        <w:t xml:space="preserve">Consensual sex </w:t>
      </w:r>
      <w:r>
        <w:rPr>
          <w:rFonts w:eastAsia="Calibri"/>
        </w:rPr>
        <w:t xml:space="preserve">had </w:t>
      </w:r>
      <w:r w:rsidRPr="00C25D1A">
        <w:rPr>
          <w:rFonts w:eastAsia="Calibri"/>
        </w:rPr>
        <w:t>occurred in 108 (90.6%) participants</w:t>
      </w:r>
      <w:r>
        <w:rPr>
          <w:rFonts w:eastAsia="Calibri"/>
        </w:rPr>
        <w:t xml:space="preserve">, but eleven </w:t>
      </w:r>
      <w:r w:rsidRPr="00C25D1A">
        <w:rPr>
          <w:rFonts w:eastAsia="Calibri"/>
        </w:rPr>
        <w:t xml:space="preserve">(9.2%) had </w:t>
      </w:r>
      <w:r>
        <w:rPr>
          <w:rFonts w:eastAsia="Calibri"/>
        </w:rPr>
        <w:t xml:space="preserve">had </w:t>
      </w:r>
      <w:r w:rsidRPr="00C25D1A">
        <w:rPr>
          <w:rFonts w:eastAsia="Calibri"/>
        </w:rPr>
        <w:t>‘forced’ interco</w:t>
      </w:r>
      <w:r>
        <w:rPr>
          <w:rFonts w:eastAsia="Calibri"/>
        </w:rPr>
        <w:t xml:space="preserve">urse. </w:t>
      </w:r>
      <w:r w:rsidRPr="00C25D1A">
        <w:rPr>
          <w:rFonts w:eastAsia="Calibri"/>
        </w:rPr>
        <w:t>Five (4.</w:t>
      </w:r>
      <w:r>
        <w:rPr>
          <w:rFonts w:eastAsia="Calibri"/>
        </w:rPr>
        <w:t>2%) respondents admitted to having</w:t>
      </w:r>
      <w:r w:rsidRPr="00C25D1A">
        <w:rPr>
          <w:rFonts w:eastAsia="Calibri"/>
        </w:rPr>
        <w:t xml:space="preserve"> forced their partner into sex. One hundred and three (86.5%) were still sexually active (had</w:t>
      </w:r>
      <w:r>
        <w:rPr>
          <w:rFonts w:eastAsia="Calibri"/>
        </w:rPr>
        <w:t xml:space="preserve"> had</w:t>
      </w:r>
      <w:r w:rsidRPr="00C25D1A">
        <w:rPr>
          <w:rFonts w:eastAsia="Calibri"/>
        </w:rPr>
        <w:t xml:space="preserve"> sex within </w:t>
      </w:r>
      <w:r>
        <w:rPr>
          <w:rFonts w:eastAsia="Calibri"/>
        </w:rPr>
        <w:t>the 12 months before the survey). Forty-</w:t>
      </w:r>
      <w:r w:rsidRPr="00C25D1A">
        <w:rPr>
          <w:rFonts w:eastAsia="Calibri"/>
        </w:rPr>
        <w:t>one (34.5%) had been pregnant or had impregnated someone.</w:t>
      </w:r>
    </w:p>
    <w:p w:rsidR="00920BE8" w:rsidRPr="00C25D1A" w:rsidRDefault="00920BE8" w:rsidP="00920BE8">
      <w:pPr>
        <w:pStyle w:val="Text"/>
        <w:rPr>
          <w:rFonts w:eastAsia="Calibri"/>
        </w:rPr>
      </w:pPr>
      <w:r>
        <w:rPr>
          <w:rFonts w:eastAsia="Calibri"/>
        </w:rPr>
        <w:tab/>
        <w:t>A r</w:t>
      </w:r>
      <w:r w:rsidRPr="00C25D1A">
        <w:rPr>
          <w:rFonts w:eastAsia="Calibri"/>
        </w:rPr>
        <w:t>eview of contraceptive practices among the sexually active respondents shows a contraceptive prevalence rate of 81.5% (</w:t>
      </w:r>
      <w:r w:rsidRPr="00C25D1A">
        <w:rPr>
          <w:rFonts w:asciiTheme="majorBidi" w:hAnsiTheme="majorBidi" w:cstheme="majorBidi"/>
        </w:rPr>
        <w:t>pe</w:t>
      </w:r>
      <w:r>
        <w:rPr>
          <w:rFonts w:asciiTheme="majorBidi" w:hAnsiTheme="majorBidi" w:cstheme="majorBidi"/>
        </w:rPr>
        <w:t>rcentage of respondents who had</w:t>
      </w:r>
      <w:r w:rsidRPr="00C25D1A">
        <w:rPr>
          <w:rFonts w:asciiTheme="majorBidi" w:hAnsiTheme="majorBidi" w:cstheme="majorBidi"/>
        </w:rPr>
        <w:t xml:space="preserve"> used at least one method of contraceptives before)</w:t>
      </w:r>
      <w:r>
        <w:rPr>
          <w:rFonts w:eastAsia="Calibri"/>
        </w:rPr>
        <w:t xml:space="preserve">. </w:t>
      </w:r>
      <w:r w:rsidRPr="00C25D1A">
        <w:rPr>
          <w:rFonts w:eastAsia="Calibri"/>
        </w:rPr>
        <w:t>Forty</w:t>
      </w:r>
      <w:r>
        <w:rPr>
          <w:rFonts w:eastAsia="Calibri"/>
        </w:rPr>
        <w:t>-</w:t>
      </w:r>
      <w:r w:rsidRPr="00C25D1A">
        <w:rPr>
          <w:rFonts w:eastAsia="Calibri"/>
        </w:rPr>
        <w:t>eight (40.3%) were occasional contraceptive users, 25 (21.0%) use</w:t>
      </w:r>
      <w:r>
        <w:rPr>
          <w:rFonts w:eastAsia="Calibri"/>
        </w:rPr>
        <w:t>d</w:t>
      </w:r>
      <w:r w:rsidRPr="00C25D1A">
        <w:rPr>
          <w:rFonts w:eastAsia="Calibri"/>
        </w:rPr>
        <w:t xml:space="preserve"> often and 24 (20.2%) were all-time users. In most instances the decision to use contraceptives was mutually agreed by both parties. The dominant contraceptive method employed was </w:t>
      </w:r>
      <w:r>
        <w:rPr>
          <w:rFonts w:eastAsia="Calibri"/>
        </w:rPr>
        <w:t xml:space="preserve">the </w:t>
      </w:r>
      <w:r w:rsidRPr="00C25D1A">
        <w:rPr>
          <w:rFonts w:eastAsia="Calibri"/>
        </w:rPr>
        <w:t>male condom,</w:t>
      </w:r>
      <w:r>
        <w:rPr>
          <w:rFonts w:eastAsia="Calibri"/>
        </w:rPr>
        <w:t xml:space="preserve"> used by</w:t>
      </w:r>
      <w:r w:rsidRPr="00C25D1A">
        <w:rPr>
          <w:rFonts w:eastAsia="Calibri"/>
        </w:rPr>
        <w:t xml:space="preserve"> 86 (88.7%). Following at a distance was the use of </w:t>
      </w:r>
      <w:r>
        <w:rPr>
          <w:rFonts w:eastAsia="Calibri"/>
        </w:rPr>
        <w:t>the oral contraceptive pill, which was used by five</w:t>
      </w:r>
      <w:r w:rsidRPr="00C25D1A">
        <w:rPr>
          <w:rFonts w:eastAsia="Calibri"/>
        </w:rPr>
        <w:t xml:space="preserve"> (5.2%) and </w:t>
      </w:r>
      <w:r>
        <w:rPr>
          <w:rFonts w:eastAsia="Calibri"/>
        </w:rPr>
        <w:t xml:space="preserve">the </w:t>
      </w:r>
      <w:r w:rsidRPr="00C25D1A">
        <w:rPr>
          <w:rFonts w:eastAsia="Calibri"/>
        </w:rPr>
        <w:t>withdrawal method</w:t>
      </w:r>
      <w:r>
        <w:rPr>
          <w:rFonts w:eastAsia="Calibri"/>
        </w:rPr>
        <w:t>, which was used by three</w:t>
      </w:r>
      <w:r w:rsidRPr="00C25D1A">
        <w:rPr>
          <w:rFonts w:eastAsia="Calibri"/>
        </w:rPr>
        <w:t xml:space="preserve"> (1.9%) of the you</w:t>
      </w:r>
      <w:r>
        <w:rPr>
          <w:rFonts w:eastAsia="Calibri"/>
        </w:rPr>
        <w:t>ng people</w:t>
      </w:r>
      <w:r w:rsidRPr="00C25D1A">
        <w:rPr>
          <w:rFonts w:eastAsia="Calibri"/>
        </w:rPr>
        <w:t xml:space="preserve">. </w:t>
      </w:r>
    </w:p>
    <w:p w:rsidR="00920BE8" w:rsidRPr="00C25D1A" w:rsidRDefault="00920BE8" w:rsidP="00920BE8">
      <w:pPr>
        <w:pStyle w:val="Text"/>
        <w:rPr>
          <w:rFonts w:eastAsia="Calibri"/>
        </w:rPr>
      </w:pPr>
      <w:r>
        <w:rPr>
          <w:rFonts w:eastAsia="Calibri"/>
        </w:rPr>
        <w:tab/>
      </w:r>
      <w:r w:rsidRPr="00C25D1A">
        <w:rPr>
          <w:rFonts w:eastAsia="Calibri"/>
        </w:rPr>
        <w:t xml:space="preserve">Analysis of the family structure and upbringing of the </w:t>
      </w:r>
      <w:r>
        <w:rPr>
          <w:rFonts w:eastAsia="Calibri"/>
        </w:rPr>
        <w:t>respondents showed</w:t>
      </w:r>
      <w:r w:rsidRPr="00C25D1A">
        <w:rPr>
          <w:rFonts w:eastAsia="Calibri"/>
        </w:rPr>
        <w:t xml:space="preserve"> that 126 (78.3%) grew up with both co-habiting parents; 35 (21.7%) were raised by </w:t>
      </w:r>
      <w:r>
        <w:rPr>
          <w:rFonts w:eastAsia="Calibri"/>
        </w:rPr>
        <w:t xml:space="preserve">a </w:t>
      </w:r>
      <w:r w:rsidRPr="00C25D1A">
        <w:rPr>
          <w:rFonts w:eastAsia="Calibri"/>
        </w:rPr>
        <w:t>sin</w:t>
      </w:r>
      <w:r>
        <w:rPr>
          <w:rFonts w:eastAsia="Calibri"/>
        </w:rPr>
        <w:t>gle parent. Most participants (101, 62.7%)</w:t>
      </w:r>
      <w:r w:rsidRPr="00C25D1A">
        <w:rPr>
          <w:rFonts w:eastAsia="Calibri"/>
        </w:rPr>
        <w:t xml:space="preserve"> were from monogamous family setting</w:t>
      </w:r>
      <w:r>
        <w:rPr>
          <w:rFonts w:eastAsia="Calibri"/>
        </w:rPr>
        <w:t>s</w:t>
      </w:r>
      <w:r w:rsidRPr="00C25D1A">
        <w:rPr>
          <w:rFonts w:eastAsia="Calibri"/>
        </w:rPr>
        <w:t xml:space="preserve">, but 60 (37.3%) were raised in a polygamous </w:t>
      </w:r>
      <w:r w:rsidRPr="00D80CF4">
        <w:rPr>
          <w:rFonts w:eastAsia="Calibri"/>
        </w:rPr>
        <w:t>family (Table 3). Bas</w:t>
      </w:r>
      <w:r w:rsidRPr="00C25D1A">
        <w:rPr>
          <w:rFonts w:eastAsia="Calibri"/>
        </w:rPr>
        <w:t xml:space="preserve">ed on personal assessment by respondents, </w:t>
      </w:r>
      <w:r w:rsidRPr="0024281D">
        <w:rPr>
          <w:rFonts w:eastAsia="Calibri"/>
        </w:rPr>
        <w:t>53</w:t>
      </w:r>
      <w:r w:rsidRPr="00C25D1A">
        <w:rPr>
          <w:rFonts w:eastAsia="Calibri"/>
        </w:rPr>
        <w:t xml:space="preserve"> (32.9%) categorized their parental discipline as strict, 93 (57.8%) said it was average</w:t>
      </w:r>
      <w:r>
        <w:rPr>
          <w:rFonts w:eastAsia="Calibri"/>
        </w:rPr>
        <w:t xml:space="preserve"> while fifteen</w:t>
      </w:r>
      <w:r w:rsidRPr="00C25D1A">
        <w:rPr>
          <w:rFonts w:eastAsia="Calibri"/>
        </w:rPr>
        <w:t xml:space="preserve"> (9.3%) classified it as relaxed. More than two-thirds (70.8%) fe</w:t>
      </w:r>
      <w:r>
        <w:rPr>
          <w:rFonts w:eastAsia="Calibri"/>
        </w:rPr>
        <w:t>lt very good about their family;</w:t>
      </w:r>
      <w:r w:rsidRPr="00C25D1A">
        <w:rPr>
          <w:rFonts w:eastAsia="Calibri"/>
        </w:rPr>
        <w:t xml:space="preserve"> others considered their feeling as ‘good’. None felt ‘less than good’ towards his/her family. From the view point of family econom</w:t>
      </w:r>
      <w:r>
        <w:rPr>
          <w:rFonts w:eastAsia="Calibri"/>
        </w:rPr>
        <w:t>ic status, whereas four</w:t>
      </w:r>
      <w:r w:rsidRPr="00C25D1A">
        <w:rPr>
          <w:rFonts w:eastAsia="Calibri"/>
        </w:rPr>
        <w:t xml:space="preserve"> (2.5%) indicated that their family was</w:t>
      </w:r>
      <w:r>
        <w:rPr>
          <w:rFonts w:eastAsia="Calibri"/>
        </w:rPr>
        <w:t xml:space="preserve"> poor, the bulk of respondents (143, 88.8%) regarded their family economic situation</w:t>
      </w:r>
      <w:r w:rsidRPr="00C25D1A">
        <w:rPr>
          <w:rFonts w:eastAsia="Calibri"/>
        </w:rPr>
        <w:t xml:space="preserve"> as average.</w:t>
      </w:r>
      <w:r>
        <w:rPr>
          <w:rFonts w:eastAsia="Calibri"/>
        </w:rPr>
        <w:t xml:space="preserve"> </w:t>
      </w:r>
      <w:r w:rsidRPr="00C25D1A">
        <w:rPr>
          <w:rFonts w:eastAsia="Calibri"/>
        </w:rPr>
        <w:t xml:space="preserve">Logistic regression analysis was done to determine </w:t>
      </w:r>
      <w:r>
        <w:rPr>
          <w:rFonts w:eastAsia="Calibri"/>
        </w:rPr>
        <w:t>the family factors that influence</w:t>
      </w:r>
      <w:r w:rsidRPr="00C25D1A">
        <w:rPr>
          <w:rFonts w:eastAsia="Calibri"/>
        </w:rPr>
        <w:t xml:space="preserve"> respondents’ involvement in premarital sex and their timing of sexual debut. </w:t>
      </w:r>
      <w:r>
        <w:rPr>
          <w:rFonts w:eastAsia="Calibri"/>
        </w:rPr>
        <w:t>The results are shown in</w:t>
      </w:r>
      <w:r w:rsidRPr="00C25D1A">
        <w:rPr>
          <w:rFonts w:eastAsia="Calibri"/>
        </w:rPr>
        <w:t xml:space="preserve"> Table</w:t>
      </w:r>
      <w:r>
        <w:rPr>
          <w:rFonts w:eastAsia="Calibri"/>
        </w:rPr>
        <w:t>s</w:t>
      </w:r>
      <w:r w:rsidRPr="00C25D1A">
        <w:rPr>
          <w:rFonts w:eastAsia="Calibri"/>
        </w:rPr>
        <w:t xml:space="preserve"> 3</w:t>
      </w:r>
      <w:r>
        <w:rPr>
          <w:rFonts w:eastAsia="Calibri"/>
        </w:rPr>
        <w:t xml:space="preserve"> and 4, respectively. </w:t>
      </w:r>
      <w:r w:rsidRPr="00FF4130">
        <w:rPr>
          <w:rFonts w:eastAsia="Calibri"/>
        </w:rPr>
        <w:t>Respondents from poor families were more than seven times more likely to be involved in premarital sex compared with those from average-income families (AOR: 7.41; 95% CI: 0.69–0.83) (Table 3).</w:t>
      </w:r>
      <w:r>
        <w:rPr>
          <w:rFonts w:eastAsia="Calibri"/>
        </w:rPr>
        <w:t xml:space="preserve"> The t</w:t>
      </w:r>
      <w:r w:rsidRPr="00C25D1A">
        <w:rPr>
          <w:rFonts w:eastAsia="Calibri"/>
        </w:rPr>
        <w:t xml:space="preserve">iming of sexual debut was also </w:t>
      </w:r>
      <w:r>
        <w:rPr>
          <w:rFonts w:eastAsia="Calibri"/>
        </w:rPr>
        <w:t xml:space="preserve">found to be </w:t>
      </w:r>
      <w:r w:rsidRPr="00C25D1A">
        <w:rPr>
          <w:rFonts w:eastAsia="Calibri"/>
        </w:rPr>
        <w:t>influenced by family upbringing</w:t>
      </w:r>
      <w:r>
        <w:rPr>
          <w:rFonts w:eastAsia="Calibri"/>
        </w:rPr>
        <w:t>.</w:t>
      </w:r>
      <w:r w:rsidRPr="00C25D1A">
        <w:rPr>
          <w:rFonts w:eastAsia="Calibri"/>
        </w:rPr>
        <w:t xml:space="preserve"> Unlike youths who were brought up by both parents, those with single parent</w:t>
      </w:r>
      <w:r>
        <w:rPr>
          <w:rFonts w:eastAsia="Calibri"/>
        </w:rPr>
        <w:t>s</w:t>
      </w:r>
      <w:r w:rsidRPr="00C25D1A">
        <w:rPr>
          <w:rFonts w:eastAsia="Calibri"/>
        </w:rPr>
        <w:t xml:space="preserve"> had statistically significant </w:t>
      </w:r>
      <w:r w:rsidRPr="00C25D1A">
        <w:rPr>
          <w:rFonts w:eastAsia="Calibri"/>
        </w:rPr>
        <w:lastRenderedPageBreak/>
        <w:t>higher chances of having sexual debut on or before the age of 19 years</w:t>
      </w:r>
      <w:r>
        <w:rPr>
          <w:rFonts w:eastAsia="Calibri"/>
        </w:rPr>
        <w:t xml:space="preserve"> than those brought up in a two-parent family</w:t>
      </w:r>
      <w:r w:rsidRPr="00C25D1A">
        <w:rPr>
          <w:rFonts w:eastAsia="Calibri"/>
        </w:rPr>
        <w:t xml:space="preserve"> (AOR: 2.59; 95% CI: 1.05</w:t>
      </w:r>
      <w:r>
        <w:rPr>
          <w:rFonts w:eastAsia="Calibri"/>
        </w:rPr>
        <w:t>–</w:t>
      </w:r>
      <w:r w:rsidRPr="00C25D1A">
        <w:rPr>
          <w:rFonts w:eastAsia="Calibri"/>
        </w:rPr>
        <w:t>6.42)</w:t>
      </w:r>
      <w:r w:rsidRPr="00192472">
        <w:rPr>
          <w:rFonts w:eastAsia="Calibri"/>
        </w:rPr>
        <w:t xml:space="preserve"> </w:t>
      </w:r>
      <w:r w:rsidRPr="00C25D1A">
        <w:rPr>
          <w:rFonts w:eastAsia="Calibri"/>
        </w:rPr>
        <w:t>(Table 4).</w:t>
      </w:r>
    </w:p>
    <w:p w:rsidR="00920BE8" w:rsidRPr="00C25D1A" w:rsidRDefault="00920BE8" w:rsidP="00920BE8">
      <w:pPr>
        <w:pStyle w:val="Heading1"/>
        <w:rPr>
          <w:rFonts w:eastAsia="Calibri"/>
        </w:rPr>
      </w:pPr>
      <w:r w:rsidRPr="00C25D1A">
        <w:rPr>
          <w:rFonts w:eastAsia="Calibri"/>
        </w:rPr>
        <w:t>Discussion</w:t>
      </w:r>
    </w:p>
    <w:p w:rsidR="00920BE8" w:rsidRPr="00D80CF4" w:rsidRDefault="00920BE8" w:rsidP="00920BE8">
      <w:pPr>
        <w:pStyle w:val="Text"/>
        <w:rPr>
          <w:rFonts w:eastAsia="Calibri"/>
        </w:rPr>
      </w:pPr>
      <w:r>
        <w:rPr>
          <w:rFonts w:eastAsia="Calibri"/>
        </w:rPr>
        <w:t>This study found</w:t>
      </w:r>
      <w:r w:rsidRPr="00C25D1A">
        <w:rPr>
          <w:rFonts w:eastAsia="Calibri"/>
        </w:rPr>
        <w:t xml:space="preserve"> the prevalence of sexual intercourse among unmarried </w:t>
      </w:r>
      <w:r>
        <w:rPr>
          <w:rFonts w:eastAsia="Calibri"/>
        </w:rPr>
        <w:t>young people who had dropped out of school or college</w:t>
      </w:r>
      <w:r w:rsidRPr="002F5363">
        <w:rPr>
          <w:rFonts w:eastAsia="Calibri"/>
        </w:rPr>
        <w:t xml:space="preserve"> </w:t>
      </w:r>
      <w:r>
        <w:rPr>
          <w:rFonts w:eastAsia="Calibri"/>
        </w:rPr>
        <w:t xml:space="preserve">in this area of </w:t>
      </w:r>
      <w:r w:rsidRPr="002F5363">
        <w:rPr>
          <w:rFonts w:eastAsia="Calibri"/>
        </w:rPr>
        <w:t xml:space="preserve">south-west Nigeria </w:t>
      </w:r>
      <w:r>
        <w:rPr>
          <w:rFonts w:eastAsia="Calibri"/>
        </w:rPr>
        <w:t>to be</w:t>
      </w:r>
      <w:r w:rsidRPr="00C25D1A">
        <w:rPr>
          <w:rFonts w:eastAsia="Calibri"/>
        </w:rPr>
        <w:t xml:space="preserve"> 74%</w:t>
      </w:r>
      <w:r>
        <w:rPr>
          <w:rFonts w:eastAsia="Calibri"/>
        </w:rPr>
        <w:t>. This is marked</w:t>
      </w:r>
      <w:r w:rsidRPr="00C25D1A">
        <w:rPr>
          <w:rFonts w:eastAsia="Calibri"/>
        </w:rPr>
        <w:t xml:space="preserve">ly higher than </w:t>
      </w:r>
      <w:r>
        <w:rPr>
          <w:rFonts w:eastAsia="Calibri"/>
        </w:rPr>
        <w:t>previous</w:t>
      </w:r>
      <w:r w:rsidRPr="00C25D1A">
        <w:rPr>
          <w:rFonts w:eastAsia="Calibri"/>
        </w:rPr>
        <w:t xml:space="preserve"> observation</w:t>
      </w:r>
      <w:r>
        <w:rPr>
          <w:rFonts w:eastAsia="Calibri"/>
        </w:rPr>
        <w:t>s</w:t>
      </w:r>
      <w:r w:rsidRPr="00C25D1A">
        <w:rPr>
          <w:rFonts w:eastAsia="Calibri"/>
        </w:rPr>
        <w:t xml:space="preserve"> in Nigeria of 34% and 48.2%</w:t>
      </w:r>
      <w:r>
        <w:rPr>
          <w:rFonts w:eastAsia="Calibri"/>
        </w:rPr>
        <w:t>,</w:t>
      </w:r>
      <w:r w:rsidRPr="00C25D1A">
        <w:rPr>
          <w:rFonts w:eastAsia="Calibri"/>
        </w:rPr>
        <w:t xml:space="preserve"> respectively</w:t>
      </w:r>
      <w:r>
        <w:rPr>
          <w:rFonts w:eastAsia="Calibri"/>
        </w:rPr>
        <w:t>,</w:t>
      </w:r>
      <w:r w:rsidRPr="00C25D1A">
        <w:rPr>
          <w:rFonts w:eastAsia="Calibri"/>
        </w:rPr>
        <w:t xml:space="preserve"> among in-school secondary and university students </w:t>
      </w:r>
      <w:r w:rsidRPr="00C25D1A">
        <w:rPr>
          <w:rFonts w:eastAsia="Calibri"/>
          <w:noProof/>
        </w:rPr>
        <w:t xml:space="preserve">(Slap </w:t>
      </w:r>
      <w:r w:rsidRPr="002F5363">
        <w:rPr>
          <w:rFonts w:eastAsia="Calibri"/>
          <w:i/>
          <w:noProof/>
        </w:rPr>
        <w:t>et al</w:t>
      </w:r>
      <w:r w:rsidRPr="00C25D1A">
        <w:rPr>
          <w:rFonts w:eastAsia="Calibri"/>
          <w:noProof/>
        </w:rPr>
        <w:t>., 2003</w:t>
      </w:r>
      <w:r>
        <w:rPr>
          <w:rFonts w:eastAsia="Calibri"/>
          <w:noProof/>
        </w:rPr>
        <w:t xml:space="preserve">; </w:t>
      </w:r>
      <w:r w:rsidRPr="00C25D1A">
        <w:rPr>
          <w:rFonts w:eastAsia="Calibri"/>
          <w:noProof/>
        </w:rPr>
        <w:t xml:space="preserve">Bello </w:t>
      </w:r>
      <w:r w:rsidRPr="002F5363">
        <w:rPr>
          <w:rFonts w:eastAsia="Calibri"/>
          <w:i/>
          <w:noProof/>
        </w:rPr>
        <w:t>et al</w:t>
      </w:r>
      <w:r>
        <w:rPr>
          <w:rFonts w:eastAsia="Calibri"/>
          <w:noProof/>
        </w:rPr>
        <w:t>., 2009</w:t>
      </w:r>
      <w:r w:rsidRPr="00C25D1A">
        <w:rPr>
          <w:rFonts w:eastAsia="Calibri"/>
          <w:noProof/>
        </w:rPr>
        <w:t>)</w:t>
      </w:r>
      <w:r w:rsidRPr="00C25D1A">
        <w:rPr>
          <w:rFonts w:eastAsia="Calibri"/>
        </w:rPr>
        <w:t xml:space="preserve">. </w:t>
      </w:r>
      <w:r>
        <w:rPr>
          <w:rFonts w:eastAsia="Calibri"/>
        </w:rPr>
        <w:t>This may be because</w:t>
      </w:r>
      <w:r w:rsidRPr="00C25D1A">
        <w:rPr>
          <w:rFonts w:eastAsia="Calibri"/>
        </w:rPr>
        <w:t xml:space="preserve"> they are in a more relaxed environment with less demand on their time and focus. More male </w:t>
      </w:r>
      <w:r>
        <w:rPr>
          <w:rFonts w:eastAsia="Calibri"/>
        </w:rPr>
        <w:t>respondents</w:t>
      </w:r>
      <w:r w:rsidRPr="00C25D1A">
        <w:rPr>
          <w:rFonts w:eastAsia="Calibri"/>
        </w:rPr>
        <w:t xml:space="preserve"> </w:t>
      </w:r>
      <w:r>
        <w:rPr>
          <w:rFonts w:eastAsia="Calibri"/>
        </w:rPr>
        <w:t>were found to have</w:t>
      </w:r>
      <w:r w:rsidRPr="00C25D1A">
        <w:rPr>
          <w:rFonts w:eastAsia="Calibri"/>
        </w:rPr>
        <w:t xml:space="preserve"> </w:t>
      </w:r>
      <w:r>
        <w:rPr>
          <w:rFonts w:eastAsia="Calibri"/>
        </w:rPr>
        <w:t xml:space="preserve">had </w:t>
      </w:r>
      <w:r w:rsidRPr="00C25D1A">
        <w:rPr>
          <w:rFonts w:eastAsia="Calibri"/>
        </w:rPr>
        <w:t xml:space="preserve">premarital sex than their female counterparts (81.1% versus 67.8%). This is in consonance with documentations from Ethiopia, Kenya and China that male youths have more sexual encounters than females </w:t>
      </w:r>
      <w:r w:rsidRPr="00C25D1A">
        <w:rPr>
          <w:rFonts w:eastAsia="Calibri"/>
          <w:noProof/>
        </w:rPr>
        <w:t xml:space="preserve">(Lema, 1990; Taffa </w:t>
      </w:r>
      <w:r w:rsidRPr="002F5363">
        <w:rPr>
          <w:rFonts w:eastAsia="Calibri"/>
          <w:i/>
          <w:noProof/>
        </w:rPr>
        <w:t>et al</w:t>
      </w:r>
      <w:r w:rsidRPr="00C25D1A">
        <w:rPr>
          <w:rFonts w:eastAsia="Calibri"/>
          <w:noProof/>
        </w:rPr>
        <w:t>., 2002</w:t>
      </w:r>
      <w:r>
        <w:rPr>
          <w:rFonts w:eastAsia="Calibri"/>
          <w:noProof/>
        </w:rPr>
        <w:t xml:space="preserve">; </w:t>
      </w:r>
      <w:r w:rsidRPr="00C25D1A">
        <w:rPr>
          <w:rFonts w:eastAsia="Calibri"/>
          <w:noProof/>
        </w:rPr>
        <w:t xml:space="preserve">Ma </w:t>
      </w:r>
      <w:r w:rsidRPr="002F5363">
        <w:rPr>
          <w:rFonts w:eastAsia="Calibri"/>
          <w:i/>
          <w:noProof/>
        </w:rPr>
        <w:t>et al</w:t>
      </w:r>
      <w:r w:rsidRPr="00C25D1A">
        <w:rPr>
          <w:rFonts w:eastAsia="Calibri"/>
          <w:noProof/>
        </w:rPr>
        <w:t>., 2006)</w:t>
      </w:r>
      <w:r w:rsidRPr="00C25D1A">
        <w:rPr>
          <w:rFonts w:eastAsia="Calibri"/>
        </w:rPr>
        <w:t xml:space="preserve">. However, it contradicts the observation by Wang </w:t>
      </w:r>
      <w:r w:rsidRPr="00C25D1A">
        <w:rPr>
          <w:rFonts w:eastAsia="Calibri"/>
          <w:i/>
        </w:rPr>
        <w:t>et al</w:t>
      </w:r>
      <w:r>
        <w:rPr>
          <w:rFonts w:eastAsia="Calibri"/>
          <w:i/>
        </w:rPr>
        <w:t xml:space="preserve">. </w:t>
      </w:r>
      <w:r w:rsidRPr="00645927">
        <w:rPr>
          <w:rFonts w:eastAsia="Calibri"/>
        </w:rPr>
        <w:t>(2007)</w:t>
      </w:r>
      <w:r w:rsidRPr="00C25D1A">
        <w:rPr>
          <w:rFonts w:eastAsia="Calibri"/>
        </w:rPr>
        <w:t xml:space="preserve"> that there was no gender difference in </w:t>
      </w:r>
      <w:r>
        <w:rPr>
          <w:rFonts w:eastAsia="Calibri"/>
        </w:rPr>
        <w:t xml:space="preserve">the </w:t>
      </w:r>
      <w:r w:rsidRPr="00C25D1A">
        <w:rPr>
          <w:rFonts w:eastAsia="Calibri"/>
        </w:rPr>
        <w:t>rates of premarital sexual intercourse</w:t>
      </w:r>
      <w:r>
        <w:rPr>
          <w:rFonts w:eastAsia="Calibri"/>
        </w:rPr>
        <w:t xml:space="preserve"> among </w:t>
      </w:r>
      <w:r w:rsidRPr="00D80CF4">
        <w:rPr>
          <w:rFonts w:eastAsia="Calibri"/>
        </w:rPr>
        <w:t xml:space="preserve">out-of-school youth in China </w:t>
      </w:r>
      <w:r w:rsidRPr="00D80CF4">
        <w:rPr>
          <w:rFonts w:eastAsia="Calibri"/>
          <w:noProof/>
        </w:rPr>
        <w:t xml:space="preserve">(Wang </w:t>
      </w:r>
      <w:r w:rsidRPr="00D80CF4">
        <w:rPr>
          <w:rFonts w:eastAsia="Calibri"/>
          <w:i/>
          <w:noProof/>
        </w:rPr>
        <w:t>et al</w:t>
      </w:r>
      <w:r w:rsidRPr="00D80CF4">
        <w:rPr>
          <w:rFonts w:eastAsia="Calibri"/>
          <w:noProof/>
        </w:rPr>
        <w:t>., 2007)</w:t>
      </w:r>
      <w:r w:rsidRPr="00D80CF4">
        <w:rPr>
          <w:rFonts w:eastAsia="Calibri"/>
        </w:rPr>
        <w:t>.</w:t>
      </w:r>
    </w:p>
    <w:p w:rsidR="00920BE8" w:rsidRPr="00C25D1A" w:rsidRDefault="00920BE8" w:rsidP="00920BE8">
      <w:pPr>
        <w:pStyle w:val="Text"/>
        <w:rPr>
          <w:rFonts w:eastAsia="Calibri"/>
        </w:rPr>
      </w:pPr>
      <w:r w:rsidRPr="00D80CF4">
        <w:rPr>
          <w:rFonts w:eastAsia="Calibri"/>
        </w:rPr>
        <w:tab/>
        <w:t>The finding that two-thirds of the unmarried young people had had their first intercourse in a former relationship raises an important reproductive health concern. It gives an impression of instability in love relationships, with a tendency to have serial sexual partners and recurrent failed relationships. Such a t</w:t>
      </w:r>
      <w:r w:rsidRPr="00C25D1A">
        <w:rPr>
          <w:rFonts w:eastAsia="Calibri"/>
        </w:rPr>
        <w:t>rend</w:t>
      </w:r>
      <w:r>
        <w:rPr>
          <w:rFonts w:eastAsia="Calibri"/>
        </w:rPr>
        <w:t xml:space="preserve"> may not be confined to Nigeria, </w:t>
      </w:r>
      <w:r w:rsidRPr="00C25D1A">
        <w:rPr>
          <w:rFonts w:eastAsia="Calibri"/>
        </w:rPr>
        <w:t xml:space="preserve">as there </w:t>
      </w:r>
      <w:r>
        <w:rPr>
          <w:rFonts w:eastAsia="Calibri"/>
        </w:rPr>
        <w:t>is evidence from</w:t>
      </w:r>
      <w:r w:rsidRPr="00C25D1A">
        <w:rPr>
          <w:rFonts w:eastAsia="Calibri"/>
        </w:rPr>
        <w:t xml:space="preserve"> elsewhere that </w:t>
      </w:r>
      <w:r>
        <w:rPr>
          <w:rFonts w:eastAsia="Calibri"/>
        </w:rPr>
        <w:t>young people</w:t>
      </w:r>
      <w:r w:rsidRPr="00C25D1A">
        <w:rPr>
          <w:rFonts w:eastAsia="Calibri"/>
        </w:rPr>
        <w:t xml:space="preserve"> seem to frequently change sexual partners </w:t>
      </w:r>
      <w:r>
        <w:rPr>
          <w:rFonts w:eastAsia="Calibri"/>
          <w:noProof/>
        </w:rPr>
        <w:t>(Hoque, 2011; Morrison-Beedy</w:t>
      </w:r>
      <w:r w:rsidRPr="00C25D1A">
        <w:rPr>
          <w:rFonts w:eastAsia="Calibri"/>
          <w:noProof/>
        </w:rPr>
        <w:t xml:space="preserve"> </w:t>
      </w:r>
      <w:r w:rsidRPr="00C5444E">
        <w:rPr>
          <w:rFonts w:eastAsia="Calibri"/>
          <w:i/>
          <w:noProof/>
        </w:rPr>
        <w:t>et al</w:t>
      </w:r>
      <w:r>
        <w:rPr>
          <w:rFonts w:eastAsia="Calibri"/>
          <w:noProof/>
        </w:rPr>
        <w:t>.</w:t>
      </w:r>
      <w:r w:rsidRPr="00C25D1A">
        <w:rPr>
          <w:rFonts w:eastAsia="Calibri"/>
          <w:noProof/>
        </w:rPr>
        <w:t>, 2011)</w:t>
      </w:r>
      <w:r w:rsidRPr="00C25D1A">
        <w:rPr>
          <w:rFonts w:eastAsia="Calibri"/>
        </w:rPr>
        <w:t>. This has attending health risk</w:t>
      </w:r>
      <w:r>
        <w:rPr>
          <w:rFonts w:eastAsia="Calibri"/>
        </w:rPr>
        <w:t>s,</w:t>
      </w:r>
      <w:r w:rsidRPr="00C25D1A">
        <w:rPr>
          <w:rFonts w:eastAsia="Calibri"/>
        </w:rPr>
        <w:t xml:space="preserve"> especially in situations where </w:t>
      </w:r>
      <w:r>
        <w:rPr>
          <w:rFonts w:eastAsia="Calibri"/>
        </w:rPr>
        <w:t>sexual contact</w:t>
      </w:r>
      <w:r w:rsidRPr="00C25D1A">
        <w:rPr>
          <w:rFonts w:eastAsia="Calibri"/>
        </w:rPr>
        <w:t xml:space="preserve"> </w:t>
      </w:r>
      <w:r>
        <w:rPr>
          <w:rFonts w:eastAsia="Calibri"/>
        </w:rPr>
        <w:t>is</w:t>
      </w:r>
      <w:r w:rsidRPr="00C25D1A">
        <w:rPr>
          <w:rFonts w:eastAsia="Calibri"/>
        </w:rPr>
        <w:t xml:space="preserve"> unprotected </w:t>
      </w:r>
      <w:r w:rsidRPr="00C25D1A">
        <w:rPr>
          <w:rFonts w:eastAsia="Calibri"/>
          <w:noProof/>
        </w:rPr>
        <w:t>(Monascha &amp; Mahyb, 2006)</w:t>
      </w:r>
      <w:r w:rsidRPr="00C25D1A">
        <w:rPr>
          <w:rFonts w:eastAsia="Calibri"/>
        </w:rPr>
        <w:t xml:space="preserve">. Also, the </w:t>
      </w:r>
      <w:r>
        <w:rPr>
          <w:rFonts w:eastAsia="Calibri"/>
        </w:rPr>
        <w:t>finding that</w:t>
      </w:r>
      <w:r w:rsidRPr="00C25D1A">
        <w:rPr>
          <w:rFonts w:eastAsia="Calibri"/>
        </w:rPr>
        <w:t xml:space="preserve"> 2.5% of sexually exposed </w:t>
      </w:r>
      <w:r w:rsidRPr="00B23505">
        <w:rPr>
          <w:rFonts w:eastAsia="Calibri"/>
        </w:rPr>
        <w:t>respondents had had intercourse with a stranger, and the 4.2% prevalence of forced intercourse, heighten the health concern. Since about 42% of HIV new infections occur in those between the ages of 15 and 24 years among people aged 15 and older, and the majority of these infections occur in sub-Saharan Africa (USAID, 2012), a targeted preventive and control programme aimed at young people not in school or employment could lead to changes in their sex</w:t>
      </w:r>
      <w:r w:rsidRPr="00C25D1A">
        <w:rPr>
          <w:rFonts w:eastAsia="Calibri"/>
        </w:rPr>
        <w:t xml:space="preserve"> behavio</w:t>
      </w:r>
      <w:r>
        <w:rPr>
          <w:rFonts w:eastAsia="Calibri"/>
        </w:rPr>
        <w:t>u</w:t>
      </w:r>
      <w:r w:rsidRPr="00C25D1A">
        <w:rPr>
          <w:rFonts w:eastAsia="Calibri"/>
        </w:rPr>
        <w:t>r and h</w:t>
      </w:r>
      <w:r>
        <w:rPr>
          <w:rFonts w:eastAsia="Calibri"/>
        </w:rPr>
        <w:t>ave a significant impact on the</w:t>
      </w:r>
      <w:r w:rsidRPr="00C25D1A">
        <w:rPr>
          <w:rFonts w:eastAsia="Calibri"/>
        </w:rPr>
        <w:t xml:space="preserve"> </w:t>
      </w:r>
      <w:r>
        <w:rPr>
          <w:rFonts w:eastAsia="Calibri"/>
        </w:rPr>
        <w:t>spread of HIV</w:t>
      </w:r>
      <w:r w:rsidRPr="00C25D1A">
        <w:rPr>
          <w:rFonts w:eastAsia="Calibri"/>
        </w:rPr>
        <w:t>.</w:t>
      </w:r>
    </w:p>
    <w:p w:rsidR="00920BE8" w:rsidRPr="00C25D1A" w:rsidRDefault="00920BE8" w:rsidP="00920BE8">
      <w:pPr>
        <w:pStyle w:val="Text"/>
        <w:rPr>
          <w:rFonts w:eastAsia="Calibri"/>
        </w:rPr>
      </w:pPr>
      <w:r>
        <w:rPr>
          <w:rFonts w:eastAsia="Calibri"/>
        </w:rPr>
        <w:tab/>
      </w:r>
      <w:r w:rsidRPr="00C25D1A">
        <w:rPr>
          <w:rFonts w:eastAsia="Calibri"/>
        </w:rPr>
        <w:t>In mitigating the unwanted effect</w:t>
      </w:r>
      <w:r>
        <w:rPr>
          <w:rFonts w:eastAsia="Calibri"/>
        </w:rPr>
        <w:t>s</w:t>
      </w:r>
      <w:r w:rsidRPr="00C25D1A">
        <w:rPr>
          <w:rFonts w:eastAsia="Calibri"/>
        </w:rPr>
        <w:t xml:space="preserve"> of premarital sexual experimentation, use of contraception takes centre stage. Although 80% of </w:t>
      </w:r>
      <w:r>
        <w:rPr>
          <w:rFonts w:eastAsia="Calibri"/>
        </w:rPr>
        <w:t xml:space="preserve">the </w:t>
      </w:r>
      <w:r w:rsidRPr="00C25D1A">
        <w:rPr>
          <w:rFonts w:eastAsia="Calibri"/>
        </w:rPr>
        <w:t xml:space="preserve">sexually active respondents had ever used a contraceptive method, mainly </w:t>
      </w:r>
      <w:r>
        <w:rPr>
          <w:rFonts w:eastAsia="Calibri"/>
        </w:rPr>
        <w:t xml:space="preserve">the </w:t>
      </w:r>
      <w:r w:rsidRPr="00C25D1A">
        <w:rPr>
          <w:rFonts w:eastAsia="Calibri"/>
        </w:rPr>
        <w:t xml:space="preserve">male condom, </w:t>
      </w:r>
      <w:r>
        <w:rPr>
          <w:rFonts w:eastAsia="Calibri"/>
        </w:rPr>
        <w:t>fewer</w:t>
      </w:r>
      <w:r w:rsidRPr="00C25D1A">
        <w:rPr>
          <w:rFonts w:eastAsia="Calibri"/>
        </w:rPr>
        <w:t xml:space="preserve"> than a quarter were consistent users. </w:t>
      </w:r>
      <w:r>
        <w:rPr>
          <w:rFonts w:eastAsia="Calibri"/>
        </w:rPr>
        <w:t>H</w:t>
      </w:r>
      <w:r w:rsidRPr="00C25D1A">
        <w:rPr>
          <w:rFonts w:eastAsia="Calibri"/>
        </w:rPr>
        <w:t xml:space="preserve">igh contraceptive awareness </w:t>
      </w:r>
      <w:r>
        <w:rPr>
          <w:rFonts w:eastAsia="Calibri"/>
        </w:rPr>
        <w:t>among</w:t>
      </w:r>
      <w:r w:rsidRPr="00C25D1A">
        <w:rPr>
          <w:rFonts w:eastAsia="Calibri"/>
        </w:rPr>
        <w:t xml:space="preserve"> </w:t>
      </w:r>
      <w:r>
        <w:rPr>
          <w:rFonts w:eastAsia="Calibri"/>
        </w:rPr>
        <w:t>young people</w:t>
      </w:r>
      <w:r w:rsidRPr="00C25D1A">
        <w:rPr>
          <w:rFonts w:eastAsia="Calibri"/>
        </w:rPr>
        <w:t xml:space="preserve"> </w:t>
      </w:r>
      <w:r>
        <w:rPr>
          <w:rFonts w:eastAsia="Calibri"/>
        </w:rPr>
        <w:t>has</w:t>
      </w:r>
      <w:r w:rsidRPr="00C25D1A">
        <w:rPr>
          <w:rFonts w:eastAsia="Calibri"/>
        </w:rPr>
        <w:t xml:space="preserve"> often</w:t>
      </w:r>
      <w:r>
        <w:rPr>
          <w:rFonts w:eastAsia="Calibri"/>
        </w:rPr>
        <w:t xml:space="preserve"> been demonstrated in south-west Nigeria </w:t>
      </w:r>
      <w:r w:rsidRPr="00C25D1A">
        <w:rPr>
          <w:rFonts w:eastAsia="Calibri"/>
          <w:noProof/>
        </w:rPr>
        <w:t xml:space="preserve">(Atere </w:t>
      </w:r>
      <w:r w:rsidRPr="0096290B">
        <w:rPr>
          <w:rFonts w:eastAsia="Calibri"/>
          <w:i/>
          <w:noProof/>
        </w:rPr>
        <w:t>et al</w:t>
      </w:r>
      <w:r w:rsidRPr="00C25D1A">
        <w:rPr>
          <w:rFonts w:eastAsia="Calibri"/>
          <w:noProof/>
        </w:rPr>
        <w:t>., 2010)</w:t>
      </w:r>
      <w:r w:rsidRPr="00C25D1A">
        <w:rPr>
          <w:rFonts w:eastAsia="Calibri"/>
        </w:rPr>
        <w:t xml:space="preserve">. However, the dominance of </w:t>
      </w:r>
      <w:r>
        <w:rPr>
          <w:rFonts w:eastAsia="Calibri"/>
        </w:rPr>
        <w:t xml:space="preserve">the </w:t>
      </w:r>
      <w:r w:rsidRPr="00C25D1A">
        <w:rPr>
          <w:rFonts w:eastAsia="Calibri"/>
        </w:rPr>
        <w:t>male condom could pose a challenge of power imbalance in contraceptive negotiation</w:t>
      </w:r>
      <w:r>
        <w:rPr>
          <w:rFonts w:eastAsia="Calibri"/>
        </w:rPr>
        <w:t>,</w:t>
      </w:r>
      <w:r w:rsidRPr="00C25D1A">
        <w:rPr>
          <w:rFonts w:eastAsia="Calibri"/>
        </w:rPr>
        <w:t xml:space="preserve"> especially when the male partner declines usage. </w:t>
      </w:r>
      <w:r>
        <w:rPr>
          <w:rFonts w:eastAsia="Calibri"/>
        </w:rPr>
        <w:t>O</w:t>
      </w:r>
      <w:r w:rsidRPr="00C25D1A">
        <w:rPr>
          <w:rFonts w:eastAsia="Calibri"/>
        </w:rPr>
        <w:t xml:space="preserve">ther contraceptive methods that gives the female partner options in case the man declines to use </w:t>
      </w:r>
      <w:r>
        <w:rPr>
          <w:rFonts w:eastAsia="Calibri"/>
        </w:rPr>
        <w:t>a</w:t>
      </w:r>
      <w:r w:rsidRPr="00C25D1A">
        <w:rPr>
          <w:rFonts w:eastAsia="Calibri"/>
        </w:rPr>
        <w:t xml:space="preserve"> condom</w:t>
      </w:r>
      <w:r>
        <w:rPr>
          <w:rFonts w:eastAsia="Calibri"/>
        </w:rPr>
        <w:t xml:space="preserve"> should therefore be promoted</w:t>
      </w:r>
      <w:r w:rsidRPr="00C25D1A">
        <w:rPr>
          <w:rFonts w:eastAsia="Calibri"/>
        </w:rPr>
        <w:t xml:space="preserve">. To this end, more efforts should be deployed towards promoting acceptance and use of female-centred barrier contraception. </w:t>
      </w:r>
    </w:p>
    <w:p w:rsidR="00920BE8" w:rsidRPr="00C25D1A" w:rsidRDefault="00920BE8" w:rsidP="00920BE8">
      <w:pPr>
        <w:pStyle w:val="Text"/>
        <w:rPr>
          <w:rFonts w:eastAsia="Calibri"/>
        </w:rPr>
      </w:pPr>
      <w:r>
        <w:rPr>
          <w:rFonts w:eastAsia="Calibri"/>
        </w:rPr>
        <w:tab/>
      </w:r>
      <w:r w:rsidRPr="00C25D1A">
        <w:rPr>
          <w:rFonts w:eastAsia="Calibri"/>
        </w:rPr>
        <w:t>Secondly, more important than prevalence is consistence in the use of barrier contraception for prevention of STIs</w:t>
      </w:r>
      <w:r>
        <w:rPr>
          <w:rFonts w:eastAsia="Calibri"/>
        </w:rPr>
        <w:t>,</w:t>
      </w:r>
      <w:r w:rsidRPr="00C25D1A">
        <w:rPr>
          <w:rFonts w:eastAsia="Calibri"/>
        </w:rPr>
        <w:t xml:space="preserve"> including HIV. For example, Morrison-Beedy </w:t>
      </w:r>
      <w:r w:rsidRPr="00C25D1A">
        <w:rPr>
          <w:rFonts w:eastAsia="Calibri"/>
          <w:i/>
        </w:rPr>
        <w:t>et al</w:t>
      </w:r>
      <w:r>
        <w:rPr>
          <w:rFonts w:eastAsia="Calibri"/>
          <w:i/>
        </w:rPr>
        <w:t>.</w:t>
      </w:r>
      <w:r w:rsidRPr="00C25D1A">
        <w:rPr>
          <w:rFonts w:eastAsia="Calibri"/>
        </w:rPr>
        <w:t xml:space="preserve"> </w:t>
      </w:r>
      <w:r>
        <w:rPr>
          <w:rFonts w:eastAsia="Calibri"/>
        </w:rPr>
        <w:t xml:space="preserve">(2011) </w:t>
      </w:r>
      <w:r w:rsidRPr="00C25D1A">
        <w:rPr>
          <w:rFonts w:eastAsia="Calibri"/>
        </w:rPr>
        <w:t>observed that 39% o</w:t>
      </w:r>
      <w:r w:rsidRPr="00B23505">
        <w:rPr>
          <w:rFonts w:eastAsia="Calibri"/>
        </w:rPr>
        <w:t>f adolescent girls in</w:t>
      </w:r>
      <w:r>
        <w:rPr>
          <w:rFonts w:eastAsia="Calibri"/>
        </w:rPr>
        <w:t xml:space="preserve"> New York</w:t>
      </w:r>
      <w:r w:rsidRPr="00C25D1A">
        <w:rPr>
          <w:rFonts w:eastAsia="Calibri"/>
        </w:rPr>
        <w:t xml:space="preserve"> ha</w:t>
      </w:r>
      <w:r>
        <w:rPr>
          <w:rFonts w:eastAsia="Calibri"/>
        </w:rPr>
        <w:t>d</w:t>
      </w:r>
      <w:r w:rsidRPr="00C25D1A">
        <w:rPr>
          <w:rFonts w:eastAsia="Calibri"/>
        </w:rPr>
        <w:t xml:space="preserve"> had STIs where condom use</w:t>
      </w:r>
      <w:r>
        <w:rPr>
          <w:rFonts w:eastAsia="Calibri"/>
        </w:rPr>
        <w:t xml:space="preserve"> was poor</w:t>
      </w:r>
      <w:r w:rsidRPr="00C25D1A">
        <w:rPr>
          <w:rFonts w:eastAsia="Calibri"/>
        </w:rPr>
        <w:t xml:space="preserve">. </w:t>
      </w:r>
      <w:r>
        <w:rPr>
          <w:rFonts w:eastAsia="Calibri"/>
        </w:rPr>
        <w:t>Young people</w:t>
      </w:r>
      <w:r w:rsidRPr="00C25D1A">
        <w:rPr>
          <w:rFonts w:eastAsia="Calibri"/>
        </w:rPr>
        <w:t xml:space="preserve"> need to be aware that only correct use of barrier contraception at every sexual intercourse protects against STIs and HIV </w:t>
      </w:r>
      <w:r w:rsidRPr="00C25D1A">
        <w:rPr>
          <w:rFonts w:eastAsia="Calibri"/>
          <w:noProof/>
        </w:rPr>
        <w:t xml:space="preserve">(Burazin </w:t>
      </w:r>
      <w:r w:rsidRPr="0096290B">
        <w:rPr>
          <w:rFonts w:eastAsia="Calibri"/>
          <w:i/>
          <w:noProof/>
        </w:rPr>
        <w:t>et al</w:t>
      </w:r>
      <w:r w:rsidRPr="00C25D1A">
        <w:rPr>
          <w:rFonts w:eastAsia="Calibri"/>
          <w:noProof/>
        </w:rPr>
        <w:t>., 2014)</w:t>
      </w:r>
      <w:r w:rsidRPr="00C25D1A">
        <w:rPr>
          <w:rFonts w:eastAsia="Calibri"/>
        </w:rPr>
        <w:t xml:space="preserve">. Also, the </w:t>
      </w:r>
      <w:r>
        <w:rPr>
          <w:rFonts w:eastAsia="Calibri"/>
        </w:rPr>
        <w:t xml:space="preserve">observed </w:t>
      </w:r>
      <w:r w:rsidRPr="00C25D1A">
        <w:rPr>
          <w:rFonts w:eastAsia="Calibri"/>
        </w:rPr>
        <w:t>situation</w:t>
      </w:r>
      <w:r>
        <w:rPr>
          <w:rFonts w:eastAsia="Calibri"/>
        </w:rPr>
        <w:t xml:space="preserve"> in which a third of those who we</w:t>
      </w:r>
      <w:r w:rsidRPr="00C25D1A">
        <w:rPr>
          <w:rFonts w:eastAsia="Calibri"/>
        </w:rPr>
        <w:t xml:space="preserve">re sexually active had either been pregnant or impregnated a partner shows that the high contraceptive prevalence did not match up </w:t>
      </w:r>
      <w:r>
        <w:rPr>
          <w:rFonts w:eastAsia="Calibri"/>
        </w:rPr>
        <w:t>to</w:t>
      </w:r>
      <w:r w:rsidRPr="00C25D1A">
        <w:rPr>
          <w:rFonts w:eastAsia="Calibri"/>
        </w:rPr>
        <w:t xml:space="preserve"> effective pregnancy prevention. Though </w:t>
      </w:r>
      <w:r>
        <w:rPr>
          <w:rFonts w:eastAsia="Calibri"/>
        </w:rPr>
        <w:t xml:space="preserve">the </w:t>
      </w:r>
      <w:r w:rsidRPr="00C25D1A">
        <w:rPr>
          <w:rFonts w:eastAsia="Calibri"/>
        </w:rPr>
        <w:t xml:space="preserve">male condom is cheap and readily available in </w:t>
      </w:r>
      <w:r>
        <w:rPr>
          <w:rFonts w:eastAsia="Calibri"/>
        </w:rPr>
        <w:t>the study area</w:t>
      </w:r>
      <w:r w:rsidRPr="00C25D1A">
        <w:rPr>
          <w:rFonts w:eastAsia="Calibri"/>
        </w:rPr>
        <w:t>, there is a need for continuous education on its consistent and correct use. But apart from the possibility of contraceptive failure, the use of withdrawal methods</w:t>
      </w:r>
      <w:r>
        <w:rPr>
          <w:rFonts w:eastAsia="Calibri"/>
        </w:rPr>
        <w:t>, which are</w:t>
      </w:r>
      <w:r w:rsidRPr="00C25D1A">
        <w:rPr>
          <w:rFonts w:eastAsia="Calibri"/>
        </w:rPr>
        <w:t xml:space="preserve"> known to be ineffective in preventing pregnanc</w:t>
      </w:r>
      <w:r>
        <w:rPr>
          <w:rFonts w:eastAsia="Calibri"/>
        </w:rPr>
        <w:t>y,</w:t>
      </w:r>
      <w:r w:rsidRPr="00C25D1A">
        <w:rPr>
          <w:rFonts w:eastAsia="Calibri"/>
        </w:rPr>
        <w:t xml:space="preserve"> by some of the respondents can also be a contributor to the </w:t>
      </w:r>
      <w:r>
        <w:rPr>
          <w:rFonts w:eastAsia="Calibri"/>
        </w:rPr>
        <w:t xml:space="preserve">high </w:t>
      </w:r>
      <w:r w:rsidRPr="00C25D1A">
        <w:rPr>
          <w:rFonts w:eastAsia="Calibri"/>
        </w:rPr>
        <w:t>unintended pregnancy rates.</w:t>
      </w:r>
    </w:p>
    <w:p w:rsidR="00920BE8" w:rsidRPr="00C25D1A" w:rsidRDefault="00920BE8" w:rsidP="00920BE8">
      <w:pPr>
        <w:pStyle w:val="Text"/>
        <w:rPr>
          <w:rFonts w:eastAsia="Calibri"/>
        </w:rPr>
      </w:pPr>
      <w:r>
        <w:rPr>
          <w:rFonts w:eastAsia="Calibri"/>
        </w:rPr>
        <w:tab/>
        <w:t>Family economic status appeared</w:t>
      </w:r>
      <w:r w:rsidRPr="00C25D1A">
        <w:rPr>
          <w:rFonts w:eastAsia="Calibri"/>
        </w:rPr>
        <w:t xml:space="preserve"> to be the only upbringing fact</w:t>
      </w:r>
      <w:r>
        <w:rPr>
          <w:rFonts w:eastAsia="Calibri"/>
        </w:rPr>
        <w:t>or that statistically influenced</w:t>
      </w:r>
      <w:r w:rsidRPr="00C25D1A">
        <w:rPr>
          <w:rFonts w:eastAsia="Calibri"/>
        </w:rPr>
        <w:t xml:space="preserve"> the propensity for premarital sexual experimentation among </w:t>
      </w:r>
      <w:r w:rsidRPr="00633716">
        <w:rPr>
          <w:rFonts w:eastAsia="Calibri"/>
        </w:rPr>
        <w:t xml:space="preserve">the </w:t>
      </w:r>
      <w:r>
        <w:rPr>
          <w:rFonts w:eastAsia="Calibri"/>
        </w:rPr>
        <w:t>respondents</w:t>
      </w:r>
      <w:r w:rsidRPr="00633716">
        <w:rPr>
          <w:rFonts w:eastAsia="Calibri"/>
        </w:rPr>
        <w:t>.</w:t>
      </w:r>
      <w:r w:rsidRPr="00C25D1A">
        <w:rPr>
          <w:rFonts w:eastAsia="Calibri"/>
        </w:rPr>
        <w:t xml:space="preserve"> Also</w:t>
      </w:r>
      <w:r>
        <w:rPr>
          <w:rFonts w:eastAsia="Calibri"/>
        </w:rPr>
        <w:t xml:space="preserve"> a greater</w:t>
      </w:r>
      <w:r w:rsidRPr="00C25D1A">
        <w:rPr>
          <w:rFonts w:eastAsia="Calibri"/>
        </w:rPr>
        <w:t xml:space="preserve"> tendency for sexual debut to occur as a teenager </w:t>
      </w:r>
      <w:r>
        <w:rPr>
          <w:rFonts w:eastAsia="Calibri"/>
        </w:rPr>
        <w:t>was found among respondents raised by a single parent compared with those raised by two parents. This</w:t>
      </w:r>
      <w:r w:rsidRPr="00C25D1A">
        <w:rPr>
          <w:rFonts w:eastAsia="Calibri"/>
        </w:rPr>
        <w:t xml:space="preserve"> could be </w:t>
      </w:r>
      <w:r>
        <w:rPr>
          <w:rFonts w:eastAsia="Calibri"/>
        </w:rPr>
        <w:t>because,</w:t>
      </w:r>
      <w:r w:rsidRPr="00C25D1A">
        <w:rPr>
          <w:rFonts w:eastAsia="Calibri"/>
        </w:rPr>
        <w:t xml:space="preserve"> in the face of poverty</w:t>
      </w:r>
      <w:r>
        <w:rPr>
          <w:rFonts w:eastAsia="Calibri"/>
        </w:rPr>
        <w:t>,</w:t>
      </w:r>
      <w:r w:rsidRPr="00C25D1A">
        <w:rPr>
          <w:rFonts w:eastAsia="Calibri"/>
        </w:rPr>
        <w:t xml:space="preserve"> the likelihood </w:t>
      </w:r>
      <w:r>
        <w:rPr>
          <w:rFonts w:eastAsia="Calibri"/>
        </w:rPr>
        <w:t>of</w:t>
      </w:r>
      <w:r w:rsidRPr="00C25D1A">
        <w:rPr>
          <w:rFonts w:eastAsia="Calibri"/>
        </w:rPr>
        <w:t xml:space="preserve"> premarital sexual exploration is high. This is especially true of unmarried female youths</w:t>
      </w:r>
      <w:r>
        <w:rPr>
          <w:rFonts w:eastAsia="Calibri"/>
        </w:rPr>
        <w:t>, who</w:t>
      </w:r>
      <w:r w:rsidRPr="00C25D1A">
        <w:rPr>
          <w:rFonts w:eastAsia="Calibri"/>
        </w:rPr>
        <w:t xml:space="preserve"> could be cajoled into sex</w:t>
      </w:r>
      <w:r>
        <w:rPr>
          <w:rFonts w:eastAsia="Calibri"/>
        </w:rPr>
        <w:t>ual</w:t>
      </w:r>
      <w:r w:rsidRPr="00C25D1A">
        <w:rPr>
          <w:rFonts w:eastAsia="Calibri"/>
        </w:rPr>
        <w:t xml:space="preserve"> relationship</w:t>
      </w:r>
      <w:r>
        <w:rPr>
          <w:rFonts w:eastAsia="Calibri"/>
        </w:rPr>
        <w:t>s i</w:t>
      </w:r>
      <w:r w:rsidRPr="00C25D1A">
        <w:rPr>
          <w:rFonts w:eastAsia="Calibri"/>
        </w:rPr>
        <w:t xml:space="preserve">n </w:t>
      </w:r>
      <w:r>
        <w:rPr>
          <w:rFonts w:eastAsia="Calibri"/>
        </w:rPr>
        <w:t>order to meet basic</w:t>
      </w:r>
      <w:r w:rsidRPr="00C25D1A">
        <w:rPr>
          <w:rFonts w:eastAsia="Calibri"/>
        </w:rPr>
        <w:t xml:space="preserve"> needs </w:t>
      </w:r>
      <w:r w:rsidRPr="00C25D1A">
        <w:rPr>
          <w:rFonts w:eastAsia="Calibri"/>
          <w:noProof/>
        </w:rPr>
        <w:t xml:space="preserve">(Gorgen </w:t>
      </w:r>
      <w:r w:rsidRPr="0096290B">
        <w:rPr>
          <w:rFonts w:eastAsia="Calibri"/>
          <w:i/>
          <w:noProof/>
        </w:rPr>
        <w:t>et al</w:t>
      </w:r>
      <w:r>
        <w:rPr>
          <w:rFonts w:eastAsia="Calibri"/>
          <w:noProof/>
        </w:rPr>
        <w:t>.</w:t>
      </w:r>
      <w:r w:rsidRPr="00C25D1A">
        <w:rPr>
          <w:rFonts w:eastAsia="Calibri"/>
          <w:noProof/>
        </w:rPr>
        <w:t>, 1998)</w:t>
      </w:r>
      <w:r w:rsidRPr="00C25D1A">
        <w:rPr>
          <w:rFonts w:eastAsia="Calibri"/>
        </w:rPr>
        <w:t xml:space="preserve">. </w:t>
      </w:r>
    </w:p>
    <w:p w:rsidR="00920BE8" w:rsidRPr="00C25D1A" w:rsidRDefault="00920BE8" w:rsidP="00920BE8">
      <w:pPr>
        <w:pStyle w:val="Text"/>
        <w:rPr>
          <w:rFonts w:eastAsia="Calibri"/>
        </w:rPr>
      </w:pPr>
      <w:r>
        <w:rPr>
          <w:rFonts w:eastAsia="Calibri"/>
        </w:rPr>
        <w:tab/>
      </w:r>
      <w:r w:rsidRPr="00C25D1A">
        <w:rPr>
          <w:rFonts w:eastAsia="Calibri"/>
        </w:rPr>
        <w:t xml:space="preserve">Family context has been shown to have consistent and strong effects on the timing of sexual debut. Studies have shown that adolescents living in single-parent families initiate sexual activity earlier than those in two-parent families </w:t>
      </w:r>
      <w:r w:rsidRPr="00C25D1A">
        <w:rPr>
          <w:rFonts w:eastAsia="Calibri"/>
          <w:noProof/>
        </w:rPr>
        <w:t xml:space="preserve">(Sweeting </w:t>
      </w:r>
      <w:r w:rsidRPr="0096290B">
        <w:rPr>
          <w:rFonts w:eastAsia="Calibri"/>
          <w:i/>
          <w:noProof/>
        </w:rPr>
        <w:t>et al</w:t>
      </w:r>
      <w:r>
        <w:rPr>
          <w:rFonts w:eastAsia="Calibri"/>
          <w:noProof/>
        </w:rPr>
        <w:t>.</w:t>
      </w:r>
      <w:r w:rsidRPr="00C25D1A">
        <w:rPr>
          <w:rFonts w:eastAsia="Calibri"/>
          <w:noProof/>
        </w:rPr>
        <w:t>, 1998</w:t>
      </w:r>
      <w:r>
        <w:rPr>
          <w:rFonts w:eastAsia="Calibri"/>
          <w:noProof/>
        </w:rPr>
        <w:t xml:space="preserve">; </w:t>
      </w:r>
      <w:r w:rsidRPr="00C25D1A">
        <w:rPr>
          <w:rFonts w:eastAsia="Calibri"/>
          <w:noProof/>
        </w:rPr>
        <w:t xml:space="preserve">Manlove </w:t>
      </w:r>
      <w:r w:rsidRPr="0096290B">
        <w:rPr>
          <w:rFonts w:eastAsia="Calibri"/>
          <w:i/>
          <w:noProof/>
        </w:rPr>
        <w:t>et al</w:t>
      </w:r>
      <w:r>
        <w:rPr>
          <w:rFonts w:eastAsia="Calibri"/>
          <w:noProof/>
        </w:rPr>
        <w:t>.</w:t>
      </w:r>
      <w:r w:rsidRPr="00C25D1A">
        <w:rPr>
          <w:rFonts w:eastAsia="Calibri"/>
          <w:noProof/>
        </w:rPr>
        <w:t>, 2007)</w:t>
      </w:r>
      <w:r w:rsidRPr="00C25D1A">
        <w:rPr>
          <w:rFonts w:eastAsia="Calibri"/>
        </w:rPr>
        <w:t xml:space="preserve">. </w:t>
      </w:r>
      <w:r>
        <w:rPr>
          <w:rFonts w:eastAsia="Calibri"/>
        </w:rPr>
        <w:t>The present</w:t>
      </w:r>
      <w:r w:rsidRPr="00C25D1A">
        <w:rPr>
          <w:rFonts w:eastAsia="Calibri"/>
        </w:rPr>
        <w:t xml:space="preserve"> findings corroborate this. Strengthening of </w:t>
      </w:r>
      <w:r>
        <w:rPr>
          <w:rFonts w:eastAsia="Calibri"/>
        </w:rPr>
        <w:t xml:space="preserve">the </w:t>
      </w:r>
      <w:r w:rsidRPr="00C25D1A">
        <w:rPr>
          <w:rFonts w:eastAsia="Calibri"/>
        </w:rPr>
        <w:t xml:space="preserve">family institution and </w:t>
      </w:r>
      <w:r>
        <w:rPr>
          <w:rFonts w:eastAsia="Calibri"/>
        </w:rPr>
        <w:t xml:space="preserve">the </w:t>
      </w:r>
      <w:r w:rsidRPr="00C25D1A">
        <w:rPr>
          <w:rFonts w:eastAsia="Calibri"/>
        </w:rPr>
        <w:t xml:space="preserve">eradication of poverty and hunger </w:t>
      </w:r>
      <w:r>
        <w:rPr>
          <w:rFonts w:eastAsia="Calibri"/>
        </w:rPr>
        <w:t>would</w:t>
      </w:r>
      <w:r w:rsidRPr="00C25D1A">
        <w:rPr>
          <w:rFonts w:eastAsia="Calibri"/>
        </w:rPr>
        <w:t xml:space="preserve"> therefore </w:t>
      </w:r>
      <w:r>
        <w:rPr>
          <w:rFonts w:eastAsia="Calibri"/>
        </w:rPr>
        <w:t>play</w:t>
      </w:r>
      <w:r w:rsidRPr="00C25D1A">
        <w:rPr>
          <w:rFonts w:eastAsia="Calibri"/>
        </w:rPr>
        <w:t xml:space="preserve"> contributory roles in </w:t>
      </w:r>
      <w:r>
        <w:rPr>
          <w:rFonts w:eastAsia="Calibri"/>
        </w:rPr>
        <w:t xml:space="preserve">decreasing </w:t>
      </w:r>
      <w:r w:rsidRPr="00C25D1A">
        <w:rPr>
          <w:rFonts w:eastAsia="Calibri"/>
        </w:rPr>
        <w:t>risky sexual activit</w:t>
      </w:r>
      <w:r>
        <w:rPr>
          <w:rFonts w:eastAsia="Calibri"/>
        </w:rPr>
        <w:t>y</w:t>
      </w:r>
      <w:r w:rsidRPr="00C25D1A">
        <w:rPr>
          <w:rFonts w:eastAsia="Calibri"/>
        </w:rPr>
        <w:t xml:space="preserve"> among </w:t>
      </w:r>
      <w:r>
        <w:rPr>
          <w:rFonts w:eastAsia="Calibri"/>
        </w:rPr>
        <w:t>young people</w:t>
      </w:r>
      <w:r w:rsidRPr="00C25D1A">
        <w:rPr>
          <w:rFonts w:eastAsia="Calibri"/>
        </w:rPr>
        <w:t xml:space="preserve">. </w:t>
      </w:r>
    </w:p>
    <w:p w:rsidR="00920BE8" w:rsidRPr="00C25D1A" w:rsidRDefault="00920BE8" w:rsidP="00920BE8">
      <w:pPr>
        <w:pStyle w:val="Text"/>
        <w:rPr>
          <w:rFonts w:eastAsia="Calibri"/>
        </w:rPr>
      </w:pPr>
      <w:r>
        <w:rPr>
          <w:rFonts w:eastAsia="Calibri"/>
        </w:rPr>
        <w:tab/>
        <w:t>M</w:t>
      </w:r>
      <w:r w:rsidRPr="00C25D1A">
        <w:rPr>
          <w:rFonts w:eastAsia="Calibri"/>
        </w:rPr>
        <w:t xml:space="preserve">ost existing local and regional studies have defined </w:t>
      </w:r>
      <w:r>
        <w:rPr>
          <w:rFonts w:eastAsia="Calibri"/>
        </w:rPr>
        <w:t>‘youths’ as those</w:t>
      </w:r>
      <w:r w:rsidRPr="00C25D1A">
        <w:rPr>
          <w:rFonts w:eastAsia="Calibri"/>
        </w:rPr>
        <w:t xml:space="preserve"> age</w:t>
      </w:r>
      <w:r>
        <w:rPr>
          <w:rFonts w:eastAsia="Calibri"/>
        </w:rPr>
        <w:t>d</w:t>
      </w:r>
      <w:r w:rsidRPr="00C25D1A">
        <w:rPr>
          <w:rFonts w:eastAsia="Calibri"/>
        </w:rPr>
        <w:t xml:space="preserve"> 15</w:t>
      </w:r>
      <w:r>
        <w:rPr>
          <w:rFonts w:eastAsia="Calibri"/>
        </w:rPr>
        <w:t>–</w:t>
      </w:r>
      <w:r w:rsidRPr="00C25D1A">
        <w:rPr>
          <w:rFonts w:eastAsia="Calibri"/>
        </w:rPr>
        <w:t>24 years</w:t>
      </w:r>
      <w:r>
        <w:rPr>
          <w:rFonts w:eastAsia="Calibri"/>
        </w:rPr>
        <w:t>,</w:t>
      </w:r>
      <w:r w:rsidRPr="00C25D1A">
        <w:rPr>
          <w:rFonts w:eastAsia="Calibri"/>
        </w:rPr>
        <w:t xml:space="preserve"> but </w:t>
      </w:r>
      <w:r>
        <w:rPr>
          <w:rFonts w:eastAsia="Calibri"/>
        </w:rPr>
        <w:t>in this study</w:t>
      </w:r>
      <w:r w:rsidRPr="00C25D1A">
        <w:rPr>
          <w:rFonts w:eastAsia="Calibri"/>
        </w:rPr>
        <w:t xml:space="preserve"> youths </w:t>
      </w:r>
      <w:r>
        <w:rPr>
          <w:rFonts w:eastAsia="Calibri"/>
        </w:rPr>
        <w:t xml:space="preserve">were defined according to </w:t>
      </w:r>
      <w:r w:rsidRPr="00C25D1A">
        <w:rPr>
          <w:rFonts w:eastAsia="Calibri"/>
        </w:rPr>
        <w:t xml:space="preserve">the African Youth Charter </w:t>
      </w:r>
      <w:r w:rsidRPr="00C25D1A">
        <w:rPr>
          <w:rFonts w:eastAsia="Calibri"/>
          <w:noProof/>
        </w:rPr>
        <w:t>(African Union Commission, 2006)</w:t>
      </w:r>
      <w:r w:rsidRPr="00C25D1A">
        <w:rPr>
          <w:rFonts w:eastAsia="Calibri"/>
        </w:rPr>
        <w:t xml:space="preserve">. Indeed, the reality is that due to poverty and lack of early schooling opportunities, many </w:t>
      </w:r>
      <w:r>
        <w:rPr>
          <w:rFonts w:eastAsia="Calibri"/>
        </w:rPr>
        <w:t>Nigerian</w:t>
      </w:r>
      <w:r w:rsidRPr="00C25D1A">
        <w:rPr>
          <w:rFonts w:eastAsia="Calibri"/>
        </w:rPr>
        <w:t xml:space="preserve"> youths start their education late. A chunk are therefore still actively </w:t>
      </w:r>
      <w:r>
        <w:rPr>
          <w:rFonts w:eastAsia="Calibri"/>
        </w:rPr>
        <w:t>‘schooled’</w:t>
      </w:r>
      <w:r w:rsidRPr="00C25D1A">
        <w:rPr>
          <w:rFonts w:eastAsia="Calibri"/>
        </w:rPr>
        <w:t xml:space="preserve"> up to the age of 35 years, </w:t>
      </w:r>
      <w:r>
        <w:rPr>
          <w:rFonts w:eastAsia="Calibri"/>
        </w:rPr>
        <w:t xml:space="preserve">and </w:t>
      </w:r>
      <w:r w:rsidRPr="00C25D1A">
        <w:rPr>
          <w:rFonts w:eastAsia="Calibri"/>
        </w:rPr>
        <w:t>some unfortunately have to drop out of school</w:t>
      </w:r>
      <w:r>
        <w:rPr>
          <w:rFonts w:eastAsia="Calibri"/>
        </w:rPr>
        <w:t>/college</w:t>
      </w:r>
      <w:r w:rsidRPr="00C25D1A">
        <w:rPr>
          <w:rFonts w:eastAsia="Calibri"/>
        </w:rPr>
        <w:t xml:space="preserve"> within the age bracket 25</w:t>
      </w:r>
      <w:r>
        <w:rPr>
          <w:rFonts w:eastAsia="Calibri"/>
        </w:rPr>
        <w:t>–</w:t>
      </w:r>
      <w:r w:rsidRPr="00C25D1A">
        <w:rPr>
          <w:rFonts w:eastAsia="Calibri"/>
        </w:rPr>
        <w:t xml:space="preserve">35 years for </w:t>
      </w:r>
      <w:r>
        <w:rPr>
          <w:rFonts w:eastAsia="Calibri"/>
        </w:rPr>
        <w:t>various</w:t>
      </w:r>
      <w:r w:rsidRPr="00C25D1A">
        <w:rPr>
          <w:rFonts w:eastAsia="Calibri"/>
        </w:rPr>
        <w:t xml:space="preserve"> reasons. Inclusion of those within that age bracket is both important and correct to have </w:t>
      </w:r>
      <w:r>
        <w:rPr>
          <w:rFonts w:eastAsia="Calibri"/>
        </w:rPr>
        <w:t xml:space="preserve">a </w:t>
      </w:r>
      <w:r w:rsidRPr="00C25D1A">
        <w:rPr>
          <w:rFonts w:eastAsia="Calibri"/>
        </w:rPr>
        <w:t xml:space="preserve">holistic perception of </w:t>
      </w:r>
      <w:r>
        <w:rPr>
          <w:rFonts w:eastAsia="Calibri"/>
        </w:rPr>
        <w:t>out-of-school/college young people</w:t>
      </w:r>
      <w:r w:rsidRPr="00C25D1A">
        <w:rPr>
          <w:rFonts w:eastAsia="Calibri"/>
        </w:rPr>
        <w:t xml:space="preserve"> in a typical African setting. This study is possibly the first to make such consideration.</w:t>
      </w:r>
    </w:p>
    <w:p w:rsidR="00920BE8" w:rsidRPr="00C25D1A" w:rsidRDefault="00920BE8" w:rsidP="00920BE8">
      <w:pPr>
        <w:pStyle w:val="Text"/>
        <w:rPr>
          <w:rFonts w:eastAsia="Calibri"/>
        </w:rPr>
      </w:pPr>
      <w:r>
        <w:rPr>
          <w:rFonts w:eastAsia="Calibri"/>
        </w:rPr>
        <w:lastRenderedPageBreak/>
        <w:tab/>
        <w:t>The</w:t>
      </w:r>
      <w:r w:rsidRPr="00C25D1A">
        <w:rPr>
          <w:rFonts w:eastAsia="Calibri"/>
        </w:rPr>
        <w:t xml:space="preserve"> research is not </w:t>
      </w:r>
      <w:r>
        <w:rPr>
          <w:rFonts w:eastAsia="Calibri"/>
        </w:rPr>
        <w:t>without</w:t>
      </w:r>
      <w:r w:rsidRPr="00C25D1A">
        <w:rPr>
          <w:rFonts w:eastAsia="Calibri"/>
        </w:rPr>
        <w:t xml:space="preserve"> </w:t>
      </w:r>
      <w:r>
        <w:rPr>
          <w:rFonts w:eastAsia="Calibri"/>
        </w:rPr>
        <w:t xml:space="preserve">its </w:t>
      </w:r>
      <w:r w:rsidRPr="00C25D1A">
        <w:rPr>
          <w:rFonts w:eastAsia="Calibri"/>
        </w:rPr>
        <w:t>limitations. The challenge of under-reporting is common in sexual surveys. Biased response</w:t>
      </w:r>
      <w:r>
        <w:rPr>
          <w:rFonts w:eastAsia="Calibri"/>
        </w:rPr>
        <w:t>s</w:t>
      </w:r>
      <w:r w:rsidRPr="00C25D1A">
        <w:rPr>
          <w:rFonts w:eastAsia="Calibri"/>
        </w:rPr>
        <w:t xml:space="preserve"> to satisfy the curiosity of the investigator (social desirability) is also inherent in sexual survey studies. These limitations were</w:t>
      </w:r>
      <w:r>
        <w:rPr>
          <w:rFonts w:eastAsia="Calibri"/>
        </w:rPr>
        <w:t>,</w:t>
      </w:r>
      <w:r w:rsidRPr="00C25D1A">
        <w:rPr>
          <w:rFonts w:eastAsia="Calibri"/>
        </w:rPr>
        <w:t xml:space="preserve"> however</w:t>
      </w:r>
      <w:r>
        <w:rPr>
          <w:rFonts w:eastAsia="Calibri"/>
        </w:rPr>
        <w:t>,</w:t>
      </w:r>
      <w:r w:rsidRPr="00C25D1A">
        <w:rPr>
          <w:rFonts w:eastAsia="Calibri"/>
        </w:rPr>
        <w:t xml:space="preserve"> minimized by gender matching of interviewers to promote openness. Apart from the assumption of relaxed environments, there are possibilities of unknown cofounders </w:t>
      </w:r>
      <w:r>
        <w:rPr>
          <w:rFonts w:eastAsia="Calibri"/>
        </w:rPr>
        <w:t xml:space="preserve">that </w:t>
      </w:r>
      <w:r w:rsidRPr="00C25D1A">
        <w:rPr>
          <w:rFonts w:eastAsia="Calibri"/>
        </w:rPr>
        <w:t xml:space="preserve">could account for </w:t>
      </w:r>
      <w:r>
        <w:rPr>
          <w:rFonts w:eastAsia="Calibri"/>
        </w:rPr>
        <w:t xml:space="preserve">the </w:t>
      </w:r>
      <w:r w:rsidRPr="00C25D1A">
        <w:rPr>
          <w:rFonts w:eastAsia="Calibri"/>
        </w:rPr>
        <w:t>higher sexual activit</w:t>
      </w:r>
      <w:r>
        <w:rPr>
          <w:rFonts w:eastAsia="Calibri"/>
        </w:rPr>
        <w:t>y</w:t>
      </w:r>
      <w:r w:rsidRPr="00C25D1A">
        <w:rPr>
          <w:rFonts w:eastAsia="Calibri"/>
        </w:rPr>
        <w:t xml:space="preserve"> among </w:t>
      </w:r>
      <w:r>
        <w:rPr>
          <w:rFonts w:eastAsia="Calibri"/>
        </w:rPr>
        <w:t>the respondents that it was not possible</w:t>
      </w:r>
      <w:r w:rsidRPr="00C25D1A">
        <w:rPr>
          <w:rFonts w:eastAsia="Calibri"/>
        </w:rPr>
        <w:t xml:space="preserve"> to explore.  </w:t>
      </w:r>
    </w:p>
    <w:p w:rsidR="00920BE8" w:rsidRPr="00C25D1A" w:rsidRDefault="00920BE8" w:rsidP="00920BE8">
      <w:pPr>
        <w:pStyle w:val="Text"/>
        <w:rPr>
          <w:rFonts w:eastAsia="Calibri"/>
        </w:rPr>
      </w:pPr>
      <w:r>
        <w:rPr>
          <w:rFonts w:eastAsia="Calibri"/>
        </w:rPr>
        <w:tab/>
        <w:t>In conclusion, there is e</w:t>
      </w:r>
      <w:r w:rsidRPr="00C25D1A">
        <w:rPr>
          <w:rFonts w:eastAsia="Calibri"/>
        </w:rPr>
        <w:t xml:space="preserve">vidently </w:t>
      </w:r>
      <w:r>
        <w:rPr>
          <w:rFonts w:eastAsia="Calibri"/>
        </w:rPr>
        <w:t>a</w:t>
      </w:r>
      <w:r w:rsidRPr="00C25D1A">
        <w:rPr>
          <w:rFonts w:eastAsia="Calibri"/>
        </w:rPr>
        <w:t xml:space="preserve"> high </w:t>
      </w:r>
      <w:r>
        <w:rPr>
          <w:rFonts w:eastAsia="Calibri"/>
        </w:rPr>
        <w:t xml:space="preserve">level of </w:t>
      </w:r>
      <w:r w:rsidRPr="00C25D1A">
        <w:rPr>
          <w:rFonts w:eastAsia="Calibri"/>
        </w:rPr>
        <w:t xml:space="preserve">premarital sexual </w:t>
      </w:r>
      <w:r>
        <w:rPr>
          <w:rFonts w:eastAsia="Calibri"/>
        </w:rPr>
        <w:t>activity</w:t>
      </w:r>
      <w:r w:rsidRPr="00C25D1A">
        <w:rPr>
          <w:rFonts w:eastAsia="Calibri"/>
        </w:rPr>
        <w:t xml:space="preserve"> among </w:t>
      </w:r>
      <w:r>
        <w:rPr>
          <w:rFonts w:eastAsia="Calibri"/>
        </w:rPr>
        <w:t>young people who have dropped out of school or college</w:t>
      </w:r>
      <w:r w:rsidRPr="00C25D1A">
        <w:rPr>
          <w:rFonts w:eastAsia="Calibri"/>
        </w:rPr>
        <w:t xml:space="preserve"> in </w:t>
      </w:r>
      <w:r>
        <w:rPr>
          <w:rFonts w:eastAsia="Calibri"/>
        </w:rPr>
        <w:t>this</w:t>
      </w:r>
      <w:r w:rsidRPr="00C25D1A">
        <w:rPr>
          <w:rFonts w:eastAsia="Calibri"/>
        </w:rPr>
        <w:t xml:space="preserve"> Nigerian population. Although use of the male condom was common, </w:t>
      </w:r>
      <w:r>
        <w:rPr>
          <w:rFonts w:eastAsia="Calibri"/>
        </w:rPr>
        <w:t>the majority were not ‘all-</w:t>
      </w:r>
      <w:r w:rsidRPr="00C25D1A">
        <w:rPr>
          <w:rFonts w:eastAsia="Calibri"/>
        </w:rPr>
        <w:t>time</w:t>
      </w:r>
      <w:r>
        <w:rPr>
          <w:rFonts w:eastAsia="Calibri"/>
        </w:rPr>
        <w:t>’</w:t>
      </w:r>
      <w:r w:rsidRPr="00C25D1A">
        <w:rPr>
          <w:rFonts w:eastAsia="Calibri"/>
        </w:rPr>
        <w:t xml:space="preserve"> users. </w:t>
      </w:r>
      <w:r>
        <w:rPr>
          <w:rFonts w:eastAsia="Calibri"/>
        </w:rPr>
        <w:t>This probably</w:t>
      </w:r>
      <w:r w:rsidRPr="00C25D1A">
        <w:rPr>
          <w:rFonts w:eastAsia="Calibri"/>
        </w:rPr>
        <w:t xml:space="preserve"> accounts for </w:t>
      </w:r>
      <w:r>
        <w:rPr>
          <w:rFonts w:eastAsia="Calibri"/>
        </w:rPr>
        <w:t xml:space="preserve">the respondents’ </w:t>
      </w:r>
      <w:r w:rsidRPr="00C25D1A">
        <w:rPr>
          <w:rFonts w:eastAsia="Calibri"/>
        </w:rPr>
        <w:t>high unintended pregnancy rate and</w:t>
      </w:r>
      <w:r>
        <w:rPr>
          <w:rFonts w:eastAsia="Calibri"/>
        </w:rPr>
        <w:t>,</w:t>
      </w:r>
      <w:r w:rsidRPr="00C25D1A">
        <w:rPr>
          <w:rFonts w:eastAsia="Calibri"/>
        </w:rPr>
        <w:t xml:space="preserve"> by proxy, raises concern</w:t>
      </w:r>
      <w:r>
        <w:rPr>
          <w:rFonts w:eastAsia="Calibri"/>
        </w:rPr>
        <w:t>s about</w:t>
      </w:r>
      <w:r w:rsidRPr="00C25D1A">
        <w:rPr>
          <w:rFonts w:eastAsia="Calibri"/>
        </w:rPr>
        <w:t xml:space="preserve"> how well they have been using condom</w:t>
      </w:r>
      <w:r>
        <w:rPr>
          <w:rFonts w:eastAsia="Calibri"/>
        </w:rPr>
        <w:t>s</w:t>
      </w:r>
      <w:r w:rsidRPr="00C25D1A">
        <w:rPr>
          <w:rFonts w:eastAsia="Calibri"/>
        </w:rPr>
        <w:t>. Sin</w:t>
      </w:r>
      <w:r>
        <w:rPr>
          <w:rFonts w:eastAsia="Calibri"/>
        </w:rPr>
        <w:t>gle-parenting and family economic status was found to impact</w:t>
      </w:r>
      <w:r w:rsidRPr="00C25D1A">
        <w:rPr>
          <w:rFonts w:eastAsia="Calibri"/>
        </w:rPr>
        <w:t xml:space="preserve"> early sexual debut and premarital sexual experimentation. These observations bring to </w:t>
      </w:r>
      <w:r>
        <w:rPr>
          <w:rFonts w:eastAsia="Calibri"/>
        </w:rPr>
        <w:t xml:space="preserve">the </w:t>
      </w:r>
      <w:r w:rsidRPr="00C25D1A">
        <w:rPr>
          <w:rFonts w:eastAsia="Calibri"/>
        </w:rPr>
        <w:t>fore the need for reprodu</w:t>
      </w:r>
      <w:r>
        <w:rPr>
          <w:rFonts w:eastAsia="Calibri"/>
        </w:rPr>
        <w:t>ctive health workers and policy</w:t>
      </w:r>
      <w:r w:rsidRPr="00C25D1A">
        <w:rPr>
          <w:rFonts w:eastAsia="Calibri"/>
        </w:rPr>
        <w:t>makers to pay closer attention to sex</w:t>
      </w:r>
      <w:r>
        <w:rPr>
          <w:rFonts w:eastAsia="Calibri"/>
        </w:rPr>
        <w:t xml:space="preserve"> </w:t>
      </w:r>
      <w:r w:rsidRPr="00C25D1A">
        <w:rPr>
          <w:rFonts w:eastAsia="Calibri"/>
        </w:rPr>
        <w:t xml:space="preserve">education and reinforcement of consistent condom use among </w:t>
      </w:r>
      <w:r>
        <w:rPr>
          <w:rFonts w:eastAsia="Calibri"/>
        </w:rPr>
        <w:t>young people who have dropped out of school/college</w:t>
      </w:r>
      <w:r w:rsidRPr="00C25D1A">
        <w:rPr>
          <w:rFonts w:eastAsia="Calibri"/>
        </w:rPr>
        <w:t xml:space="preserve"> in Nigeria. </w:t>
      </w:r>
      <w:r>
        <w:rPr>
          <w:rFonts w:eastAsia="Calibri"/>
        </w:rPr>
        <w:t>The p</w:t>
      </w:r>
      <w:r w:rsidRPr="00C25D1A">
        <w:rPr>
          <w:rFonts w:eastAsia="Calibri"/>
        </w:rPr>
        <w:t>romoti</w:t>
      </w:r>
      <w:r>
        <w:rPr>
          <w:rFonts w:eastAsia="Calibri"/>
        </w:rPr>
        <w:t>on of female barrier contraceptive methods</w:t>
      </w:r>
      <w:r w:rsidRPr="00C25D1A">
        <w:rPr>
          <w:rFonts w:eastAsia="Calibri"/>
        </w:rPr>
        <w:t xml:space="preserve"> </w:t>
      </w:r>
      <w:r>
        <w:rPr>
          <w:rFonts w:eastAsia="Calibri"/>
        </w:rPr>
        <w:t>is</w:t>
      </w:r>
      <w:r w:rsidRPr="00C25D1A">
        <w:rPr>
          <w:rFonts w:eastAsia="Calibri"/>
        </w:rPr>
        <w:t xml:space="preserve"> also essential to protect </w:t>
      </w:r>
      <w:r>
        <w:rPr>
          <w:rFonts w:eastAsia="Calibri"/>
        </w:rPr>
        <w:t>females</w:t>
      </w:r>
      <w:r w:rsidRPr="00C25D1A">
        <w:rPr>
          <w:rFonts w:eastAsia="Calibri"/>
        </w:rPr>
        <w:t xml:space="preserve"> in situations where </w:t>
      </w:r>
      <w:r>
        <w:rPr>
          <w:rFonts w:eastAsia="Calibri"/>
        </w:rPr>
        <w:t xml:space="preserve">a </w:t>
      </w:r>
      <w:r w:rsidRPr="00C25D1A">
        <w:rPr>
          <w:rFonts w:eastAsia="Calibri"/>
        </w:rPr>
        <w:t xml:space="preserve">power imbalance exists and/or the male partner declines </w:t>
      </w:r>
      <w:r>
        <w:rPr>
          <w:rFonts w:eastAsia="Calibri"/>
        </w:rPr>
        <w:t>to use a</w:t>
      </w:r>
      <w:r w:rsidRPr="00C25D1A">
        <w:rPr>
          <w:rFonts w:eastAsia="Calibri"/>
        </w:rPr>
        <w:t xml:space="preserve"> male condom. Further still, economic empowerment and strengthened family institutions may </w:t>
      </w:r>
      <w:r>
        <w:rPr>
          <w:rFonts w:eastAsia="Calibri"/>
        </w:rPr>
        <w:t>help</w:t>
      </w:r>
      <w:r w:rsidRPr="00C25D1A">
        <w:rPr>
          <w:rFonts w:eastAsia="Calibri"/>
        </w:rPr>
        <w:t xml:space="preserve"> </w:t>
      </w:r>
      <w:r>
        <w:rPr>
          <w:rFonts w:eastAsia="Calibri"/>
        </w:rPr>
        <w:t>young people</w:t>
      </w:r>
      <w:r w:rsidRPr="00C25D1A">
        <w:rPr>
          <w:rFonts w:eastAsia="Calibri"/>
        </w:rPr>
        <w:t xml:space="preserve"> reduce sexual experimentation or sex for commercial gain.</w:t>
      </w:r>
      <w:r>
        <w:rPr>
          <w:rFonts w:eastAsia="Calibri"/>
        </w:rPr>
        <w:t xml:space="preserve"> The o</w:t>
      </w:r>
      <w:r w:rsidRPr="00C25D1A">
        <w:rPr>
          <w:rFonts w:eastAsia="Calibri"/>
        </w:rPr>
        <w:t>bservation</w:t>
      </w:r>
      <w:r>
        <w:rPr>
          <w:rFonts w:eastAsia="Calibri"/>
        </w:rPr>
        <w:t>s</w:t>
      </w:r>
      <w:r w:rsidRPr="00C25D1A">
        <w:rPr>
          <w:rFonts w:eastAsia="Calibri"/>
        </w:rPr>
        <w:t xml:space="preserve"> </w:t>
      </w:r>
      <w:r>
        <w:rPr>
          <w:rFonts w:eastAsia="Calibri"/>
        </w:rPr>
        <w:t xml:space="preserve">in </w:t>
      </w:r>
      <w:r w:rsidRPr="00C25D1A">
        <w:rPr>
          <w:rFonts w:eastAsia="Calibri"/>
        </w:rPr>
        <w:t xml:space="preserve">this study form a good pedestal for </w:t>
      </w:r>
      <w:r>
        <w:rPr>
          <w:rFonts w:eastAsia="Calibri"/>
        </w:rPr>
        <w:t xml:space="preserve">a </w:t>
      </w:r>
      <w:r w:rsidRPr="00C25D1A">
        <w:rPr>
          <w:rFonts w:eastAsia="Calibri"/>
        </w:rPr>
        <w:t xml:space="preserve">national sexual survey among </w:t>
      </w:r>
      <w:r>
        <w:rPr>
          <w:rFonts w:eastAsia="Calibri"/>
        </w:rPr>
        <w:t>school/college drop-outs</w:t>
      </w:r>
      <w:r w:rsidRPr="00C25D1A">
        <w:rPr>
          <w:rFonts w:eastAsia="Calibri"/>
        </w:rPr>
        <w:t xml:space="preserve">. </w:t>
      </w:r>
      <w:r>
        <w:rPr>
          <w:rFonts w:eastAsia="Calibri"/>
        </w:rPr>
        <w:t>Future research should</w:t>
      </w:r>
      <w:r w:rsidRPr="00C25D1A">
        <w:rPr>
          <w:rFonts w:eastAsia="Calibri"/>
        </w:rPr>
        <w:t xml:space="preserve"> probe </w:t>
      </w:r>
      <w:r>
        <w:rPr>
          <w:rFonts w:eastAsia="Calibri"/>
        </w:rPr>
        <w:t xml:space="preserve">the </w:t>
      </w:r>
      <w:r w:rsidRPr="00C25D1A">
        <w:rPr>
          <w:rFonts w:eastAsia="Calibri"/>
        </w:rPr>
        <w:t>prevalence of STIs</w:t>
      </w:r>
      <w:r>
        <w:rPr>
          <w:rFonts w:eastAsia="Calibri"/>
        </w:rPr>
        <w:t>,</w:t>
      </w:r>
      <w:r w:rsidRPr="00C25D1A">
        <w:rPr>
          <w:rFonts w:eastAsia="Calibri"/>
        </w:rPr>
        <w:t xml:space="preserve"> including HIV/AIDS</w:t>
      </w:r>
      <w:r>
        <w:rPr>
          <w:rFonts w:eastAsia="Calibri"/>
        </w:rPr>
        <w:t>,</w:t>
      </w:r>
      <w:r w:rsidRPr="00C25D1A">
        <w:rPr>
          <w:rFonts w:eastAsia="Calibri"/>
        </w:rPr>
        <w:t xml:space="preserve"> among </w:t>
      </w:r>
      <w:r>
        <w:rPr>
          <w:rFonts w:eastAsia="Calibri"/>
        </w:rPr>
        <w:t>school/college drop-outs in Nigeria</w:t>
      </w:r>
      <w:r w:rsidRPr="00C25D1A">
        <w:rPr>
          <w:rFonts w:eastAsia="Calibri"/>
        </w:rPr>
        <w:t>.</w:t>
      </w:r>
    </w:p>
    <w:p w:rsidR="00920BE8" w:rsidRPr="00C25D1A" w:rsidRDefault="00920BE8" w:rsidP="00920BE8">
      <w:pPr>
        <w:pStyle w:val="Heading1"/>
        <w:rPr>
          <w:rFonts w:eastAsia="Calibri"/>
        </w:rPr>
      </w:pPr>
      <w:r>
        <w:rPr>
          <w:rFonts w:eastAsia="Calibri"/>
        </w:rPr>
        <w:t>Acknowledg</w:t>
      </w:r>
      <w:r w:rsidRPr="00C25D1A">
        <w:rPr>
          <w:rFonts w:eastAsia="Calibri"/>
        </w:rPr>
        <w:t>ment</w:t>
      </w:r>
      <w:r>
        <w:rPr>
          <w:rFonts w:eastAsia="Calibri"/>
        </w:rPr>
        <w:t>s</w:t>
      </w:r>
    </w:p>
    <w:p w:rsidR="00920BE8" w:rsidRPr="00C25D1A" w:rsidRDefault="00920BE8" w:rsidP="00920BE8">
      <w:pPr>
        <w:pStyle w:val="Text"/>
        <w:rPr>
          <w:rFonts w:eastAsia="Calibri"/>
        </w:rPr>
      </w:pPr>
      <w:r w:rsidRPr="00C25D1A">
        <w:rPr>
          <w:rFonts w:eastAsia="Calibri"/>
        </w:rPr>
        <w:t>The research was self-funded.</w:t>
      </w:r>
      <w:r>
        <w:rPr>
          <w:rFonts w:eastAsia="Calibri"/>
        </w:rPr>
        <w:t xml:space="preserve"> </w:t>
      </w:r>
      <w:r w:rsidRPr="00C25D1A">
        <w:rPr>
          <w:rFonts w:eastAsia="Calibri"/>
        </w:rPr>
        <w:t>The authors declare that they have no competing interest.</w:t>
      </w:r>
    </w:p>
    <w:p w:rsidR="00920BE8" w:rsidRPr="00C25D1A" w:rsidRDefault="00920BE8" w:rsidP="00920BE8">
      <w:pPr>
        <w:pStyle w:val="Heading1"/>
        <w:rPr>
          <w:rFonts w:eastAsia="Calibri"/>
        </w:rPr>
      </w:pPr>
      <w:r w:rsidRPr="00C25D1A">
        <w:rPr>
          <w:rFonts w:eastAsia="Calibri"/>
        </w:rPr>
        <w:t>References</w:t>
      </w:r>
    </w:p>
    <w:p w:rsidR="00920BE8" w:rsidRPr="00C25D1A" w:rsidRDefault="00920BE8" w:rsidP="00920BE8">
      <w:pPr>
        <w:pStyle w:val="ReferencesText"/>
      </w:pPr>
      <w:r w:rsidRPr="00D468C9">
        <w:rPr>
          <w:b/>
        </w:rPr>
        <w:t>African Union Commission</w:t>
      </w:r>
      <w:r w:rsidRPr="00C25D1A">
        <w:t xml:space="preserve"> (2006</w:t>
      </w:r>
      <w:r>
        <w:t>)</w:t>
      </w:r>
      <w:r w:rsidRPr="00C25D1A">
        <w:t xml:space="preserve"> </w:t>
      </w:r>
      <w:r w:rsidRPr="00C25D1A">
        <w:rPr>
          <w:i/>
        </w:rPr>
        <w:t>African Youth Charter</w:t>
      </w:r>
      <w:r>
        <w:rPr>
          <w:i/>
        </w:rPr>
        <w:t>.</w:t>
      </w:r>
      <w:r w:rsidRPr="00C25D1A">
        <w:t xml:space="preserve"> African Union.</w:t>
      </w:r>
    </w:p>
    <w:p w:rsidR="00920BE8" w:rsidRPr="00C25D1A" w:rsidRDefault="00920BE8" w:rsidP="00920BE8">
      <w:pPr>
        <w:pStyle w:val="ReferencesText"/>
      </w:pPr>
      <w:r w:rsidRPr="00D468C9">
        <w:rPr>
          <w:b/>
        </w:rPr>
        <w:t>Atere, A., Wahab, E., Ajiboye, O., Shokoya, H., Akinwale, A. &amp; Oyenuga, A.</w:t>
      </w:r>
      <w:r w:rsidRPr="00C25D1A">
        <w:t xml:space="preserve"> (2010</w:t>
      </w:r>
      <w:r>
        <w:t>)</w:t>
      </w:r>
      <w:r w:rsidRPr="00C25D1A">
        <w:t xml:space="preserve"> Awareness of STIs and contraceptives use among out-of-school youths in Nigeria. </w:t>
      </w:r>
      <w:r w:rsidRPr="00C25D1A">
        <w:rPr>
          <w:i/>
        </w:rPr>
        <w:t>Ethno</w:t>
      </w:r>
      <w:r>
        <w:rPr>
          <w:i/>
        </w:rPr>
        <w:t>Med</w:t>
      </w:r>
      <w:r w:rsidRPr="00C25D1A">
        <w:rPr>
          <w:i/>
        </w:rPr>
        <w:t xml:space="preserve"> </w:t>
      </w:r>
      <w:r w:rsidRPr="00D468C9">
        <w:rPr>
          <w:b/>
        </w:rPr>
        <w:t>4</w:t>
      </w:r>
      <w:r w:rsidRPr="00C25D1A">
        <w:t>(2), 131</w:t>
      </w:r>
      <w:r>
        <w:t>–</w:t>
      </w:r>
      <w:r w:rsidRPr="00C25D1A">
        <w:t xml:space="preserve">137. </w:t>
      </w:r>
    </w:p>
    <w:p w:rsidR="00920BE8" w:rsidRPr="00C25D1A" w:rsidRDefault="00920BE8" w:rsidP="00920BE8">
      <w:pPr>
        <w:pStyle w:val="ReferencesText"/>
      </w:pPr>
      <w:r w:rsidRPr="00D468C9">
        <w:rPr>
          <w:b/>
        </w:rPr>
        <w:t xml:space="preserve">Bello, F. A., Olayemi, O., Fawole, A. O., Ogunbode, O. O., Sobukunola, T., Adesina, O. A. </w:t>
      </w:r>
      <w:r w:rsidRPr="00D468C9">
        <w:rPr>
          <w:b/>
          <w:i/>
        </w:rPr>
        <w:t>et al</w:t>
      </w:r>
      <w:r w:rsidRPr="00C25D1A">
        <w:t>. (2009</w:t>
      </w:r>
      <w:r>
        <w:t>)</w:t>
      </w:r>
      <w:r w:rsidRPr="00C25D1A">
        <w:t xml:space="preserve"> Perception and practice of emergency contraception among female undergraduates of the University of Ibadan, Nigeria. </w:t>
      </w:r>
      <w:r w:rsidRPr="00C25D1A">
        <w:rPr>
          <w:i/>
        </w:rPr>
        <w:t>Journal of</w:t>
      </w:r>
      <w:r>
        <w:rPr>
          <w:i/>
        </w:rPr>
        <w:t xml:space="preserve"> Reproduction and Contraception</w:t>
      </w:r>
      <w:r w:rsidRPr="00C25D1A">
        <w:rPr>
          <w:i/>
        </w:rPr>
        <w:t xml:space="preserve"> </w:t>
      </w:r>
      <w:r w:rsidRPr="00D468C9">
        <w:rPr>
          <w:b/>
        </w:rPr>
        <w:t>20</w:t>
      </w:r>
      <w:r w:rsidRPr="00C25D1A">
        <w:t>(2), 113</w:t>
      </w:r>
      <w:r>
        <w:t>–</w:t>
      </w:r>
      <w:r w:rsidRPr="00C25D1A">
        <w:t xml:space="preserve">121. </w:t>
      </w:r>
    </w:p>
    <w:p w:rsidR="00920BE8" w:rsidRPr="00C25D1A" w:rsidRDefault="00920BE8" w:rsidP="00920BE8">
      <w:pPr>
        <w:pStyle w:val="ReferencesText"/>
      </w:pPr>
      <w:r w:rsidRPr="00D468C9">
        <w:rPr>
          <w:b/>
        </w:rPr>
        <w:t>Burazin, J., Kožul, K., Miškulin, M., Dijanić, T., Medić, A. &amp; Jurčev-Savičević, A.</w:t>
      </w:r>
      <w:r w:rsidRPr="00C25D1A">
        <w:t xml:space="preserve"> (2014</w:t>
      </w:r>
      <w:r>
        <w:t>)</w:t>
      </w:r>
      <w:r w:rsidRPr="00C25D1A">
        <w:t xml:space="preserve"> Sexual behaviour and condom use as a protection against sexually transmitted infections in student population. </w:t>
      </w:r>
      <w:r>
        <w:rPr>
          <w:i/>
        </w:rPr>
        <w:t>Collegium A</w:t>
      </w:r>
      <w:r w:rsidRPr="00C25D1A">
        <w:rPr>
          <w:i/>
        </w:rPr>
        <w:t xml:space="preserve">ntropologicum </w:t>
      </w:r>
      <w:r w:rsidRPr="00D468C9">
        <w:rPr>
          <w:b/>
        </w:rPr>
        <w:t>38</w:t>
      </w:r>
      <w:r w:rsidRPr="00C25D1A">
        <w:t>(1), 31</w:t>
      </w:r>
      <w:r>
        <w:t>–</w:t>
      </w:r>
      <w:r w:rsidRPr="00C25D1A">
        <w:t xml:space="preserve">37. </w:t>
      </w:r>
    </w:p>
    <w:p w:rsidR="00920BE8" w:rsidRPr="00C25D1A" w:rsidRDefault="00920BE8" w:rsidP="00920BE8">
      <w:pPr>
        <w:pStyle w:val="ReferencesText"/>
      </w:pPr>
      <w:r w:rsidRPr="00D468C9">
        <w:rPr>
          <w:b/>
        </w:rPr>
        <w:t>Epstein, M., Bailey, J. A., Manhart, L. E., Hill, K. G. &amp; Hawkins, J. D.</w:t>
      </w:r>
      <w:r w:rsidRPr="00C25D1A">
        <w:t xml:space="preserve"> (2014</w:t>
      </w:r>
      <w:r>
        <w:t>)</w:t>
      </w:r>
      <w:r w:rsidRPr="00C25D1A">
        <w:t xml:space="preserve"> Sexual risk behavior in young adulthood: </w:t>
      </w:r>
      <w:r>
        <w:t>b</w:t>
      </w:r>
      <w:r w:rsidRPr="00C25D1A">
        <w:t xml:space="preserve">roadening the scope beyond early sexual initiation. </w:t>
      </w:r>
      <w:r>
        <w:rPr>
          <w:i/>
        </w:rPr>
        <w:t>Journal of Sex Research</w:t>
      </w:r>
      <w:r w:rsidRPr="00C25D1A">
        <w:rPr>
          <w:i/>
        </w:rPr>
        <w:t xml:space="preserve"> </w:t>
      </w:r>
      <w:r w:rsidRPr="00D468C9">
        <w:rPr>
          <w:b/>
        </w:rPr>
        <w:t>51</w:t>
      </w:r>
      <w:r w:rsidRPr="00C25D1A">
        <w:t>(7), 721</w:t>
      </w:r>
      <w:r>
        <w:t>–</w:t>
      </w:r>
      <w:r w:rsidRPr="00C25D1A">
        <w:t xml:space="preserve">730. </w:t>
      </w:r>
    </w:p>
    <w:p w:rsidR="00920BE8" w:rsidRPr="00C25D1A" w:rsidRDefault="00920BE8" w:rsidP="00920BE8">
      <w:pPr>
        <w:pStyle w:val="ReferencesText"/>
      </w:pPr>
      <w:r w:rsidRPr="00D468C9">
        <w:rPr>
          <w:b/>
        </w:rPr>
        <w:t>Fatusi, A. O. &amp; Hindin, M. J.</w:t>
      </w:r>
      <w:r w:rsidRPr="00C25D1A">
        <w:t xml:space="preserve"> (2010</w:t>
      </w:r>
      <w:r>
        <w:t>)</w:t>
      </w:r>
      <w:r w:rsidRPr="00C25D1A">
        <w:t xml:space="preserve"> Adolescents and </w:t>
      </w:r>
      <w:r>
        <w:t>youth in developing countries: h</w:t>
      </w:r>
      <w:r w:rsidRPr="00C25D1A">
        <w:t xml:space="preserve">ealth and development issues in context. </w:t>
      </w:r>
      <w:r w:rsidRPr="00C25D1A">
        <w:rPr>
          <w:i/>
        </w:rPr>
        <w:t xml:space="preserve">Journal of Adolescence </w:t>
      </w:r>
      <w:r w:rsidRPr="00D468C9">
        <w:rPr>
          <w:b/>
        </w:rPr>
        <w:t>33</w:t>
      </w:r>
      <w:r w:rsidRPr="00C25D1A">
        <w:t>(4), 499</w:t>
      </w:r>
      <w:r>
        <w:t>–</w:t>
      </w:r>
      <w:r w:rsidRPr="00C25D1A">
        <w:t xml:space="preserve">508. </w:t>
      </w:r>
    </w:p>
    <w:p w:rsidR="00920BE8" w:rsidRPr="00C25D1A" w:rsidRDefault="00920BE8" w:rsidP="00920BE8">
      <w:pPr>
        <w:pStyle w:val="ReferencesText"/>
      </w:pPr>
      <w:r w:rsidRPr="00D468C9">
        <w:rPr>
          <w:b/>
        </w:rPr>
        <w:t>Fawcett, C., Hartwell, A. &amp; Israel, R.</w:t>
      </w:r>
      <w:r w:rsidRPr="00C25D1A">
        <w:t xml:space="preserve"> (2010</w:t>
      </w:r>
      <w:r>
        <w:t>)</w:t>
      </w:r>
      <w:r w:rsidRPr="00C25D1A">
        <w:t xml:space="preserve"> Out-of-school </w:t>
      </w:r>
      <w:r>
        <w:t>youth in developing countries: w</w:t>
      </w:r>
      <w:r w:rsidRPr="00C25D1A">
        <w:t>hat the data do (and do not) tell us</w:t>
      </w:r>
      <w:r w:rsidRPr="00B23505">
        <w:t xml:space="preserve">. </w:t>
      </w:r>
      <w:r w:rsidRPr="00B23505">
        <w:rPr>
          <w:i/>
        </w:rPr>
        <w:t>Policy Study and Issues Paper Series</w:t>
      </w:r>
      <w:r>
        <w:t xml:space="preserve">. </w:t>
      </w:r>
      <w:r w:rsidRPr="00FF4130">
        <w:t>UNAID, pp. 1–65. URL: http://www.equip123.net/docs/e3-OSY.pdf.</w:t>
      </w:r>
    </w:p>
    <w:p w:rsidR="00920BE8" w:rsidRPr="00C25D1A" w:rsidRDefault="00920BE8" w:rsidP="00920BE8">
      <w:pPr>
        <w:pStyle w:val="ReferencesText"/>
      </w:pPr>
      <w:r w:rsidRPr="00DF52B9">
        <w:rPr>
          <w:b/>
        </w:rPr>
        <w:t>Gorgen, R., Yansané, M. L., Marx, M. &amp; Millimounou, D.</w:t>
      </w:r>
      <w:r w:rsidRPr="00C25D1A">
        <w:t xml:space="preserve"> (1998</w:t>
      </w:r>
      <w:r>
        <w:t>)</w:t>
      </w:r>
      <w:r w:rsidRPr="00C25D1A">
        <w:t xml:space="preserve"> Sexual behavior and attitudes among unmarried urban youths in Guinea. </w:t>
      </w:r>
      <w:r w:rsidRPr="00C25D1A">
        <w:rPr>
          <w:i/>
        </w:rPr>
        <w:t>International Family Planning Perspectives</w:t>
      </w:r>
      <w:r>
        <w:t xml:space="preserve"> </w:t>
      </w:r>
      <w:r w:rsidRPr="00DF52B9">
        <w:rPr>
          <w:b/>
        </w:rPr>
        <w:t>24</w:t>
      </w:r>
      <w:r>
        <w:t>(2),</w:t>
      </w:r>
      <w:r w:rsidRPr="00C25D1A">
        <w:t xml:space="preserve"> 65</w:t>
      </w:r>
      <w:r>
        <w:t>–</w:t>
      </w:r>
      <w:r w:rsidRPr="00C25D1A">
        <w:t xml:space="preserve">71. </w:t>
      </w:r>
    </w:p>
    <w:p w:rsidR="00920BE8" w:rsidRPr="00C25D1A" w:rsidRDefault="00920BE8" w:rsidP="00920BE8">
      <w:pPr>
        <w:pStyle w:val="ReferencesText"/>
      </w:pPr>
      <w:r w:rsidRPr="00DF52B9">
        <w:rPr>
          <w:b/>
        </w:rPr>
        <w:t>Haub, C.</w:t>
      </w:r>
      <w:r w:rsidRPr="00C25D1A">
        <w:t xml:space="preserve"> (2013</w:t>
      </w:r>
      <w:r>
        <w:t>)</w:t>
      </w:r>
      <w:r w:rsidRPr="00C25D1A">
        <w:t xml:space="preserve"> </w:t>
      </w:r>
      <w:r w:rsidRPr="00DF52B9">
        <w:rPr>
          <w:i/>
        </w:rPr>
        <w:t>2013 World Population Data Sheet</w:t>
      </w:r>
      <w:r>
        <w:t>.</w:t>
      </w:r>
      <w:r w:rsidRPr="00C25D1A">
        <w:t xml:space="preserve"> Population Reference Bureau</w:t>
      </w:r>
      <w:r>
        <w:t>,</w:t>
      </w:r>
      <w:r w:rsidRPr="00C25D1A">
        <w:t xml:space="preserve"> Washington, DC.</w:t>
      </w:r>
    </w:p>
    <w:p w:rsidR="00920BE8" w:rsidRPr="00C25D1A" w:rsidRDefault="00920BE8" w:rsidP="00920BE8">
      <w:pPr>
        <w:pStyle w:val="ReferencesText"/>
      </w:pPr>
      <w:r w:rsidRPr="00DF52B9">
        <w:rPr>
          <w:b/>
        </w:rPr>
        <w:t>Hoque, M. E.</w:t>
      </w:r>
      <w:r w:rsidRPr="00C25D1A">
        <w:t xml:space="preserve"> (2011</w:t>
      </w:r>
      <w:r>
        <w:t>)</w:t>
      </w:r>
      <w:r w:rsidRPr="00C25D1A">
        <w:t xml:space="preserve"> Sexual practices among male undergraduate students in KwaZulu-Natal, South Africa. </w:t>
      </w:r>
      <w:r w:rsidRPr="00C25D1A">
        <w:rPr>
          <w:i/>
        </w:rPr>
        <w:t xml:space="preserve">Southern African Journal of Epidemiology and Infection </w:t>
      </w:r>
      <w:r w:rsidRPr="00DF52B9">
        <w:rPr>
          <w:b/>
        </w:rPr>
        <w:t>26</w:t>
      </w:r>
      <w:r w:rsidRPr="00C25D1A">
        <w:t>(3), 157</w:t>
      </w:r>
      <w:r>
        <w:t>–</w:t>
      </w:r>
      <w:r w:rsidRPr="00C25D1A">
        <w:t xml:space="preserve">160. </w:t>
      </w:r>
    </w:p>
    <w:p w:rsidR="00920BE8" w:rsidRPr="00C25D1A" w:rsidRDefault="00920BE8" w:rsidP="00920BE8">
      <w:pPr>
        <w:pStyle w:val="ReferencesText"/>
      </w:pPr>
      <w:r w:rsidRPr="00DF52B9">
        <w:rPr>
          <w:b/>
        </w:rPr>
        <w:t xml:space="preserve">Kebede, D., Alem, A., Mitike, G., Enquselassie, F., Berhane, F., Abebe, Y. </w:t>
      </w:r>
      <w:r w:rsidRPr="00DF52B9">
        <w:rPr>
          <w:b/>
          <w:i/>
        </w:rPr>
        <w:t>et al.</w:t>
      </w:r>
      <w:r w:rsidRPr="00C25D1A">
        <w:t xml:space="preserve"> (2005</w:t>
      </w:r>
      <w:r>
        <w:t>)</w:t>
      </w:r>
      <w:r w:rsidRPr="00C25D1A">
        <w:t xml:space="preserve"> Khat and alcohol use and risky sex behaviour among in-school and out-of-school youth in Ethiopia. </w:t>
      </w:r>
      <w:r w:rsidRPr="00C25D1A">
        <w:rPr>
          <w:i/>
        </w:rPr>
        <w:t xml:space="preserve">BMC Public Health </w:t>
      </w:r>
      <w:r w:rsidRPr="00DF52B9">
        <w:rPr>
          <w:b/>
        </w:rPr>
        <w:t>5</w:t>
      </w:r>
      <w:r w:rsidRPr="00C25D1A">
        <w:t xml:space="preserve">(1), 1. </w:t>
      </w:r>
    </w:p>
    <w:p w:rsidR="00920BE8" w:rsidRPr="00C25D1A" w:rsidRDefault="00920BE8" w:rsidP="00920BE8">
      <w:pPr>
        <w:pStyle w:val="ReferencesText"/>
      </w:pPr>
      <w:r w:rsidRPr="00DF52B9">
        <w:rPr>
          <w:b/>
        </w:rPr>
        <w:t>Lema, V. M.</w:t>
      </w:r>
      <w:r w:rsidRPr="00C25D1A">
        <w:t xml:space="preserve"> (1990</w:t>
      </w:r>
      <w:r>
        <w:t>)</w:t>
      </w:r>
      <w:r w:rsidRPr="00C25D1A">
        <w:t xml:space="preserve"> Sexual behaviour, contraceptive practice and knowledge of reproductive biology among adolescent secondary school girls in Nairobi, Kenya. </w:t>
      </w:r>
      <w:r w:rsidRPr="00C25D1A">
        <w:rPr>
          <w:i/>
        </w:rPr>
        <w:t xml:space="preserve">East African Medical Journal </w:t>
      </w:r>
      <w:r w:rsidRPr="00DF52B9">
        <w:rPr>
          <w:b/>
        </w:rPr>
        <w:t>67</w:t>
      </w:r>
      <w:r w:rsidRPr="00C25D1A">
        <w:t>(2), 86</w:t>
      </w:r>
      <w:r>
        <w:t>–</w:t>
      </w:r>
      <w:r w:rsidRPr="00C25D1A">
        <w:t xml:space="preserve">94. </w:t>
      </w:r>
    </w:p>
    <w:p w:rsidR="00920BE8" w:rsidRPr="00C25D1A" w:rsidRDefault="00920BE8" w:rsidP="00920BE8">
      <w:pPr>
        <w:pStyle w:val="ReferencesText"/>
      </w:pPr>
      <w:r w:rsidRPr="00DF52B9">
        <w:rPr>
          <w:b/>
        </w:rPr>
        <w:t>Ma, Q., Ono-Kihara, M., Cong, L., Xu, G., Zamani, S., Ravari, S. M. &amp; Kihara, M.</w:t>
      </w:r>
      <w:r w:rsidRPr="00C25D1A">
        <w:t xml:space="preserve"> (2006</w:t>
      </w:r>
      <w:r>
        <w:t>)</w:t>
      </w:r>
      <w:r w:rsidRPr="00C25D1A">
        <w:t xml:space="preserve"> Sexual behavior and awareness of Chinese university students in transition with implied risk of sexually transmitted diseases and HIV infection: a cross-sectional study. </w:t>
      </w:r>
      <w:r w:rsidRPr="00C25D1A">
        <w:rPr>
          <w:i/>
        </w:rPr>
        <w:t xml:space="preserve">BMC Public Health </w:t>
      </w:r>
      <w:r w:rsidRPr="00DF52B9">
        <w:rPr>
          <w:b/>
        </w:rPr>
        <w:t>6</w:t>
      </w:r>
      <w:r w:rsidRPr="00C25D1A">
        <w:t xml:space="preserve">(1), 1. </w:t>
      </w:r>
    </w:p>
    <w:p w:rsidR="00920BE8" w:rsidRPr="00C25D1A" w:rsidRDefault="00920BE8" w:rsidP="00920BE8">
      <w:pPr>
        <w:pStyle w:val="ReferencesText"/>
      </w:pPr>
      <w:r w:rsidRPr="00DF52B9">
        <w:rPr>
          <w:b/>
        </w:rPr>
        <w:t>Manlove, J. S., Ryan, S. &amp; Franzetta, K.</w:t>
      </w:r>
      <w:r w:rsidRPr="00C25D1A">
        <w:t xml:space="preserve"> (2007</w:t>
      </w:r>
      <w:r>
        <w:t>)</w:t>
      </w:r>
      <w:r w:rsidRPr="00C25D1A">
        <w:t xml:space="preserve"> Risk and protective factors associated with the transition to a first sexual relationship with an older partner. </w:t>
      </w:r>
      <w:r>
        <w:rPr>
          <w:i/>
        </w:rPr>
        <w:t>Journal of Adolescent Health</w:t>
      </w:r>
      <w:r w:rsidRPr="00C25D1A">
        <w:rPr>
          <w:i/>
        </w:rPr>
        <w:t xml:space="preserve"> </w:t>
      </w:r>
      <w:r w:rsidRPr="00DF52B9">
        <w:rPr>
          <w:b/>
        </w:rPr>
        <w:t>40</w:t>
      </w:r>
      <w:r w:rsidRPr="00C25D1A">
        <w:t>(2), 135</w:t>
      </w:r>
      <w:r>
        <w:t>–</w:t>
      </w:r>
      <w:r w:rsidRPr="00C25D1A">
        <w:t xml:space="preserve">143. </w:t>
      </w:r>
    </w:p>
    <w:p w:rsidR="00920BE8" w:rsidRPr="00C25D1A" w:rsidRDefault="00920BE8" w:rsidP="00920BE8">
      <w:pPr>
        <w:pStyle w:val="ReferencesText"/>
      </w:pPr>
      <w:r w:rsidRPr="00DF52B9">
        <w:rPr>
          <w:b/>
        </w:rPr>
        <w:t>Monascha, R. &amp; Mahyb, M.</w:t>
      </w:r>
      <w:r w:rsidRPr="00C25D1A">
        <w:t xml:space="preserve"> (2006</w:t>
      </w:r>
      <w:r>
        <w:t>)</w:t>
      </w:r>
      <w:r w:rsidRPr="00C25D1A">
        <w:t xml:space="preserve"> Young people: the centre of the HIV epidemic. </w:t>
      </w:r>
      <w:r w:rsidRPr="00C25D1A">
        <w:rPr>
          <w:i/>
        </w:rPr>
        <w:t>World Health Organi</w:t>
      </w:r>
      <w:r>
        <w:rPr>
          <w:i/>
        </w:rPr>
        <w:t xml:space="preserve">zation Technical Report Series </w:t>
      </w:r>
      <w:r w:rsidRPr="00DF52B9">
        <w:t>No. 938.</w:t>
      </w:r>
      <w:r w:rsidRPr="00C25D1A">
        <w:t xml:space="preserve"> </w:t>
      </w:r>
    </w:p>
    <w:p w:rsidR="00920BE8" w:rsidRPr="00C25D1A" w:rsidRDefault="00920BE8" w:rsidP="00920BE8">
      <w:pPr>
        <w:pStyle w:val="ReferencesText"/>
      </w:pPr>
      <w:r w:rsidRPr="00DF52B9">
        <w:rPr>
          <w:b/>
        </w:rPr>
        <w:t>Morrison-Beedy, D., Carey, M. P., Crean, H. F. &amp; Jones, S. H</w:t>
      </w:r>
      <w:r w:rsidRPr="000B1ADB">
        <w:rPr>
          <w:b/>
        </w:rPr>
        <w:t>.</w:t>
      </w:r>
      <w:r w:rsidRPr="00C25D1A">
        <w:t xml:space="preserve"> (2011</w:t>
      </w:r>
      <w:r>
        <w:t>)</w:t>
      </w:r>
      <w:r w:rsidRPr="00C25D1A">
        <w:t xml:space="preserve"> Risk behaviors among adolescent girls in an HIV prevention trial. </w:t>
      </w:r>
      <w:r w:rsidRPr="00C25D1A">
        <w:rPr>
          <w:i/>
        </w:rPr>
        <w:t xml:space="preserve">Western Journal of Nursing Research </w:t>
      </w:r>
      <w:r w:rsidRPr="00DF52B9">
        <w:rPr>
          <w:b/>
        </w:rPr>
        <w:t>33</w:t>
      </w:r>
      <w:r w:rsidRPr="00C25D1A">
        <w:t>(5), 690</w:t>
      </w:r>
      <w:r>
        <w:t>–</w:t>
      </w:r>
      <w:r w:rsidRPr="00C25D1A">
        <w:t xml:space="preserve">711. </w:t>
      </w:r>
    </w:p>
    <w:p w:rsidR="00920BE8" w:rsidRPr="00C25D1A" w:rsidRDefault="00920BE8" w:rsidP="00920BE8">
      <w:pPr>
        <w:pStyle w:val="ReferencesText"/>
      </w:pPr>
      <w:r w:rsidRPr="00DF52B9">
        <w:rPr>
          <w:b/>
        </w:rPr>
        <w:t>Ogunjuyigbe, P. O. &amp; Adepoju, A.</w:t>
      </w:r>
      <w:r w:rsidRPr="00C25D1A">
        <w:t xml:space="preserve"> (2014</w:t>
      </w:r>
      <w:r>
        <w:t>)</w:t>
      </w:r>
      <w:r w:rsidRPr="00C25D1A">
        <w:t xml:space="preserve"> Perspectives on socio-cultural context of adolescent reproductive health behaviour in Nigeria. </w:t>
      </w:r>
      <w:r w:rsidRPr="00C25D1A">
        <w:rPr>
          <w:i/>
        </w:rPr>
        <w:t>E</w:t>
      </w:r>
      <w:r>
        <w:rPr>
          <w:i/>
        </w:rPr>
        <w:t>tude de la Population Africaine</w:t>
      </w:r>
      <w:r w:rsidRPr="00C25D1A">
        <w:rPr>
          <w:i/>
        </w:rPr>
        <w:t xml:space="preserve"> </w:t>
      </w:r>
      <w:r w:rsidRPr="00DF52B9">
        <w:rPr>
          <w:b/>
        </w:rPr>
        <w:t>27</w:t>
      </w:r>
      <w:r w:rsidRPr="00C25D1A">
        <w:t xml:space="preserve">(2), 343. </w:t>
      </w:r>
    </w:p>
    <w:p w:rsidR="00920BE8" w:rsidRPr="00C25D1A" w:rsidRDefault="00920BE8" w:rsidP="00920BE8">
      <w:pPr>
        <w:pStyle w:val="ReferencesText"/>
      </w:pPr>
      <w:r w:rsidRPr="00DF52B9">
        <w:rPr>
          <w:b/>
        </w:rPr>
        <w:lastRenderedPageBreak/>
        <w:t>Okonofua, F. E.</w:t>
      </w:r>
      <w:r w:rsidRPr="00C25D1A">
        <w:t xml:space="preserve"> (2000</w:t>
      </w:r>
      <w:r>
        <w:t>)</w:t>
      </w:r>
      <w:r w:rsidRPr="00C25D1A">
        <w:t xml:space="preserve"> Editorial: ado</w:t>
      </w:r>
      <w:r>
        <w:t>lescent reproductive health in A</w:t>
      </w:r>
      <w:r w:rsidRPr="00C25D1A">
        <w:t xml:space="preserve">frica: future challenges. </w:t>
      </w:r>
      <w:r w:rsidRPr="00C25D1A">
        <w:rPr>
          <w:i/>
        </w:rPr>
        <w:t xml:space="preserve">African Journal of Reproductive Health </w:t>
      </w:r>
      <w:r w:rsidRPr="00DF52B9">
        <w:rPr>
          <w:b/>
        </w:rPr>
        <w:t>4</w:t>
      </w:r>
      <w:r w:rsidRPr="00C25D1A">
        <w:t>(1), 7</w:t>
      </w:r>
      <w:r>
        <w:t>–</w:t>
      </w:r>
      <w:r w:rsidRPr="00C25D1A">
        <w:t xml:space="preserve">12. </w:t>
      </w:r>
    </w:p>
    <w:p w:rsidR="00920BE8" w:rsidRPr="00C25D1A" w:rsidRDefault="00920BE8" w:rsidP="00920BE8">
      <w:pPr>
        <w:pStyle w:val="ReferencesText"/>
      </w:pPr>
      <w:r w:rsidRPr="00DF52B9">
        <w:rPr>
          <w:b/>
        </w:rPr>
        <w:t>Slap, G. B., Lot, L., Huang, B., Daniyam, C. A., Zink, T. M. &amp; Succop, P. A.</w:t>
      </w:r>
      <w:r w:rsidRPr="00C25D1A">
        <w:t xml:space="preserve"> (2003</w:t>
      </w:r>
      <w:r>
        <w:t>)</w:t>
      </w:r>
      <w:r w:rsidRPr="00C25D1A">
        <w:t xml:space="preserve"> Sexual behaviour of adolescents in Nigeria: cross sectional survey of secondary school students. </w:t>
      </w:r>
      <w:r w:rsidRPr="00C25D1A">
        <w:rPr>
          <w:i/>
        </w:rPr>
        <w:t>B</w:t>
      </w:r>
      <w:r>
        <w:rPr>
          <w:i/>
        </w:rPr>
        <w:t>ritish Medical Journal</w:t>
      </w:r>
      <w:r w:rsidRPr="00C25D1A">
        <w:rPr>
          <w:i/>
        </w:rPr>
        <w:t xml:space="preserve"> </w:t>
      </w:r>
      <w:r w:rsidRPr="00DF52B9">
        <w:rPr>
          <w:b/>
        </w:rPr>
        <w:t>326</w:t>
      </w:r>
      <w:r w:rsidRPr="00C25D1A">
        <w:t xml:space="preserve">(7379), 15. </w:t>
      </w:r>
    </w:p>
    <w:p w:rsidR="00920BE8" w:rsidRPr="00C25D1A" w:rsidRDefault="00920BE8" w:rsidP="00920BE8">
      <w:pPr>
        <w:pStyle w:val="ReferencesText"/>
      </w:pPr>
      <w:r w:rsidRPr="00DF52B9">
        <w:rPr>
          <w:b/>
        </w:rPr>
        <w:t>Sweeting, H., West, P. &amp; Richards, M.</w:t>
      </w:r>
      <w:r w:rsidRPr="00C25D1A">
        <w:t xml:space="preserve"> (1998</w:t>
      </w:r>
      <w:r>
        <w:t>)</w:t>
      </w:r>
      <w:r w:rsidRPr="00C25D1A">
        <w:t xml:space="preserve"> Teenage family life, lifestyles and life chances: associations with family structure, conflict with parents and joint family activity. </w:t>
      </w:r>
      <w:r w:rsidRPr="00C25D1A">
        <w:rPr>
          <w:i/>
        </w:rPr>
        <w:t xml:space="preserve">International Journal of Law, Policy and the Family </w:t>
      </w:r>
      <w:r w:rsidRPr="00DF52B9">
        <w:rPr>
          <w:b/>
        </w:rPr>
        <w:t>12</w:t>
      </w:r>
      <w:r w:rsidRPr="00C25D1A">
        <w:t>(1), 15</w:t>
      </w:r>
      <w:r>
        <w:t>–</w:t>
      </w:r>
      <w:r w:rsidRPr="00C25D1A">
        <w:t xml:space="preserve">46. </w:t>
      </w:r>
    </w:p>
    <w:p w:rsidR="00920BE8" w:rsidRPr="00C25D1A" w:rsidRDefault="00920BE8" w:rsidP="00920BE8">
      <w:pPr>
        <w:pStyle w:val="ReferencesText"/>
      </w:pPr>
      <w:r w:rsidRPr="00DF52B9">
        <w:rPr>
          <w:b/>
        </w:rPr>
        <w:t>Taffa, N., Bjune, G., Sundby, J., Gaustad, P. &amp; Alestrøm, A.</w:t>
      </w:r>
      <w:r w:rsidRPr="00C25D1A">
        <w:t xml:space="preserve"> (2002</w:t>
      </w:r>
      <w:r>
        <w:t>)</w:t>
      </w:r>
      <w:r w:rsidRPr="00C25D1A">
        <w:t xml:space="preserve"> Prevalence of gonococcal and chlamydial infections and sexual risk behavior among youth in Addis Ababa, Ethiopia. </w:t>
      </w:r>
      <w:r w:rsidRPr="00C25D1A">
        <w:rPr>
          <w:i/>
        </w:rPr>
        <w:t xml:space="preserve">Sexually Transmitted Diseases </w:t>
      </w:r>
      <w:r w:rsidRPr="00DF52B9">
        <w:rPr>
          <w:b/>
        </w:rPr>
        <w:t>29</w:t>
      </w:r>
      <w:r w:rsidRPr="00C25D1A">
        <w:t>(12), 828</w:t>
      </w:r>
      <w:r>
        <w:t>–</w:t>
      </w:r>
      <w:r w:rsidRPr="00C25D1A">
        <w:t xml:space="preserve">833. </w:t>
      </w:r>
    </w:p>
    <w:p w:rsidR="00920BE8" w:rsidRPr="00C25D1A" w:rsidRDefault="00920BE8" w:rsidP="00920BE8">
      <w:pPr>
        <w:pStyle w:val="ReferencesText"/>
      </w:pPr>
      <w:r w:rsidRPr="00DF52B9">
        <w:rPr>
          <w:b/>
        </w:rPr>
        <w:t>USAID</w:t>
      </w:r>
      <w:r w:rsidRPr="00C25D1A">
        <w:t xml:space="preserve"> (2012</w:t>
      </w:r>
      <w:r>
        <w:t>)</w:t>
      </w:r>
      <w:r w:rsidRPr="00C25D1A">
        <w:t xml:space="preserve"> </w:t>
      </w:r>
      <w:r>
        <w:rPr>
          <w:i/>
        </w:rPr>
        <w:t>Fact S</w:t>
      </w:r>
      <w:r w:rsidRPr="00DF52B9">
        <w:rPr>
          <w:i/>
        </w:rPr>
        <w:t>heets: Adolescents, Young People and HIV.</w:t>
      </w:r>
      <w:r w:rsidRPr="00C25D1A">
        <w:t xml:space="preserve"> </w:t>
      </w:r>
      <w:r>
        <w:t>URL:</w:t>
      </w:r>
      <w:r w:rsidRPr="00C25D1A">
        <w:t xml:space="preserve"> http://www.unaids.org/sites/default/files/en/media/unaids/contentassets/documents/factsheet/2012/20120417_FS_adolescentsyoungpeoplehiv_en.p</w:t>
      </w:r>
      <w:r w:rsidRPr="00180AA1">
        <w:t>df (accessed 22</w:t>
      </w:r>
      <w:r w:rsidRPr="00180AA1">
        <w:rPr>
          <w:vertAlign w:val="superscript"/>
        </w:rPr>
        <w:t>nd</w:t>
      </w:r>
      <w:r w:rsidRPr="00180AA1">
        <w:t xml:space="preserve"> July 2015).</w:t>
      </w:r>
    </w:p>
    <w:p w:rsidR="00920BE8" w:rsidRDefault="00920BE8" w:rsidP="00920BE8">
      <w:pPr>
        <w:pStyle w:val="ReferencesText"/>
      </w:pPr>
      <w:r w:rsidRPr="00DF52B9">
        <w:rPr>
          <w:b/>
        </w:rPr>
        <w:t>Wang, B., Li, X., Stanton, B., Kamali, V., Naar-King, S., Shah, I. &amp; Thomas, R.</w:t>
      </w:r>
      <w:r w:rsidRPr="00C25D1A">
        <w:t xml:space="preserve"> (2007</w:t>
      </w:r>
      <w:r>
        <w:t>)</w:t>
      </w:r>
      <w:r w:rsidRPr="00C25D1A">
        <w:t xml:space="preserve"> Sexual attitudes, pattern of communication, and sexual behavior among unmarried out-of-school youth in China. </w:t>
      </w:r>
      <w:r w:rsidRPr="00C25D1A">
        <w:rPr>
          <w:i/>
        </w:rPr>
        <w:t xml:space="preserve">BMC Public Health </w:t>
      </w:r>
      <w:r w:rsidRPr="00DF52B9">
        <w:rPr>
          <w:b/>
        </w:rPr>
        <w:t>7</w:t>
      </w:r>
      <w:r w:rsidRPr="00C25D1A">
        <w:t xml:space="preserve">(1), 1. </w:t>
      </w:r>
    </w:p>
    <w:p w:rsidR="00920BE8" w:rsidRDefault="00920BE8" w:rsidP="00920BE8">
      <w:pPr>
        <w:spacing w:after="160" w:line="259" w:lineRule="auto"/>
        <w:rPr>
          <w:spacing w:val="-3"/>
          <w:sz w:val="18"/>
        </w:rPr>
      </w:pPr>
      <w:r>
        <w:br w:type="page"/>
      </w:r>
    </w:p>
    <w:p w:rsidR="00920BE8" w:rsidRPr="00C25D1A" w:rsidRDefault="00920BE8" w:rsidP="00920BE8">
      <w:pPr>
        <w:pStyle w:val="TableLegendHead"/>
        <w:rPr>
          <w:rFonts w:eastAsia="Calibri"/>
        </w:rPr>
      </w:pPr>
      <w:r w:rsidRPr="00C25D1A">
        <w:rPr>
          <w:rFonts w:eastAsia="Calibri"/>
          <w:b/>
        </w:rPr>
        <w:lastRenderedPageBreak/>
        <w:t>Table 1</w:t>
      </w:r>
      <w:r>
        <w:rPr>
          <w:rFonts w:eastAsia="Calibri"/>
          <w:b/>
        </w:rPr>
        <w:t>.</w:t>
      </w:r>
      <w:r w:rsidRPr="00C25D1A">
        <w:rPr>
          <w:rFonts w:eastAsia="Calibri"/>
        </w:rPr>
        <w:t xml:space="preserve"> Socio-demographic characteristics of respondents</w:t>
      </w:r>
      <w:r>
        <w:rPr>
          <w:rFonts w:eastAsia="Calibri"/>
        </w:rPr>
        <w:t xml:space="preserve">, </w:t>
      </w:r>
      <w:r w:rsidRPr="00A35295">
        <w:rPr>
          <w:rFonts w:eastAsia="Calibri"/>
        </w:rPr>
        <w:t>Ado-Ekiti, south-west Nigeria, 2015</w:t>
      </w:r>
      <w:r>
        <w:rPr>
          <w:rFonts w:eastAsia="Calibri"/>
        </w:rPr>
        <w:t xml:space="preserve">, </w:t>
      </w:r>
      <w:r w:rsidRPr="000B1ADB">
        <w:rPr>
          <w:rFonts w:eastAsia="Calibri"/>
          <w:i/>
        </w:rPr>
        <w:t>N</w:t>
      </w:r>
      <w:r>
        <w:rPr>
          <w:rFonts w:eastAsia="Calibri"/>
        </w:rPr>
        <w:t>=161</w:t>
      </w:r>
    </w:p>
    <w:tbl>
      <w:tblPr>
        <w:tblW w:w="0" w:type="auto"/>
        <w:tblLayout w:type="fixed"/>
        <w:tblLook w:val="04A0" w:firstRow="1" w:lastRow="0" w:firstColumn="1" w:lastColumn="0" w:noHBand="0" w:noVBand="1"/>
      </w:tblPr>
      <w:tblGrid>
        <w:gridCol w:w="4788"/>
        <w:gridCol w:w="1875"/>
      </w:tblGrid>
      <w:tr w:rsidR="00920BE8" w:rsidRPr="00C25D1A" w:rsidTr="00920BE8">
        <w:trPr>
          <w:tblHeader/>
        </w:trPr>
        <w:tc>
          <w:tcPr>
            <w:tcW w:w="4788" w:type="dxa"/>
            <w:tcBorders>
              <w:top w:val="single" w:sz="4" w:space="0" w:color="auto"/>
              <w:bottom w:val="single" w:sz="4" w:space="0" w:color="auto"/>
            </w:tcBorders>
          </w:tcPr>
          <w:p w:rsidR="00920BE8" w:rsidRPr="00C25D1A" w:rsidRDefault="00920BE8" w:rsidP="00920BE8">
            <w:pPr>
              <w:pStyle w:val="TableBodyinclColHeads"/>
              <w:rPr>
                <w:rFonts w:eastAsia="Calibri"/>
              </w:rPr>
            </w:pPr>
            <w:r w:rsidRPr="00C25D1A">
              <w:rPr>
                <w:rFonts w:eastAsia="Calibri"/>
              </w:rPr>
              <w:t>Variable</w:t>
            </w:r>
          </w:p>
        </w:tc>
        <w:tc>
          <w:tcPr>
            <w:tcW w:w="1875" w:type="dxa"/>
            <w:tcBorders>
              <w:top w:val="single" w:sz="4" w:space="0" w:color="auto"/>
              <w:bottom w:val="single" w:sz="4" w:space="0" w:color="auto"/>
            </w:tcBorders>
          </w:tcPr>
          <w:p w:rsidR="00920BE8" w:rsidRPr="00C25D1A" w:rsidRDefault="00920BE8" w:rsidP="00920BE8">
            <w:pPr>
              <w:pStyle w:val="TableBodyinclColHeads"/>
              <w:rPr>
                <w:rFonts w:eastAsia="Calibri"/>
              </w:rPr>
            </w:pPr>
            <w:r w:rsidRPr="006168F0">
              <w:rPr>
                <w:rFonts w:eastAsia="Calibri"/>
                <w:i/>
              </w:rPr>
              <w:t>n</w:t>
            </w:r>
            <w:r w:rsidRPr="00C25D1A">
              <w:rPr>
                <w:rFonts w:eastAsia="Calibri"/>
              </w:rPr>
              <w:t xml:space="preserve"> (%)</w:t>
            </w:r>
          </w:p>
        </w:tc>
      </w:tr>
      <w:tr w:rsidR="00920BE8" w:rsidRPr="00C25D1A" w:rsidTr="00920BE8">
        <w:tc>
          <w:tcPr>
            <w:tcW w:w="4788" w:type="dxa"/>
            <w:tcBorders>
              <w:top w:val="single" w:sz="4" w:space="0" w:color="auto"/>
            </w:tcBorders>
          </w:tcPr>
          <w:p w:rsidR="00920BE8" w:rsidRPr="00C25D1A" w:rsidRDefault="00920BE8" w:rsidP="00920BE8">
            <w:pPr>
              <w:pStyle w:val="TableBodyinclColHeads"/>
              <w:rPr>
                <w:rFonts w:eastAsia="Calibri"/>
              </w:rPr>
            </w:pPr>
            <w:r w:rsidRPr="00C25D1A">
              <w:rPr>
                <w:rFonts w:eastAsia="Calibri"/>
              </w:rPr>
              <w:t>Age</w:t>
            </w:r>
          </w:p>
        </w:tc>
        <w:tc>
          <w:tcPr>
            <w:tcW w:w="1875" w:type="dxa"/>
            <w:tcBorders>
              <w:top w:val="single" w:sz="4" w:space="0" w:color="auto"/>
            </w:tcBorders>
          </w:tcPr>
          <w:p w:rsidR="00920BE8" w:rsidRPr="00C25D1A" w:rsidRDefault="00920BE8" w:rsidP="00920BE8">
            <w:pPr>
              <w:pStyle w:val="TableBodyinclColHeads"/>
              <w:rPr>
                <w:rFonts w:eastAsia="Calibri"/>
              </w:rPr>
            </w:pPr>
          </w:p>
        </w:tc>
      </w:tr>
      <w:tr w:rsidR="00920BE8" w:rsidRPr="00C25D1A" w:rsidTr="00920BE8">
        <w:tc>
          <w:tcPr>
            <w:tcW w:w="4788" w:type="dxa"/>
          </w:tcPr>
          <w:p w:rsidR="00920BE8" w:rsidRPr="00C25D1A" w:rsidRDefault="00920BE8" w:rsidP="00920BE8">
            <w:pPr>
              <w:pStyle w:val="TableBodyinclColHeads"/>
              <w:rPr>
                <w:rFonts w:eastAsia="Calibri"/>
              </w:rPr>
            </w:pPr>
            <w:r>
              <w:rPr>
                <w:rFonts w:eastAsia="Calibri"/>
              </w:rPr>
              <w:t xml:space="preserve">   </w:t>
            </w:r>
            <w:r w:rsidRPr="00C25D1A">
              <w:rPr>
                <w:rFonts w:eastAsia="Calibri"/>
              </w:rPr>
              <w:t>15</w:t>
            </w:r>
            <w:r>
              <w:rPr>
                <w:rFonts w:eastAsia="Calibri"/>
              </w:rPr>
              <w:t>–</w:t>
            </w:r>
            <w:r w:rsidRPr="00C25D1A">
              <w:rPr>
                <w:rFonts w:eastAsia="Calibri"/>
              </w:rPr>
              <w:t>20</w:t>
            </w:r>
          </w:p>
        </w:tc>
        <w:tc>
          <w:tcPr>
            <w:tcW w:w="1875" w:type="dxa"/>
          </w:tcPr>
          <w:p w:rsidR="00920BE8" w:rsidRPr="00C25D1A" w:rsidRDefault="00920BE8" w:rsidP="00920BE8">
            <w:pPr>
              <w:pStyle w:val="TableBodyinclColHeads"/>
              <w:rPr>
                <w:rFonts w:eastAsia="Calibri"/>
              </w:rPr>
            </w:pPr>
            <w:r w:rsidRPr="00C25D1A">
              <w:rPr>
                <w:rFonts w:eastAsia="Calibri"/>
              </w:rPr>
              <w:t>28</w:t>
            </w:r>
            <w:r>
              <w:rPr>
                <w:rFonts w:eastAsia="Calibri"/>
              </w:rPr>
              <w:t xml:space="preserve"> </w:t>
            </w:r>
            <w:r w:rsidRPr="00C25D1A">
              <w:rPr>
                <w:rFonts w:eastAsia="Calibri"/>
              </w:rPr>
              <w:t>(17.4)</w:t>
            </w:r>
          </w:p>
        </w:tc>
      </w:tr>
      <w:tr w:rsidR="00920BE8" w:rsidRPr="00C25D1A" w:rsidTr="00920BE8">
        <w:tc>
          <w:tcPr>
            <w:tcW w:w="4788" w:type="dxa"/>
          </w:tcPr>
          <w:p w:rsidR="00920BE8" w:rsidRPr="00C25D1A" w:rsidRDefault="00920BE8" w:rsidP="00920BE8">
            <w:pPr>
              <w:pStyle w:val="TableBodyinclColHeads"/>
              <w:rPr>
                <w:rFonts w:eastAsia="Calibri"/>
              </w:rPr>
            </w:pPr>
            <w:r>
              <w:rPr>
                <w:rFonts w:eastAsia="Calibri"/>
              </w:rPr>
              <w:t xml:space="preserve">   </w:t>
            </w:r>
            <w:r w:rsidRPr="00C25D1A">
              <w:rPr>
                <w:rFonts w:eastAsia="Calibri"/>
              </w:rPr>
              <w:t>21</w:t>
            </w:r>
            <w:r>
              <w:rPr>
                <w:rFonts w:eastAsia="Calibri"/>
              </w:rPr>
              <w:t>–</w:t>
            </w:r>
            <w:r w:rsidRPr="00C25D1A">
              <w:rPr>
                <w:rFonts w:eastAsia="Calibri"/>
              </w:rPr>
              <w:t>25</w:t>
            </w:r>
          </w:p>
        </w:tc>
        <w:tc>
          <w:tcPr>
            <w:tcW w:w="1875" w:type="dxa"/>
          </w:tcPr>
          <w:p w:rsidR="00920BE8" w:rsidRPr="00C25D1A" w:rsidRDefault="00920BE8" w:rsidP="00920BE8">
            <w:pPr>
              <w:pStyle w:val="TableBodyinclColHeads"/>
              <w:rPr>
                <w:rFonts w:eastAsia="Calibri"/>
              </w:rPr>
            </w:pPr>
            <w:r w:rsidRPr="00C25D1A">
              <w:rPr>
                <w:rFonts w:eastAsia="Calibri"/>
              </w:rPr>
              <w:t>53</w:t>
            </w:r>
            <w:r>
              <w:rPr>
                <w:rFonts w:eastAsia="Calibri"/>
              </w:rPr>
              <w:t xml:space="preserve"> </w:t>
            </w:r>
            <w:r w:rsidRPr="00C25D1A">
              <w:rPr>
                <w:rFonts w:eastAsia="Calibri"/>
              </w:rPr>
              <w:t>(32.9)</w:t>
            </w:r>
          </w:p>
        </w:tc>
      </w:tr>
      <w:tr w:rsidR="00920BE8" w:rsidRPr="00C25D1A" w:rsidTr="00920BE8">
        <w:tc>
          <w:tcPr>
            <w:tcW w:w="4788" w:type="dxa"/>
          </w:tcPr>
          <w:p w:rsidR="00920BE8" w:rsidRPr="00C25D1A" w:rsidRDefault="00920BE8" w:rsidP="00920BE8">
            <w:pPr>
              <w:pStyle w:val="TableBodyinclColHeads"/>
              <w:rPr>
                <w:rFonts w:eastAsia="Calibri"/>
              </w:rPr>
            </w:pPr>
            <w:r>
              <w:rPr>
                <w:rFonts w:eastAsia="Calibri"/>
              </w:rPr>
              <w:t xml:space="preserve">   </w:t>
            </w:r>
            <w:r w:rsidRPr="00C25D1A">
              <w:rPr>
                <w:rFonts w:eastAsia="Calibri"/>
              </w:rPr>
              <w:t>26</w:t>
            </w:r>
            <w:r>
              <w:rPr>
                <w:rFonts w:eastAsia="Calibri"/>
              </w:rPr>
              <w:t>–</w:t>
            </w:r>
            <w:r w:rsidRPr="00C25D1A">
              <w:rPr>
                <w:rFonts w:eastAsia="Calibri"/>
              </w:rPr>
              <w:t>30</w:t>
            </w:r>
          </w:p>
        </w:tc>
        <w:tc>
          <w:tcPr>
            <w:tcW w:w="1875" w:type="dxa"/>
          </w:tcPr>
          <w:p w:rsidR="00920BE8" w:rsidRPr="00C25D1A" w:rsidRDefault="00920BE8" w:rsidP="00920BE8">
            <w:pPr>
              <w:pStyle w:val="TableBodyinclColHeads"/>
              <w:rPr>
                <w:rFonts w:eastAsia="Calibri"/>
              </w:rPr>
            </w:pPr>
            <w:r w:rsidRPr="00C25D1A">
              <w:rPr>
                <w:rFonts w:eastAsia="Calibri"/>
              </w:rPr>
              <w:t>59</w:t>
            </w:r>
            <w:r>
              <w:rPr>
                <w:rFonts w:eastAsia="Calibri"/>
              </w:rPr>
              <w:t xml:space="preserve"> </w:t>
            </w:r>
            <w:r w:rsidRPr="00C25D1A">
              <w:rPr>
                <w:rFonts w:eastAsia="Calibri"/>
              </w:rPr>
              <w:t>(36.6)</w:t>
            </w:r>
          </w:p>
        </w:tc>
      </w:tr>
      <w:tr w:rsidR="00920BE8" w:rsidRPr="00C25D1A" w:rsidTr="00920BE8">
        <w:tc>
          <w:tcPr>
            <w:tcW w:w="4788" w:type="dxa"/>
          </w:tcPr>
          <w:p w:rsidR="00920BE8" w:rsidRPr="00C25D1A" w:rsidRDefault="00920BE8" w:rsidP="00920BE8">
            <w:pPr>
              <w:pStyle w:val="TableBodyinclColHeads"/>
              <w:rPr>
                <w:rFonts w:eastAsia="Calibri"/>
              </w:rPr>
            </w:pPr>
            <w:r>
              <w:rPr>
                <w:rFonts w:eastAsia="Calibri"/>
              </w:rPr>
              <w:t xml:space="preserve">   </w:t>
            </w:r>
            <w:r w:rsidRPr="00C25D1A">
              <w:rPr>
                <w:rFonts w:eastAsia="Calibri"/>
              </w:rPr>
              <w:t>31</w:t>
            </w:r>
            <w:r>
              <w:rPr>
                <w:rFonts w:eastAsia="Calibri"/>
              </w:rPr>
              <w:t>–</w:t>
            </w:r>
            <w:r w:rsidRPr="00C25D1A">
              <w:rPr>
                <w:rFonts w:eastAsia="Calibri"/>
              </w:rPr>
              <w:t>35</w:t>
            </w:r>
          </w:p>
        </w:tc>
        <w:tc>
          <w:tcPr>
            <w:tcW w:w="1875" w:type="dxa"/>
          </w:tcPr>
          <w:p w:rsidR="00920BE8" w:rsidRPr="00C25D1A" w:rsidRDefault="00920BE8" w:rsidP="00920BE8">
            <w:pPr>
              <w:pStyle w:val="TableBodyinclColHeads"/>
              <w:rPr>
                <w:rFonts w:eastAsia="Calibri"/>
              </w:rPr>
            </w:pPr>
            <w:r w:rsidRPr="00C25D1A">
              <w:rPr>
                <w:rFonts w:eastAsia="Calibri"/>
              </w:rPr>
              <w:t>21</w:t>
            </w:r>
            <w:r>
              <w:rPr>
                <w:rFonts w:eastAsia="Calibri"/>
              </w:rPr>
              <w:t xml:space="preserve"> </w:t>
            </w:r>
            <w:r w:rsidRPr="00C25D1A">
              <w:rPr>
                <w:rFonts w:eastAsia="Calibri"/>
              </w:rPr>
              <w:t>(13.0)</w:t>
            </w:r>
          </w:p>
        </w:tc>
      </w:tr>
      <w:tr w:rsidR="00920BE8" w:rsidRPr="00C25D1A" w:rsidTr="00920BE8">
        <w:tc>
          <w:tcPr>
            <w:tcW w:w="4788" w:type="dxa"/>
          </w:tcPr>
          <w:p w:rsidR="00920BE8" w:rsidRPr="00C25D1A" w:rsidRDefault="00920BE8" w:rsidP="00920BE8">
            <w:pPr>
              <w:pStyle w:val="TableBodyinclColHeads"/>
              <w:rPr>
                <w:rFonts w:eastAsia="Calibri"/>
              </w:rPr>
            </w:pPr>
            <w:r w:rsidRPr="00C25D1A">
              <w:rPr>
                <w:rFonts w:eastAsia="Calibri"/>
              </w:rPr>
              <w:t>Gender</w:t>
            </w:r>
          </w:p>
        </w:tc>
        <w:tc>
          <w:tcPr>
            <w:tcW w:w="1875" w:type="dxa"/>
          </w:tcPr>
          <w:p w:rsidR="00920BE8" w:rsidRPr="00C25D1A" w:rsidRDefault="00920BE8" w:rsidP="00920BE8">
            <w:pPr>
              <w:pStyle w:val="TableBodyinclColHeads"/>
              <w:rPr>
                <w:rFonts w:eastAsia="Calibri"/>
              </w:rPr>
            </w:pPr>
          </w:p>
        </w:tc>
      </w:tr>
      <w:tr w:rsidR="00920BE8" w:rsidRPr="00C25D1A" w:rsidTr="00920BE8">
        <w:tc>
          <w:tcPr>
            <w:tcW w:w="4788" w:type="dxa"/>
          </w:tcPr>
          <w:p w:rsidR="00920BE8" w:rsidRPr="00C25D1A" w:rsidRDefault="00920BE8" w:rsidP="00920BE8">
            <w:pPr>
              <w:pStyle w:val="TableBodyinclColHeads"/>
              <w:rPr>
                <w:rFonts w:eastAsia="Calibri"/>
              </w:rPr>
            </w:pPr>
            <w:r>
              <w:rPr>
                <w:rFonts w:eastAsia="Calibri"/>
              </w:rPr>
              <w:t xml:space="preserve">   </w:t>
            </w:r>
            <w:r w:rsidRPr="00C25D1A">
              <w:rPr>
                <w:rFonts w:eastAsia="Calibri"/>
              </w:rPr>
              <w:t>Male</w:t>
            </w:r>
          </w:p>
        </w:tc>
        <w:tc>
          <w:tcPr>
            <w:tcW w:w="1875" w:type="dxa"/>
          </w:tcPr>
          <w:p w:rsidR="00920BE8" w:rsidRPr="00C25D1A" w:rsidRDefault="00920BE8" w:rsidP="00920BE8">
            <w:pPr>
              <w:pStyle w:val="TableBodyinclColHeads"/>
              <w:rPr>
                <w:rFonts w:eastAsia="Calibri"/>
              </w:rPr>
            </w:pPr>
            <w:r w:rsidRPr="00C25D1A">
              <w:rPr>
                <w:rFonts w:eastAsia="Calibri"/>
              </w:rPr>
              <w:t>74</w:t>
            </w:r>
            <w:r>
              <w:rPr>
                <w:rFonts w:eastAsia="Calibri"/>
              </w:rPr>
              <w:t xml:space="preserve"> </w:t>
            </w:r>
            <w:r w:rsidRPr="00C25D1A">
              <w:rPr>
                <w:rFonts w:eastAsia="Calibri"/>
              </w:rPr>
              <w:t>(46.0)</w:t>
            </w:r>
          </w:p>
        </w:tc>
      </w:tr>
      <w:tr w:rsidR="00920BE8" w:rsidRPr="00C25D1A" w:rsidTr="00920BE8">
        <w:tc>
          <w:tcPr>
            <w:tcW w:w="4788" w:type="dxa"/>
          </w:tcPr>
          <w:p w:rsidR="00920BE8" w:rsidRPr="00C25D1A" w:rsidRDefault="00920BE8" w:rsidP="00920BE8">
            <w:pPr>
              <w:pStyle w:val="TableBodyinclColHeads"/>
              <w:rPr>
                <w:rFonts w:eastAsia="Calibri"/>
              </w:rPr>
            </w:pPr>
            <w:r>
              <w:rPr>
                <w:rFonts w:eastAsia="Calibri"/>
              </w:rPr>
              <w:t xml:space="preserve">   </w:t>
            </w:r>
            <w:r w:rsidRPr="00C25D1A">
              <w:rPr>
                <w:rFonts w:eastAsia="Calibri"/>
              </w:rPr>
              <w:t>Female</w:t>
            </w:r>
          </w:p>
        </w:tc>
        <w:tc>
          <w:tcPr>
            <w:tcW w:w="1875" w:type="dxa"/>
          </w:tcPr>
          <w:p w:rsidR="00920BE8" w:rsidRPr="00C25D1A" w:rsidRDefault="00920BE8" w:rsidP="00920BE8">
            <w:pPr>
              <w:pStyle w:val="TableBodyinclColHeads"/>
              <w:rPr>
                <w:rFonts w:eastAsia="Calibri"/>
              </w:rPr>
            </w:pPr>
            <w:r w:rsidRPr="00C25D1A">
              <w:rPr>
                <w:rFonts w:eastAsia="Calibri"/>
              </w:rPr>
              <w:t>87</w:t>
            </w:r>
            <w:r>
              <w:rPr>
                <w:rFonts w:eastAsia="Calibri"/>
              </w:rPr>
              <w:t xml:space="preserve"> </w:t>
            </w:r>
            <w:r w:rsidRPr="00C25D1A">
              <w:rPr>
                <w:rFonts w:eastAsia="Calibri"/>
              </w:rPr>
              <w:t>(54.0)</w:t>
            </w:r>
          </w:p>
        </w:tc>
      </w:tr>
      <w:tr w:rsidR="00920BE8" w:rsidRPr="00C25D1A" w:rsidTr="00920BE8">
        <w:tc>
          <w:tcPr>
            <w:tcW w:w="4788" w:type="dxa"/>
          </w:tcPr>
          <w:p w:rsidR="00920BE8" w:rsidRPr="00C25D1A" w:rsidRDefault="00920BE8" w:rsidP="00920BE8">
            <w:pPr>
              <w:pStyle w:val="TableBodyinclColHeads"/>
              <w:rPr>
                <w:rFonts w:eastAsia="Calibri"/>
              </w:rPr>
            </w:pPr>
            <w:r w:rsidRPr="00C25D1A">
              <w:rPr>
                <w:rFonts w:eastAsia="Calibri"/>
              </w:rPr>
              <w:t>Educational level at drop</w:t>
            </w:r>
            <w:r>
              <w:rPr>
                <w:rFonts w:eastAsia="Calibri"/>
              </w:rPr>
              <w:t>-</w:t>
            </w:r>
            <w:r w:rsidRPr="00C25D1A">
              <w:rPr>
                <w:rFonts w:eastAsia="Calibri"/>
              </w:rPr>
              <w:t>out</w:t>
            </w:r>
          </w:p>
        </w:tc>
        <w:tc>
          <w:tcPr>
            <w:tcW w:w="1875" w:type="dxa"/>
          </w:tcPr>
          <w:p w:rsidR="00920BE8" w:rsidRPr="00C25D1A" w:rsidRDefault="00920BE8" w:rsidP="00920BE8">
            <w:pPr>
              <w:pStyle w:val="TableBodyinclColHeads"/>
              <w:rPr>
                <w:rFonts w:eastAsia="Calibri"/>
              </w:rPr>
            </w:pPr>
          </w:p>
        </w:tc>
      </w:tr>
      <w:tr w:rsidR="00920BE8" w:rsidRPr="00C25D1A" w:rsidTr="00920BE8">
        <w:tc>
          <w:tcPr>
            <w:tcW w:w="4788" w:type="dxa"/>
          </w:tcPr>
          <w:p w:rsidR="00920BE8" w:rsidRPr="00C25D1A" w:rsidRDefault="00920BE8" w:rsidP="00920BE8">
            <w:pPr>
              <w:pStyle w:val="TableBodyinclColHeads"/>
              <w:rPr>
                <w:rFonts w:eastAsia="Calibri"/>
              </w:rPr>
            </w:pPr>
            <w:r>
              <w:rPr>
                <w:rFonts w:eastAsia="Calibri"/>
              </w:rPr>
              <w:t xml:space="preserve">   </w:t>
            </w:r>
            <w:r w:rsidRPr="00C25D1A">
              <w:rPr>
                <w:rFonts w:eastAsia="Calibri"/>
              </w:rPr>
              <w:t>Primary</w:t>
            </w:r>
            <w:r>
              <w:rPr>
                <w:rFonts w:eastAsia="Calibri"/>
              </w:rPr>
              <w:t xml:space="preserve"> school</w:t>
            </w:r>
          </w:p>
        </w:tc>
        <w:tc>
          <w:tcPr>
            <w:tcW w:w="1875" w:type="dxa"/>
          </w:tcPr>
          <w:p w:rsidR="00920BE8" w:rsidRPr="00C25D1A" w:rsidRDefault="00920BE8" w:rsidP="00920BE8">
            <w:pPr>
              <w:pStyle w:val="TableBodyinclColHeads"/>
              <w:rPr>
                <w:rFonts w:eastAsia="Calibri"/>
              </w:rPr>
            </w:pPr>
            <w:r w:rsidRPr="00C25D1A">
              <w:rPr>
                <w:rFonts w:eastAsia="Calibri"/>
              </w:rPr>
              <w:t>7</w:t>
            </w:r>
            <w:r>
              <w:rPr>
                <w:rFonts w:eastAsia="Calibri"/>
              </w:rPr>
              <w:t xml:space="preserve"> </w:t>
            </w:r>
            <w:r w:rsidRPr="00C25D1A">
              <w:rPr>
                <w:rFonts w:eastAsia="Calibri"/>
              </w:rPr>
              <w:t>(4.3)</w:t>
            </w:r>
          </w:p>
        </w:tc>
      </w:tr>
      <w:tr w:rsidR="00920BE8" w:rsidRPr="00C25D1A" w:rsidTr="00920BE8">
        <w:tc>
          <w:tcPr>
            <w:tcW w:w="4788" w:type="dxa"/>
          </w:tcPr>
          <w:p w:rsidR="00920BE8" w:rsidRPr="00C25D1A" w:rsidRDefault="00920BE8" w:rsidP="00920BE8">
            <w:pPr>
              <w:pStyle w:val="TableBodyinclColHeads"/>
              <w:rPr>
                <w:rFonts w:eastAsia="Calibri"/>
              </w:rPr>
            </w:pPr>
            <w:r>
              <w:rPr>
                <w:rFonts w:eastAsia="Calibri"/>
              </w:rPr>
              <w:t xml:space="preserve">   </w:t>
            </w:r>
            <w:r w:rsidRPr="00C25D1A">
              <w:rPr>
                <w:rFonts w:eastAsia="Calibri"/>
              </w:rPr>
              <w:t>Secondary</w:t>
            </w:r>
            <w:r>
              <w:rPr>
                <w:rFonts w:eastAsia="Calibri"/>
              </w:rPr>
              <w:t xml:space="preserve"> school</w:t>
            </w:r>
          </w:p>
        </w:tc>
        <w:tc>
          <w:tcPr>
            <w:tcW w:w="1875" w:type="dxa"/>
          </w:tcPr>
          <w:p w:rsidR="00920BE8" w:rsidRPr="00C25D1A" w:rsidRDefault="00920BE8" w:rsidP="00920BE8">
            <w:pPr>
              <w:pStyle w:val="TableBodyinclColHeads"/>
              <w:rPr>
                <w:rFonts w:eastAsia="Calibri"/>
              </w:rPr>
            </w:pPr>
            <w:r w:rsidRPr="00C25D1A">
              <w:rPr>
                <w:rFonts w:eastAsia="Calibri"/>
              </w:rPr>
              <w:t>84</w:t>
            </w:r>
            <w:r>
              <w:rPr>
                <w:rFonts w:eastAsia="Calibri"/>
              </w:rPr>
              <w:t xml:space="preserve"> </w:t>
            </w:r>
            <w:r w:rsidRPr="00C25D1A">
              <w:rPr>
                <w:rFonts w:eastAsia="Calibri"/>
              </w:rPr>
              <w:t>(52.2)</w:t>
            </w:r>
          </w:p>
        </w:tc>
      </w:tr>
      <w:tr w:rsidR="00920BE8" w:rsidRPr="00C25D1A" w:rsidTr="00920BE8">
        <w:tc>
          <w:tcPr>
            <w:tcW w:w="4788" w:type="dxa"/>
          </w:tcPr>
          <w:p w:rsidR="00920BE8" w:rsidRPr="00C25D1A" w:rsidRDefault="00920BE8" w:rsidP="00920BE8">
            <w:pPr>
              <w:pStyle w:val="TableBodyinclColHeads"/>
              <w:rPr>
                <w:rFonts w:eastAsia="Calibri"/>
              </w:rPr>
            </w:pPr>
            <w:r>
              <w:rPr>
                <w:rFonts w:eastAsia="Calibri"/>
              </w:rPr>
              <w:t xml:space="preserve">   </w:t>
            </w:r>
            <w:r w:rsidRPr="00C25D1A">
              <w:rPr>
                <w:rFonts w:eastAsia="Calibri"/>
              </w:rPr>
              <w:t>College/tertiary</w:t>
            </w:r>
          </w:p>
        </w:tc>
        <w:tc>
          <w:tcPr>
            <w:tcW w:w="1875" w:type="dxa"/>
          </w:tcPr>
          <w:p w:rsidR="00920BE8" w:rsidRPr="00C25D1A" w:rsidRDefault="00920BE8" w:rsidP="00920BE8">
            <w:pPr>
              <w:pStyle w:val="TableBodyinclColHeads"/>
              <w:rPr>
                <w:rFonts w:eastAsia="Calibri"/>
              </w:rPr>
            </w:pPr>
            <w:r w:rsidRPr="00C25D1A">
              <w:rPr>
                <w:rFonts w:eastAsia="Calibri"/>
              </w:rPr>
              <w:t>70</w:t>
            </w:r>
            <w:r>
              <w:rPr>
                <w:rFonts w:eastAsia="Calibri"/>
              </w:rPr>
              <w:t xml:space="preserve"> </w:t>
            </w:r>
            <w:r w:rsidRPr="00C25D1A">
              <w:rPr>
                <w:rFonts w:eastAsia="Calibri"/>
              </w:rPr>
              <w:t>(43.5)</w:t>
            </w:r>
          </w:p>
        </w:tc>
      </w:tr>
      <w:tr w:rsidR="00920BE8" w:rsidRPr="00C25D1A" w:rsidTr="00920BE8">
        <w:tc>
          <w:tcPr>
            <w:tcW w:w="4788" w:type="dxa"/>
          </w:tcPr>
          <w:p w:rsidR="00920BE8" w:rsidRPr="00C25D1A" w:rsidRDefault="00920BE8" w:rsidP="00920BE8">
            <w:pPr>
              <w:pStyle w:val="TableBodyinclColHeads"/>
              <w:rPr>
                <w:rFonts w:eastAsia="Calibri"/>
              </w:rPr>
            </w:pPr>
            <w:r w:rsidRPr="00C25D1A">
              <w:rPr>
                <w:rFonts w:eastAsia="Calibri"/>
              </w:rPr>
              <w:t>Occupation</w:t>
            </w:r>
          </w:p>
        </w:tc>
        <w:tc>
          <w:tcPr>
            <w:tcW w:w="1875" w:type="dxa"/>
          </w:tcPr>
          <w:p w:rsidR="00920BE8" w:rsidRPr="00C25D1A" w:rsidRDefault="00920BE8" w:rsidP="00920BE8">
            <w:pPr>
              <w:pStyle w:val="TableBodyinclColHeads"/>
              <w:rPr>
                <w:rFonts w:eastAsia="Calibri"/>
              </w:rPr>
            </w:pPr>
          </w:p>
        </w:tc>
      </w:tr>
      <w:tr w:rsidR="00920BE8" w:rsidRPr="00C25D1A" w:rsidTr="00920BE8">
        <w:tc>
          <w:tcPr>
            <w:tcW w:w="4788" w:type="dxa"/>
          </w:tcPr>
          <w:p w:rsidR="00920BE8" w:rsidRPr="00C25D1A" w:rsidRDefault="00920BE8" w:rsidP="00920BE8">
            <w:pPr>
              <w:pStyle w:val="TableBodyinclColHeads"/>
              <w:rPr>
                <w:rFonts w:eastAsia="Calibri"/>
              </w:rPr>
            </w:pPr>
            <w:r>
              <w:rPr>
                <w:rFonts w:eastAsia="Calibri"/>
              </w:rPr>
              <w:t xml:space="preserve">   </w:t>
            </w:r>
            <w:r w:rsidRPr="00C25D1A">
              <w:rPr>
                <w:rFonts w:eastAsia="Calibri"/>
              </w:rPr>
              <w:t>Trading</w:t>
            </w:r>
          </w:p>
        </w:tc>
        <w:tc>
          <w:tcPr>
            <w:tcW w:w="1875" w:type="dxa"/>
          </w:tcPr>
          <w:p w:rsidR="00920BE8" w:rsidRPr="00C25D1A" w:rsidRDefault="00920BE8" w:rsidP="00920BE8">
            <w:pPr>
              <w:pStyle w:val="TableBodyinclColHeads"/>
              <w:rPr>
                <w:rFonts w:eastAsia="Calibri"/>
              </w:rPr>
            </w:pPr>
            <w:r w:rsidRPr="00C25D1A">
              <w:rPr>
                <w:rFonts w:eastAsia="Calibri"/>
              </w:rPr>
              <w:t>40</w:t>
            </w:r>
            <w:r>
              <w:rPr>
                <w:rFonts w:eastAsia="Calibri"/>
              </w:rPr>
              <w:t xml:space="preserve"> </w:t>
            </w:r>
            <w:r w:rsidRPr="00C25D1A">
              <w:rPr>
                <w:rFonts w:eastAsia="Calibri"/>
              </w:rPr>
              <w:t>(24.8)</w:t>
            </w:r>
          </w:p>
        </w:tc>
      </w:tr>
      <w:tr w:rsidR="00920BE8" w:rsidRPr="00C25D1A" w:rsidTr="00920BE8">
        <w:tc>
          <w:tcPr>
            <w:tcW w:w="4788" w:type="dxa"/>
          </w:tcPr>
          <w:p w:rsidR="00920BE8" w:rsidRPr="00C25D1A" w:rsidRDefault="00920BE8" w:rsidP="00920BE8">
            <w:pPr>
              <w:pStyle w:val="TableBodyinclColHeads"/>
              <w:rPr>
                <w:rFonts w:eastAsia="Calibri"/>
              </w:rPr>
            </w:pPr>
            <w:r>
              <w:rPr>
                <w:rFonts w:eastAsia="Calibri"/>
              </w:rPr>
              <w:t xml:space="preserve">   </w:t>
            </w:r>
            <w:r w:rsidRPr="00C25D1A">
              <w:rPr>
                <w:rFonts w:eastAsia="Calibri"/>
              </w:rPr>
              <w:t>Artisan</w:t>
            </w:r>
          </w:p>
        </w:tc>
        <w:tc>
          <w:tcPr>
            <w:tcW w:w="1875" w:type="dxa"/>
          </w:tcPr>
          <w:p w:rsidR="00920BE8" w:rsidRPr="00C25D1A" w:rsidRDefault="00920BE8" w:rsidP="00920BE8">
            <w:pPr>
              <w:pStyle w:val="TableBodyinclColHeads"/>
              <w:rPr>
                <w:rFonts w:eastAsia="Calibri"/>
              </w:rPr>
            </w:pPr>
            <w:r w:rsidRPr="00C25D1A">
              <w:rPr>
                <w:rFonts w:eastAsia="Calibri"/>
              </w:rPr>
              <w:t>22</w:t>
            </w:r>
            <w:r>
              <w:rPr>
                <w:rFonts w:eastAsia="Calibri"/>
              </w:rPr>
              <w:t xml:space="preserve"> </w:t>
            </w:r>
            <w:r w:rsidRPr="00C25D1A">
              <w:rPr>
                <w:rFonts w:eastAsia="Calibri"/>
              </w:rPr>
              <w:t>(13.7)</w:t>
            </w:r>
          </w:p>
        </w:tc>
      </w:tr>
      <w:tr w:rsidR="00920BE8" w:rsidRPr="00C25D1A" w:rsidTr="00920BE8">
        <w:tc>
          <w:tcPr>
            <w:tcW w:w="4788" w:type="dxa"/>
          </w:tcPr>
          <w:p w:rsidR="00920BE8" w:rsidRPr="00C25D1A" w:rsidRDefault="00920BE8" w:rsidP="00920BE8">
            <w:pPr>
              <w:pStyle w:val="TableBodyinclColHeads"/>
              <w:rPr>
                <w:rFonts w:eastAsia="Calibri"/>
              </w:rPr>
            </w:pPr>
            <w:r>
              <w:rPr>
                <w:rFonts w:eastAsia="Calibri"/>
              </w:rPr>
              <w:t xml:space="preserve">   </w:t>
            </w:r>
            <w:r w:rsidRPr="00C25D1A">
              <w:rPr>
                <w:rFonts w:eastAsia="Calibri"/>
              </w:rPr>
              <w:t>Apprentice</w:t>
            </w:r>
          </w:p>
        </w:tc>
        <w:tc>
          <w:tcPr>
            <w:tcW w:w="1875" w:type="dxa"/>
          </w:tcPr>
          <w:p w:rsidR="00920BE8" w:rsidRPr="00C25D1A" w:rsidRDefault="00920BE8" w:rsidP="00920BE8">
            <w:pPr>
              <w:pStyle w:val="TableBodyinclColHeads"/>
              <w:rPr>
                <w:rFonts w:eastAsia="Calibri"/>
              </w:rPr>
            </w:pPr>
            <w:r w:rsidRPr="00C25D1A">
              <w:rPr>
                <w:rFonts w:eastAsia="Calibri"/>
              </w:rPr>
              <w:t>33</w:t>
            </w:r>
            <w:r>
              <w:rPr>
                <w:rFonts w:eastAsia="Calibri"/>
              </w:rPr>
              <w:t xml:space="preserve"> </w:t>
            </w:r>
            <w:r w:rsidRPr="00C25D1A">
              <w:rPr>
                <w:rFonts w:eastAsia="Calibri"/>
              </w:rPr>
              <w:t>(20.5)</w:t>
            </w:r>
          </w:p>
        </w:tc>
      </w:tr>
      <w:tr w:rsidR="00920BE8" w:rsidRPr="00C25D1A" w:rsidTr="00920BE8">
        <w:tc>
          <w:tcPr>
            <w:tcW w:w="4788" w:type="dxa"/>
          </w:tcPr>
          <w:p w:rsidR="00920BE8" w:rsidRPr="00C25D1A" w:rsidRDefault="00920BE8" w:rsidP="00920BE8">
            <w:pPr>
              <w:pStyle w:val="TableBodyinclColHeads"/>
              <w:rPr>
                <w:rFonts w:eastAsia="Calibri"/>
              </w:rPr>
            </w:pPr>
            <w:r>
              <w:rPr>
                <w:rFonts w:eastAsia="Calibri"/>
              </w:rPr>
              <w:t xml:space="preserve">   </w:t>
            </w:r>
            <w:r w:rsidRPr="00C25D1A">
              <w:rPr>
                <w:rFonts w:eastAsia="Calibri"/>
              </w:rPr>
              <w:t>Clerical work</w:t>
            </w:r>
          </w:p>
        </w:tc>
        <w:tc>
          <w:tcPr>
            <w:tcW w:w="1875" w:type="dxa"/>
          </w:tcPr>
          <w:p w:rsidR="00920BE8" w:rsidRPr="00C25D1A" w:rsidRDefault="00920BE8" w:rsidP="00920BE8">
            <w:pPr>
              <w:pStyle w:val="TableBodyinclColHeads"/>
              <w:rPr>
                <w:rFonts w:eastAsia="Calibri"/>
              </w:rPr>
            </w:pPr>
            <w:r w:rsidRPr="00C25D1A">
              <w:rPr>
                <w:rFonts w:eastAsia="Calibri"/>
              </w:rPr>
              <w:t>17</w:t>
            </w:r>
            <w:r>
              <w:rPr>
                <w:rFonts w:eastAsia="Calibri"/>
              </w:rPr>
              <w:t xml:space="preserve"> </w:t>
            </w:r>
            <w:r w:rsidRPr="00C25D1A">
              <w:rPr>
                <w:rFonts w:eastAsia="Calibri"/>
              </w:rPr>
              <w:t>(10.6)</w:t>
            </w:r>
          </w:p>
        </w:tc>
      </w:tr>
      <w:tr w:rsidR="00920BE8" w:rsidRPr="00C25D1A" w:rsidTr="00920BE8">
        <w:tc>
          <w:tcPr>
            <w:tcW w:w="4788" w:type="dxa"/>
          </w:tcPr>
          <w:p w:rsidR="00920BE8" w:rsidRPr="00C25D1A" w:rsidRDefault="00920BE8" w:rsidP="00920BE8">
            <w:pPr>
              <w:pStyle w:val="TableBodyinclColHeads"/>
              <w:rPr>
                <w:rFonts w:eastAsia="Calibri"/>
              </w:rPr>
            </w:pPr>
            <w:r>
              <w:rPr>
                <w:rFonts w:eastAsia="Calibri"/>
              </w:rPr>
              <w:t xml:space="preserve">   Public servant</w:t>
            </w:r>
          </w:p>
        </w:tc>
        <w:tc>
          <w:tcPr>
            <w:tcW w:w="1875" w:type="dxa"/>
          </w:tcPr>
          <w:p w:rsidR="00920BE8" w:rsidRPr="00C25D1A" w:rsidRDefault="00920BE8" w:rsidP="00920BE8">
            <w:pPr>
              <w:pStyle w:val="TableBodyinclColHeads"/>
              <w:rPr>
                <w:rFonts w:eastAsia="Calibri"/>
              </w:rPr>
            </w:pPr>
            <w:r w:rsidRPr="00C25D1A">
              <w:rPr>
                <w:rFonts w:eastAsia="Calibri"/>
              </w:rPr>
              <w:t>16</w:t>
            </w:r>
            <w:r>
              <w:rPr>
                <w:rFonts w:eastAsia="Calibri"/>
              </w:rPr>
              <w:t xml:space="preserve"> </w:t>
            </w:r>
            <w:r w:rsidRPr="00C25D1A">
              <w:rPr>
                <w:rFonts w:eastAsia="Calibri"/>
              </w:rPr>
              <w:t>(9.9)</w:t>
            </w:r>
          </w:p>
        </w:tc>
      </w:tr>
      <w:tr w:rsidR="00920BE8" w:rsidRPr="00C25D1A" w:rsidTr="00920BE8">
        <w:tc>
          <w:tcPr>
            <w:tcW w:w="4788" w:type="dxa"/>
            <w:tcBorders>
              <w:bottom w:val="single" w:sz="4" w:space="0" w:color="auto"/>
            </w:tcBorders>
          </w:tcPr>
          <w:p w:rsidR="00920BE8" w:rsidRPr="00C25D1A" w:rsidRDefault="00920BE8" w:rsidP="00920BE8">
            <w:pPr>
              <w:pStyle w:val="TableBodyinclColHeads"/>
              <w:rPr>
                <w:rFonts w:eastAsia="Calibri"/>
              </w:rPr>
            </w:pPr>
            <w:r>
              <w:rPr>
                <w:rFonts w:eastAsia="Calibri"/>
              </w:rPr>
              <w:t xml:space="preserve">   </w:t>
            </w:r>
            <w:r w:rsidRPr="00C25D1A">
              <w:rPr>
                <w:rFonts w:eastAsia="Calibri"/>
              </w:rPr>
              <w:t>Unemployed</w:t>
            </w:r>
          </w:p>
        </w:tc>
        <w:tc>
          <w:tcPr>
            <w:tcW w:w="1875" w:type="dxa"/>
            <w:tcBorders>
              <w:bottom w:val="single" w:sz="4" w:space="0" w:color="auto"/>
            </w:tcBorders>
          </w:tcPr>
          <w:p w:rsidR="00920BE8" w:rsidRPr="00C25D1A" w:rsidRDefault="00920BE8" w:rsidP="00920BE8">
            <w:pPr>
              <w:pStyle w:val="TableBodyinclColHeads"/>
              <w:rPr>
                <w:rFonts w:eastAsia="Calibri"/>
              </w:rPr>
            </w:pPr>
            <w:r w:rsidRPr="00C25D1A">
              <w:rPr>
                <w:rFonts w:eastAsia="Calibri"/>
              </w:rPr>
              <w:t>33</w:t>
            </w:r>
            <w:r>
              <w:rPr>
                <w:rFonts w:eastAsia="Calibri"/>
              </w:rPr>
              <w:t xml:space="preserve"> </w:t>
            </w:r>
            <w:r w:rsidRPr="00C25D1A">
              <w:rPr>
                <w:rFonts w:eastAsia="Calibri"/>
              </w:rPr>
              <w:t>(20.5)</w:t>
            </w:r>
          </w:p>
        </w:tc>
      </w:tr>
    </w:tbl>
    <w:p w:rsidR="00920BE8" w:rsidRDefault="00920BE8" w:rsidP="00920BE8">
      <w:pPr>
        <w:rPr>
          <w:rFonts w:ascii="Times New Roman" w:eastAsia="Calibri" w:hAnsi="Times New Roman"/>
          <w:sz w:val="24"/>
          <w:szCs w:val="24"/>
        </w:rPr>
      </w:pPr>
      <w:r>
        <w:rPr>
          <w:rFonts w:ascii="Times New Roman" w:eastAsia="Calibri" w:hAnsi="Times New Roman"/>
          <w:sz w:val="24"/>
          <w:szCs w:val="24"/>
        </w:rPr>
        <w:br w:type="page"/>
      </w:r>
    </w:p>
    <w:p w:rsidR="00920BE8" w:rsidRPr="00C25D1A" w:rsidRDefault="00920BE8" w:rsidP="00920BE8">
      <w:pPr>
        <w:pStyle w:val="TableLegendHead"/>
        <w:rPr>
          <w:rFonts w:eastAsia="Calibri"/>
        </w:rPr>
      </w:pPr>
      <w:r w:rsidRPr="00C25D1A">
        <w:rPr>
          <w:rFonts w:eastAsia="Calibri"/>
          <w:b/>
        </w:rPr>
        <w:lastRenderedPageBreak/>
        <w:t>Table 2</w:t>
      </w:r>
      <w:r w:rsidRPr="006168F0">
        <w:rPr>
          <w:rFonts w:eastAsia="Calibri"/>
          <w:b/>
        </w:rPr>
        <w:t>.</w:t>
      </w:r>
      <w:r w:rsidRPr="00C25D1A">
        <w:rPr>
          <w:rFonts w:eastAsia="Calibri"/>
        </w:rPr>
        <w:t xml:space="preserve"> Sexual activit</w:t>
      </w:r>
      <w:r>
        <w:rPr>
          <w:rFonts w:eastAsia="Calibri"/>
        </w:rPr>
        <w:t>y</w:t>
      </w:r>
      <w:r w:rsidRPr="00C25D1A">
        <w:rPr>
          <w:rFonts w:eastAsia="Calibri"/>
        </w:rPr>
        <w:t xml:space="preserve"> and contraceptive use among respondents</w:t>
      </w:r>
      <w:r>
        <w:rPr>
          <w:rFonts w:eastAsia="Calibri"/>
        </w:rPr>
        <w:t xml:space="preserve">, </w:t>
      </w:r>
      <w:r w:rsidRPr="000B1ADB">
        <w:rPr>
          <w:rFonts w:eastAsia="Calibri"/>
          <w:i/>
        </w:rPr>
        <w:t>N</w:t>
      </w:r>
      <w:r>
        <w:rPr>
          <w:rFonts w:eastAsia="Calibri"/>
        </w:rPr>
        <w:t>=161</w:t>
      </w:r>
    </w:p>
    <w:tbl>
      <w:tblPr>
        <w:tblW w:w="0" w:type="auto"/>
        <w:tblLayout w:type="fixed"/>
        <w:tblLook w:val="04A0" w:firstRow="1" w:lastRow="0" w:firstColumn="1" w:lastColumn="0" w:noHBand="0" w:noVBand="1"/>
      </w:tblPr>
      <w:tblGrid>
        <w:gridCol w:w="5743"/>
        <w:gridCol w:w="1912"/>
      </w:tblGrid>
      <w:tr w:rsidR="00920BE8" w:rsidRPr="00C25D1A" w:rsidTr="00920BE8">
        <w:trPr>
          <w:trHeight w:val="387"/>
          <w:tblHeader/>
        </w:trPr>
        <w:tc>
          <w:tcPr>
            <w:tcW w:w="5743" w:type="dxa"/>
            <w:tcBorders>
              <w:top w:val="single" w:sz="4" w:space="0" w:color="auto"/>
              <w:bottom w:val="single" w:sz="4" w:space="0" w:color="auto"/>
            </w:tcBorders>
          </w:tcPr>
          <w:p w:rsidR="00920BE8" w:rsidRPr="00C25D1A" w:rsidRDefault="00920BE8" w:rsidP="00920BE8">
            <w:pPr>
              <w:pStyle w:val="TableBodyinclColHeads"/>
              <w:rPr>
                <w:rFonts w:eastAsia="Calibri"/>
              </w:rPr>
            </w:pPr>
            <w:r w:rsidRPr="00C25D1A">
              <w:rPr>
                <w:rFonts w:eastAsia="Calibri"/>
              </w:rPr>
              <w:t>Variable</w:t>
            </w:r>
          </w:p>
        </w:tc>
        <w:tc>
          <w:tcPr>
            <w:tcW w:w="1912" w:type="dxa"/>
            <w:tcBorders>
              <w:top w:val="single" w:sz="4" w:space="0" w:color="auto"/>
              <w:bottom w:val="single" w:sz="4" w:space="0" w:color="auto"/>
            </w:tcBorders>
          </w:tcPr>
          <w:p w:rsidR="00920BE8" w:rsidRPr="00C25D1A" w:rsidRDefault="00920BE8" w:rsidP="00920BE8">
            <w:pPr>
              <w:pStyle w:val="TableBodyinclColHeads"/>
              <w:rPr>
                <w:rFonts w:eastAsia="Calibri"/>
              </w:rPr>
            </w:pPr>
            <w:r w:rsidRPr="006168F0">
              <w:rPr>
                <w:rFonts w:eastAsia="Calibri"/>
                <w:i/>
              </w:rPr>
              <w:t>n</w:t>
            </w:r>
            <w:r w:rsidRPr="00C25D1A">
              <w:rPr>
                <w:rFonts w:eastAsia="Calibri"/>
              </w:rPr>
              <w:t xml:space="preserve"> (%)</w:t>
            </w:r>
          </w:p>
        </w:tc>
      </w:tr>
      <w:tr w:rsidR="00920BE8" w:rsidRPr="00C25D1A" w:rsidTr="00920BE8">
        <w:tc>
          <w:tcPr>
            <w:tcW w:w="5743" w:type="dxa"/>
            <w:tcBorders>
              <w:top w:val="single" w:sz="4" w:space="0" w:color="auto"/>
            </w:tcBorders>
          </w:tcPr>
          <w:p w:rsidR="00920BE8" w:rsidRPr="00C25D1A" w:rsidRDefault="00920BE8" w:rsidP="00920BE8">
            <w:pPr>
              <w:pStyle w:val="TableBodyinclColHeads"/>
              <w:rPr>
                <w:rFonts w:eastAsia="Calibri"/>
              </w:rPr>
            </w:pPr>
            <w:r w:rsidRPr="00C25D1A">
              <w:rPr>
                <w:rFonts w:eastAsia="Calibri"/>
              </w:rPr>
              <w:t xml:space="preserve">Previous </w:t>
            </w:r>
            <w:r>
              <w:rPr>
                <w:rFonts w:eastAsia="Calibri"/>
              </w:rPr>
              <w:t>sexual exposure (</w:t>
            </w:r>
            <w:r w:rsidRPr="00534835">
              <w:rPr>
                <w:rFonts w:eastAsia="Calibri"/>
                <w:i/>
              </w:rPr>
              <w:t>n</w:t>
            </w:r>
            <w:r w:rsidRPr="00C25D1A">
              <w:rPr>
                <w:rFonts w:eastAsia="Calibri"/>
              </w:rPr>
              <w:t>=161</w:t>
            </w:r>
            <w:r>
              <w:rPr>
                <w:rFonts w:eastAsia="Calibri"/>
              </w:rPr>
              <w:t>)</w:t>
            </w:r>
          </w:p>
        </w:tc>
        <w:tc>
          <w:tcPr>
            <w:tcW w:w="1912" w:type="dxa"/>
            <w:tcBorders>
              <w:top w:val="single" w:sz="4" w:space="0" w:color="auto"/>
            </w:tcBorders>
          </w:tcPr>
          <w:p w:rsidR="00920BE8" w:rsidRPr="00C25D1A" w:rsidRDefault="00920BE8" w:rsidP="00920BE8">
            <w:pPr>
              <w:pStyle w:val="TableBodyinclColHeads"/>
              <w:rPr>
                <w:rFonts w:eastAsia="Calibri"/>
              </w:rPr>
            </w:pPr>
          </w:p>
        </w:tc>
      </w:tr>
      <w:tr w:rsidR="00920BE8" w:rsidRPr="00C25D1A" w:rsidTr="00920BE8">
        <w:tc>
          <w:tcPr>
            <w:tcW w:w="5743" w:type="dxa"/>
          </w:tcPr>
          <w:p w:rsidR="00920BE8" w:rsidRPr="00C25D1A" w:rsidRDefault="00920BE8" w:rsidP="00920BE8">
            <w:pPr>
              <w:pStyle w:val="TableBodyinclColHeads"/>
              <w:rPr>
                <w:rFonts w:eastAsia="Calibri"/>
              </w:rPr>
            </w:pPr>
            <w:r>
              <w:rPr>
                <w:rFonts w:eastAsia="Calibri"/>
              </w:rPr>
              <w:t xml:space="preserve">   </w:t>
            </w:r>
            <w:r w:rsidRPr="00C25D1A">
              <w:rPr>
                <w:rFonts w:eastAsia="Calibri"/>
              </w:rPr>
              <w:t>None</w:t>
            </w:r>
          </w:p>
        </w:tc>
        <w:tc>
          <w:tcPr>
            <w:tcW w:w="1912" w:type="dxa"/>
          </w:tcPr>
          <w:p w:rsidR="00920BE8" w:rsidRPr="00C25D1A" w:rsidRDefault="00920BE8" w:rsidP="00920BE8">
            <w:pPr>
              <w:pStyle w:val="TableBodyinclColHeads"/>
              <w:rPr>
                <w:rFonts w:eastAsia="Calibri"/>
              </w:rPr>
            </w:pPr>
            <w:r w:rsidRPr="00C25D1A">
              <w:rPr>
                <w:rFonts w:eastAsia="Calibri"/>
              </w:rPr>
              <w:t>14 (8.7)</w:t>
            </w:r>
          </w:p>
        </w:tc>
      </w:tr>
      <w:tr w:rsidR="00920BE8" w:rsidRPr="00C25D1A" w:rsidTr="00920BE8">
        <w:tc>
          <w:tcPr>
            <w:tcW w:w="5743" w:type="dxa"/>
          </w:tcPr>
          <w:p w:rsidR="00920BE8" w:rsidRPr="00C25D1A" w:rsidRDefault="00920BE8" w:rsidP="00920BE8">
            <w:pPr>
              <w:pStyle w:val="TableBodyinclColHeads"/>
              <w:rPr>
                <w:rFonts w:eastAsia="Calibri"/>
              </w:rPr>
            </w:pPr>
            <w:r>
              <w:rPr>
                <w:rFonts w:eastAsia="Calibri"/>
              </w:rPr>
              <w:t xml:space="preserve">   </w:t>
            </w:r>
            <w:r w:rsidRPr="00C25D1A">
              <w:rPr>
                <w:rFonts w:eastAsia="Calibri"/>
              </w:rPr>
              <w:t>Caressing only</w:t>
            </w:r>
          </w:p>
        </w:tc>
        <w:tc>
          <w:tcPr>
            <w:tcW w:w="1912" w:type="dxa"/>
          </w:tcPr>
          <w:p w:rsidR="00920BE8" w:rsidRPr="00C25D1A" w:rsidRDefault="00920BE8" w:rsidP="00920BE8">
            <w:pPr>
              <w:pStyle w:val="TableBodyinclColHeads"/>
              <w:rPr>
                <w:rFonts w:eastAsia="Calibri"/>
              </w:rPr>
            </w:pPr>
            <w:r w:rsidRPr="00C25D1A">
              <w:rPr>
                <w:rFonts w:eastAsia="Calibri"/>
              </w:rPr>
              <w:t>28</w:t>
            </w:r>
            <w:r>
              <w:rPr>
                <w:rFonts w:eastAsia="Calibri"/>
              </w:rPr>
              <w:t xml:space="preserve"> </w:t>
            </w:r>
            <w:r w:rsidRPr="00C25D1A">
              <w:rPr>
                <w:rFonts w:eastAsia="Calibri"/>
              </w:rPr>
              <w:t>(17.4)</w:t>
            </w:r>
          </w:p>
        </w:tc>
      </w:tr>
      <w:tr w:rsidR="00920BE8" w:rsidRPr="00C25D1A" w:rsidTr="00920BE8">
        <w:tc>
          <w:tcPr>
            <w:tcW w:w="5743" w:type="dxa"/>
          </w:tcPr>
          <w:p w:rsidR="00920BE8" w:rsidRPr="00C25D1A" w:rsidRDefault="00920BE8" w:rsidP="00920BE8">
            <w:pPr>
              <w:pStyle w:val="TableBodyinclColHeads"/>
              <w:rPr>
                <w:rFonts w:eastAsia="Calibri"/>
              </w:rPr>
            </w:pPr>
            <w:r>
              <w:rPr>
                <w:rFonts w:eastAsia="Calibri"/>
              </w:rPr>
              <w:t xml:space="preserve">   </w:t>
            </w:r>
            <w:r w:rsidRPr="00C25D1A">
              <w:rPr>
                <w:rFonts w:eastAsia="Calibri"/>
              </w:rPr>
              <w:t>Intercourse</w:t>
            </w:r>
          </w:p>
        </w:tc>
        <w:tc>
          <w:tcPr>
            <w:tcW w:w="1912" w:type="dxa"/>
          </w:tcPr>
          <w:p w:rsidR="00920BE8" w:rsidRPr="00C25D1A" w:rsidRDefault="00920BE8" w:rsidP="00920BE8">
            <w:pPr>
              <w:pStyle w:val="TableBodyinclColHeads"/>
              <w:rPr>
                <w:rFonts w:eastAsia="Calibri"/>
              </w:rPr>
            </w:pPr>
            <w:r w:rsidRPr="00C25D1A">
              <w:rPr>
                <w:rFonts w:eastAsia="Calibri"/>
              </w:rPr>
              <w:t>119</w:t>
            </w:r>
            <w:r>
              <w:rPr>
                <w:rFonts w:eastAsia="Calibri"/>
              </w:rPr>
              <w:t xml:space="preserve"> </w:t>
            </w:r>
            <w:r w:rsidRPr="00C25D1A">
              <w:rPr>
                <w:rFonts w:eastAsia="Calibri"/>
              </w:rPr>
              <w:t>(73.9)</w:t>
            </w:r>
          </w:p>
        </w:tc>
      </w:tr>
      <w:tr w:rsidR="00920BE8" w:rsidRPr="00C25D1A" w:rsidTr="00920BE8">
        <w:tc>
          <w:tcPr>
            <w:tcW w:w="5743" w:type="dxa"/>
          </w:tcPr>
          <w:p w:rsidR="00920BE8" w:rsidRPr="00C25D1A" w:rsidRDefault="00920BE8" w:rsidP="00920BE8">
            <w:pPr>
              <w:pStyle w:val="TableBodyinclColHeads"/>
              <w:rPr>
                <w:rFonts w:eastAsia="Calibri"/>
              </w:rPr>
            </w:pPr>
            <w:r>
              <w:rPr>
                <w:rFonts w:eastAsia="Calibri"/>
              </w:rPr>
              <w:t>First sexual partner</w:t>
            </w:r>
            <w:r w:rsidRPr="00C25D1A">
              <w:rPr>
                <w:rFonts w:eastAsia="Calibri"/>
              </w:rPr>
              <w:t xml:space="preserve"> (</w:t>
            </w:r>
            <w:r w:rsidRPr="00534835">
              <w:rPr>
                <w:rFonts w:eastAsia="Calibri"/>
                <w:i/>
              </w:rPr>
              <w:t>n</w:t>
            </w:r>
            <w:r w:rsidRPr="00C25D1A">
              <w:rPr>
                <w:rFonts w:eastAsia="Calibri"/>
              </w:rPr>
              <w:t>=119)</w:t>
            </w:r>
          </w:p>
        </w:tc>
        <w:tc>
          <w:tcPr>
            <w:tcW w:w="1912" w:type="dxa"/>
          </w:tcPr>
          <w:p w:rsidR="00920BE8" w:rsidRPr="00C25D1A" w:rsidRDefault="00920BE8" w:rsidP="00920BE8">
            <w:pPr>
              <w:pStyle w:val="TableBodyinclColHeads"/>
              <w:rPr>
                <w:rFonts w:eastAsia="Calibri"/>
              </w:rPr>
            </w:pPr>
          </w:p>
        </w:tc>
      </w:tr>
      <w:tr w:rsidR="00920BE8" w:rsidRPr="00C25D1A" w:rsidTr="00920BE8">
        <w:tc>
          <w:tcPr>
            <w:tcW w:w="5743" w:type="dxa"/>
          </w:tcPr>
          <w:p w:rsidR="00920BE8" w:rsidRPr="00C25D1A" w:rsidRDefault="00920BE8" w:rsidP="00920BE8">
            <w:pPr>
              <w:pStyle w:val="TableBodyinclColHeads"/>
              <w:rPr>
                <w:rFonts w:eastAsia="Calibri"/>
              </w:rPr>
            </w:pPr>
            <w:r>
              <w:rPr>
                <w:rFonts w:eastAsia="Calibri"/>
              </w:rPr>
              <w:t xml:space="preserve">   Former boy/girl</w:t>
            </w:r>
            <w:r w:rsidRPr="00C25D1A">
              <w:rPr>
                <w:rFonts w:eastAsia="Calibri"/>
              </w:rPr>
              <w:t>friend</w:t>
            </w:r>
          </w:p>
        </w:tc>
        <w:tc>
          <w:tcPr>
            <w:tcW w:w="1912" w:type="dxa"/>
          </w:tcPr>
          <w:p w:rsidR="00920BE8" w:rsidRPr="00C25D1A" w:rsidRDefault="00920BE8" w:rsidP="00920BE8">
            <w:pPr>
              <w:pStyle w:val="TableBodyinclColHeads"/>
              <w:rPr>
                <w:rFonts w:eastAsia="Calibri"/>
              </w:rPr>
            </w:pPr>
            <w:r w:rsidRPr="00C25D1A">
              <w:rPr>
                <w:rFonts w:eastAsia="Calibri"/>
              </w:rPr>
              <w:t>79</w:t>
            </w:r>
            <w:r>
              <w:rPr>
                <w:rFonts w:eastAsia="Calibri"/>
              </w:rPr>
              <w:t xml:space="preserve"> </w:t>
            </w:r>
            <w:r w:rsidRPr="00C25D1A">
              <w:rPr>
                <w:rFonts w:eastAsia="Calibri"/>
              </w:rPr>
              <w:t>(66.4)</w:t>
            </w:r>
          </w:p>
        </w:tc>
      </w:tr>
      <w:tr w:rsidR="00920BE8" w:rsidRPr="00C25D1A" w:rsidTr="00920BE8">
        <w:tc>
          <w:tcPr>
            <w:tcW w:w="5743" w:type="dxa"/>
          </w:tcPr>
          <w:p w:rsidR="00920BE8" w:rsidRPr="00C25D1A" w:rsidRDefault="00920BE8" w:rsidP="00920BE8">
            <w:pPr>
              <w:pStyle w:val="TableBodyinclColHeads"/>
              <w:rPr>
                <w:rFonts w:eastAsia="Calibri"/>
              </w:rPr>
            </w:pPr>
            <w:r>
              <w:rPr>
                <w:rFonts w:eastAsia="Calibri"/>
              </w:rPr>
              <w:t xml:space="preserve">   Current boy/girl</w:t>
            </w:r>
            <w:r w:rsidRPr="00C25D1A">
              <w:rPr>
                <w:rFonts w:eastAsia="Calibri"/>
              </w:rPr>
              <w:t>friend</w:t>
            </w:r>
          </w:p>
        </w:tc>
        <w:tc>
          <w:tcPr>
            <w:tcW w:w="1912" w:type="dxa"/>
          </w:tcPr>
          <w:p w:rsidR="00920BE8" w:rsidRPr="00C25D1A" w:rsidRDefault="00920BE8" w:rsidP="00920BE8">
            <w:pPr>
              <w:pStyle w:val="TableBodyinclColHeads"/>
              <w:rPr>
                <w:rFonts w:eastAsia="Calibri"/>
              </w:rPr>
            </w:pPr>
            <w:r w:rsidRPr="00C25D1A">
              <w:rPr>
                <w:rFonts w:eastAsia="Calibri"/>
              </w:rPr>
              <w:t>33</w:t>
            </w:r>
            <w:r>
              <w:rPr>
                <w:rFonts w:eastAsia="Calibri"/>
              </w:rPr>
              <w:t xml:space="preserve"> </w:t>
            </w:r>
            <w:r w:rsidRPr="00C25D1A">
              <w:rPr>
                <w:rFonts w:eastAsia="Calibri"/>
              </w:rPr>
              <w:t>(27.7)</w:t>
            </w:r>
          </w:p>
        </w:tc>
      </w:tr>
      <w:tr w:rsidR="00920BE8" w:rsidRPr="00C25D1A" w:rsidTr="00920BE8">
        <w:tc>
          <w:tcPr>
            <w:tcW w:w="5743" w:type="dxa"/>
          </w:tcPr>
          <w:p w:rsidR="00920BE8" w:rsidRPr="00C25D1A" w:rsidRDefault="00920BE8" w:rsidP="00920BE8">
            <w:pPr>
              <w:pStyle w:val="TableBodyinclColHeads"/>
              <w:rPr>
                <w:rFonts w:eastAsia="Calibri"/>
              </w:rPr>
            </w:pPr>
            <w:r>
              <w:rPr>
                <w:rFonts w:eastAsia="Calibri"/>
              </w:rPr>
              <w:t xml:space="preserve">   </w:t>
            </w:r>
            <w:r w:rsidRPr="00C25D1A">
              <w:rPr>
                <w:rFonts w:eastAsia="Calibri"/>
              </w:rPr>
              <w:t>General friend/acquaintance</w:t>
            </w:r>
          </w:p>
        </w:tc>
        <w:tc>
          <w:tcPr>
            <w:tcW w:w="1912" w:type="dxa"/>
          </w:tcPr>
          <w:p w:rsidR="00920BE8" w:rsidRPr="00C25D1A" w:rsidRDefault="00920BE8" w:rsidP="00920BE8">
            <w:pPr>
              <w:pStyle w:val="TableBodyinclColHeads"/>
              <w:rPr>
                <w:rFonts w:eastAsia="Calibri"/>
              </w:rPr>
            </w:pPr>
            <w:r w:rsidRPr="00C25D1A">
              <w:rPr>
                <w:rFonts w:eastAsia="Calibri"/>
              </w:rPr>
              <w:t>4</w:t>
            </w:r>
            <w:r>
              <w:rPr>
                <w:rFonts w:eastAsia="Calibri"/>
              </w:rPr>
              <w:t xml:space="preserve"> </w:t>
            </w:r>
            <w:r w:rsidRPr="00C25D1A">
              <w:rPr>
                <w:rFonts w:eastAsia="Calibri"/>
              </w:rPr>
              <w:t>(3.4)</w:t>
            </w:r>
          </w:p>
        </w:tc>
      </w:tr>
      <w:tr w:rsidR="00920BE8" w:rsidRPr="00C25D1A" w:rsidTr="00920BE8">
        <w:tc>
          <w:tcPr>
            <w:tcW w:w="5743" w:type="dxa"/>
          </w:tcPr>
          <w:p w:rsidR="00920BE8" w:rsidRPr="00C25D1A" w:rsidRDefault="00920BE8" w:rsidP="00920BE8">
            <w:pPr>
              <w:pStyle w:val="TableBodyinclColHeads"/>
              <w:rPr>
                <w:rFonts w:eastAsia="Calibri"/>
              </w:rPr>
            </w:pPr>
            <w:r>
              <w:rPr>
                <w:rFonts w:eastAsia="Calibri"/>
              </w:rPr>
              <w:t xml:space="preserve">   </w:t>
            </w:r>
            <w:r w:rsidRPr="00C25D1A">
              <w:rPr>
                <w:rFonts w:eastAsia="Calibri"/>
              </w:rPr>
              <w:t>Non-acquaintance</w:t>
            </w:r>
          </w:p>
        </w:tc>
        <w:tc>
          <w:tcPr>
            <w:tcW w:w="1912" w:type="dxa"/>
          </w:tcPr>
          <w:p w:rsidR="00920BE8" w:rsidRPr="00C25D1A" w:rsidRDefault="00920BE8" w:rsidP="00920BE8">
            <w:pPr>
              <w:pStyle w:val="TableBodyinclColHeads"/>
              <w:rPr>
                <w:rFonts w:eastAsia="Calibri"/>
              </w:rPr>
            </w:pPr>
            <w:r w:rsidRPr="00C25D1A">
              <w:rPr>
                <w:rFonts w:eastAsia="Calibri"/>
              </w:rPr>
              <w:t>3</w:t>
            </w:r>
            <w:r>
              <w:rPr>
                <w:rFonts w:eastAsia="Calibri"/>
              </w:rPr>
              <w:t xml:space="preserve"> </w:t>
            </w:r>
            <w:r w:rsidRPr="00C25D1A">
              <w:rPr>
                <w:rFonts w:eastAsia="Calibri"/>
              </w:rPr>
              <w:t>(2.5)</w:t>
            </w:r>
          </w:p>
        </w:tc>
      </w:tr>
      <w:tr w:rsidR="00920BE8" w:rsidRPr="00C25D1A" w:rsidTr="00920BE8">
        <w:tc>
          <w:tcPr>
            <w:tcW w:w="5743" w:type="dxa"/>
          </w:tcPr>
          <w:p w:rsidR="00920BE8" w:rsidRPr="00C25D1A" w:rsidRDefault="00920BE8" w:rsidP="00920BE8">
            <w:pPr>
              <w:pStyle w:val="TableBodyinclColHeads"/>
              <w:rPr>
                <w:rFonts w:eastAsia="Calibri"/>
              </w:rPr>
            </w:pPr>
            <w:r w:rsidRPr="00C25D1A">
              <w:rPr>
                <w:rFonts w:eastAsia="Calibri"/>
              </w:rPr>
              <w:t>Age at f</w:t>
            </w:r>
            <w:r>
              <w:rPr>
                <w:rFonts w:eastAsia="Calibri"/>
              </w:rPr>
              <w:t>irst intercourse</w:t>
            </w:r>
            <w:r w:rsidRPr="00C25D1A">
              <w:rPr>
                <w:rFonts w:eastAsia="Calibri"/>
              </w:rPr>
              <w:t xml:space="preserve"> (</w:t>
            </w:r>
            <w:r w:rsidRPr="00534835">
              <w:rPr>
                <w:rFonts w:eastAsia="Calibri"/>
                <w:i/>
              </w:rPr>
              <w:t>n</w:t>
            </w:r>
            <w:r w:rsidRPr="00C25D1A">
              <w:rPr>
                <w:rFonts w:eastAsia="Calibri"/>
              </w:rPr>
              <w:t>=119)</w:t>
            </w:r>
          </w:p>
        </w:tc>
        <w:tc>
          <w:tcPr>
            <w:tcW w:w="1912" w:type="dxa"/>
          </w:tcPr>
          <w:p w:rsidR="00920BE8" w:rsidRPr="00C25D1A" w:rsidRDefault="00920BE8" w:rsidP="00920BE8">
            <w:pPr>
              <w:pStyle w:val="TableBodyinclColHeads"/>
              <w:rPr>
                <w:rFonts w:eastAsia="Calibri"/>
              </w:rPr>
            </w:pPr>
          </w:p>
        </w:tc>
      </w:tr>
      <w:tr w:rsidR="00920BE8" w:rsidRPr="00C25D1A" w:rsidTr="00920BE8">
        <w:tc>
          <w:tcPr>
            <w:tcW w:w="5743" w:type="dxa"/>
          </w:tcPr>
          <w:p w:rsidR="00920BE8" w:rsidRPr="00C25D1A" w:rsidRDefault="00920BE8" w:rsidP="00920BE8">
            <w:pPr>
              <w:pStyle w:val="TableBodyinclColHeads"/>
              <w:rPr>
                <w:rFonts w:eastAsia="Calibri"/>
              </w:rPr>
            </w:pPr>
            <w:r>
              <w:rPr>
                <w:rFonts w:eastAsia="Calibri"/>
              </w:rPr>
              <w:t xml:space="preserve">   </w:t>
            </w:r>
            <w:r w:rsidRPr="00C25D1A">
              <w:rPr>
                <w:rFonts w:eastAsia="Calibri"/>
              </w:rPr>
              <w:t>˂15 years</w:t>
            </w:r>
          </w:p>
        </w:tc>
        <w:tc>
          <w:tcPr>
            <w:tcW w:w="1912" w:type="dxa"/>
          </w:tcPr>
          <w:p w:rsidR="00920BE8" w:rsidRPr="00C25D1A" w:rsidRDefault="00920BE8" w:rsidP="00920BE8">
            <w:pPr>
              <w:pStyle w:val="TableBodyinclColHeads"/>
              <w:rPr>
                <w:rFonts w:eastAsia="Calibri"/>
              </w:rPr>
            </w:pPr>
            <w:r w:rsidRPr="00C25D1A">
              <w:rPr>
                <w:rFonts w:eastAsia="Calibri"/>
              </w:rPr>
              <w:t>10</w:t>
            </w:r>
            <w:r>
              <w:rPr>
                <w:rFonts w:eastAsia="Calibri"/>
              </w:rPr>
              <w:t xml:space="preserve"> </w:t>
            </w:r>
            <w:r w:rsidRPr="00C25D1A">
              <w:rPr>
                <w:rFonts w:eastAsia="Calibri"/>
              </w:rPr>
              <w:t>(8.4)</w:t>
            </w:r>
          </w:p>
        </w:tc>
      </w:tr>
      <w:tr w:rsidR="00920BE8" w:rsidRPr="00C25D1A" w:rsidTr="00920BE8">
        <w:tc>
          <w:tcPr>
            <w:tcW w:w="5743" w:type="dxa"/>
          </w:tcPr>
          <w:p w:rsidR="00920BE8" w:rsidRPr="00C25D1A" w:rsidRDefault="00920BE8" w:rsidP="00920BE8">
            <w:pPr>
              <w:pStyle w:val="TableBodyinclColHeads"/>
              <w:rPr>
                <w:rFonts w:eastAsia="Calibri"/>
              </w:rPr>
            </w:pPr>
            <w:r>
              <w:rPr>
                <w:rFonts w:eastAsia="Calibri"/>
              </w:rPr>
              <w:t xml:space="preserve">   </w:t>
            </w:r>
            <w:r w:rsidRPr="00C25D1A">
              <w:rPr>
                <w:rFonts w:eastAsia="Calibri"/>
              </w:rPr>
              <w:t>15</w:t>
            </w:r>
            <w:r>
              <w:rPr>
                <w:rFonts w:eastAsia="Calibri"/>
              </w:rPr>
              <w:t>–</w:t>
            </w:r>
            <w:r w:rsidRPr="00C25D1A">
              <w:rPr>
                <w:rFonts w:eastAsia="Calibri"/>
              </w:rPr>
              <w:t>19 years</w:t>
            </w:r>
          </w:p>
        </w:tc>
        <w:tc>
          <w:tcPr>
            <w:tcW w:w="1912" w:type="dxa"/>
          </w:tcPr>
          <w:p w:rsidR="00920BE8" w:rsidRPr="00C25D1A" w:rsidRDefault="00920BE8" w:rsidP="00920BE8">
            <w:pPr>
              <w:pStyle w:val="TableBodyinclColHeads"/>
              <w:rPr>
                <w:rFonts w:eastAsia="Calibri"/>
              </w:rPr>
            </w:pPr>
            <w:r w:rsidRPr="00C25D1A">
              <w:rPr>
                <w:rFonts w:eastAsia="Calibri"/>
              </w:rPr>
              <w:t>53</w:t>
            </w:r>
            <w:r>
              <w:rPr>
                <w:rFonts w:eastAsia="Calibri"/>
              </w:rPr>
              <w:t xml:space="preserve"> </w:t>
            </w:r>
            <w:r w:rsidRPr="00C25D1A">
              <w:rPr>
                <w:rFonts w:eastAsia="Calibri"/>
              </w:rPr>
              <w:t>(44.5)</w:t>
            </w:r>
          </w:p>
        </w:tc>
      </w:tr>
      <w:tr w:rsidR="00920BE8" w:rsidRPr="00C25D1A" w:rsidTr="00920BE8">
        <w:tc>
          <w:tcPr>
            <w:tcW w:w="5743" w:type="dxa"/>
          </w:tcPr>
          <w:p w:rsidR="00920BE8" w:rsidRPr="00C25D1A" w:rsidRDefault="00920BE8" w:rsidP="00920BE8">
            <w:pPr>
              <w:pStyle w:val="TableBodyinclColHeads"/>
              <w:rPr>
                <w:rFonts w:eastAsia="Calibri"/>
              </w:rPr>
            </w:pPr>
            <w:r>
              <w:rPr>
                <w:rFonts w:eastAsia="Calibri"/>
              </w:rPr>
              <w:t xml:space="preserve">   </w:t>
            </w:r>
            <w:r w:rsidRPr="00C25D1A">
              <w:rPr>
                <w:rFonts w:eastAsia="Calibri"/>
              </w:rPr>
              <w:t>20</w:t>
            </w:r>
            <w:r>
              <w:rPr>
                <w:rFonts w:eastAsia="Calibri"/>
              </w:rPr>
              <w:t>–</w:t>
            </w:r>
            <w:r w:rsidRPr="00C25D1A">
              <w:rPr>
                <w:rFonts w:eastAsia="Calibri"/>
              </w:rPr>
              <w:t>24 years</w:t>
            </w:r>
          </w:p>
        </w:tc>
        <w:tc>
          <w:tcPr>
            <w:tcW w:w="1912" w:type="dxa"/>
          </w:tcPr>
          <w:p w:rsidR="00920BE8" w:rsidRPr="00C25D1A" w:rsidRDefault="00920BE8" w:rsidP="00920BE8">
            <w:pPr>
              <w:pStyle w:val="TableBodyinclColHeads"/>
              <w:rPr>
                <w:rFonts w:eastAsia="Calibri"/>
              </w:rPr>
            </w:pPr>
            <w:r w:rsidRPr="00C25D1A">
              <w:rPr>
                <w:rFonts w:eastAsia="Calibri"/>
              </w:rPr>
              <w:t>48</w:t>
            </w:r>
            <w:r>
              <w:rPr>
                <w:rFonts w:eastAsia="Calibri"/>
              </w:rPr>
              <w:t xml:space="preserve"> </w:t>
            </w:r>
            <w:r w:rsidRPr="00C25D1A">
              <w:rPr>
                <w:rFonts w:eastAsia="Calibri"/>
              </w:rPr>
              <w:t>(40.4)</w:t>
            </w:r>
          </w:p>
        </w:tc>
      </w:tr>
      <w:tr w:rsidR="00920BE8" w:rsidRPr="00C25D1A" w:rsidTr="00920BE8">
        <w:tc>
          <w:tcPr>
            <w:tcW w:w="5743" w:type="dxa"/>
          </w:tcPr>
          <w:p w:rsidR="00920BE8" w:rsidRPr="00C25D1A" w:rsidRDefault="00920BE8" w:rsidP="00920BE8">
            <w:pPr>
              <w:pStyle w:val="TableBodyinclColHeads"/>
              <w:rPr>
                <w:rFonts w:eastAsia="Calibri"/>
              </w:rPr>
            </w:pPr>
            <w:r>
              <w:rPr>
                <w:rFonts w:eastAsia="Calibri"/>
              </w:rPr>
              <w:t xml:space="preserve">   </w:t>
            </w:r>
            <w:r w:rsidRPr="00C25D1A">
              <w:rPr>
                <w:rFonts w:eastAsia="Calibri"/>
              </w:rPr>
              <w:t>25</w:t>
            </w:r>
            <w:r>
              <w:rPr>
                <w:rFonts w:eastAsia="Calibri"/>
              </w:rPr>
              <w:t>–</w:t>
            </w:r>
            <w:r w:rsidRPr="00C25D1A">
              <w:rPr>
                <w:rFonts w:eastAsia="Calibri"/>
              </w:rPr>
              <w:t>29 years</w:t>
            </w:r>
          </w:p>
        </w:tc>
        <w:tc>
          <w:tcPr>
            <w:tcW w:w="1912" w:type="dxa"/>
          </w:tcPr>
          <w:p w:rsidR="00920BE8" w:rsidRPr="00C25D1A" w:rsidRDefault="00920BE8" w:rsidP="00920BE8">
            <w:pPr>
              <w:pStyle w:val="TableBodyinclColHeads"/>
              <w:rPr>
                <w:rFonts w:eastAsia="Calibri"/>
              </w:rPr>
            </w:pPr>
            <w:r w:rsidRPr="00C25D1A">
              <w:rPr>
                <w:rFonts w:eastAsia="Calibri"/>
              </w:rPr>
              <w:t>8</w:t>
            </w:r>
            <w:r>
              <w:rPr>
                <w:rFonts w:eastAsia="Calibri"/>
              </w:rPr>
              <w:t xml:space="preserve"> </w:t>
            </w:r>
            <w:r w:rsidRPr="00C25D1A">
              <w:rPr>
                <w:rFonts w:eastAsia="Calibri"/>
              </w:rPr>
              <w:t>(6.7)</w:t>
            </w:r>
          </w:p>
        </w:tc>
      </w:tr>
      <w:tr w:rsidR="00920BE8" w:rsidRPr="00C25D1A" w:rsidTr="00920BE8">
        <w:tc>
          <w:tcPr>
            <w:tcW w:w="5743" w:type="dxa"/>
          </w:tcPr>
          <w:p w:rsidR="00920BE8" w:rsidRPr="00C25D1A" w:rsidRDefault="00920BE8" w:rsidP="00920BE8">
            <w:pPr>
              <w:pStyle w:val="TableBodyinclColHeads"/>
              <w:rPr>
                <w:rFonts w:eastAsia="Calibri"/>
              </w:rPr>
            </w:pPr>
            <w:r>
              <w:rPr>
                <w:rFonts w:eastAsia="Calibri"/>
              </w:rPr>
              <w:t xml:space="preserve">   ≥</w:t>
            </w:r>
            <w:r w:rsidRPr="00C25D1A">
              <w:rPr>
                <w:rFonts w:eastAsia="Calibri"/>
              </w:rPr>
              <w:t>30 years</w:t>
            </w:r>
          </w:p>
        </w:tc>
        <w:tc>
          <w:tcPr>
            <w:tcW w:w="1912" w:type="dxa"/>
          </w:tcPr>
          <w:p w:rsidR="00920BE8" w:rsidRPr="00C25D1A" w:rsidRDefault="00920BE8" w:rsidP="00920BE8">
            <w:pPr>
              <w:pStyle w:val="TableBodyinclColHeads"/>
              <w:rPr>
                <w:rFonts w:eastAsia="Calibri"/>
              </w:rPr>
            </w:pPr>
            <w:r w:rsidRPr="00C25D1A">
              <w:rPr>
                <w:rFonts w:eastAsia="Calibri"/>
              </w:rPr>
              <w:t>0</w:t>
            </w:r>
            <w:r>
              <w:rPr>
                <w:rFonts w:eastAsia="Calibri"/>
              </w:rPr>
              <w:t xml:space="preserve"> </w:t>
            </w:r>
            <w:r w:rsidRPr="00C25D1A">
              <w:rPr>
                <w:rFonts w:eastAsia="Calibri"/>
              </w:rPr>
              <w:t>(0)</w:t>
            </w:r>
          </w:p>
        </w:tc>
      </w:tr>
      <w:tr w:rsidR="00920BE8" w:rsidRPr="00C25D1A" w:rsidTr="00920BE8">
        <w:tc>
          <w:tcPr>
            <w:tcW w:w="5743" w:type="dxa"/>
          </w:tcPr>
          <w:p w:rsidR="00920BE8" w:rsidRPr="00C25D1A" w:rsidRDefault="00920BE8" w:rsidP="00920BE8">
            <w:pPr>
              <w:pStyle w:val="TableBodyinclColHeads"/>
              <w:rPr>
                <w:rFonts w:eastAsia="Calibri"/>
              </w:rPr>
            </w:pPr>
            <w:r w:rsidRPr="00C25D1A">
              <w:rPr>
                <w:rFonts w:eastAsia="Calibri"/>
              </w:rPr>
              <w:t xml:space="preserve">Forced to </w:t>
            </w:r>
            <w:r>
              <w:rPr>
                <w:rFonts w:eastAsia="Calibri"/>
              </w:rPr>
              <w:t>have sex (</w:t>
            </w:r>
            <w:r w:rsidRPr="00534835">
              <w:rPr>
                <w:rFonts w:eastAsia="Calibri"/>
                <w:i/>
              </w:rPr>
              <w:t>n</w:t>
            </w:r>
            <w:r w:rsidRPr="00C25D1A">
              <w:rPr>
                <w:rFonts w:eastAsia="Calibri"/>
              </w:rPr>
              <w:t>=119</w:t>
            </w:r>
            <w:r>
              <w:rPr>
                <w:rFonts w:eastAsia="Calibri"/>
              </w:rPr>
              <w:t>)</w:t>
            </w:r>
          </w:p>
        </w:tc>
        <w:tc>
          <w:tcPr>
            <w:tcW w:w="1912" w:type="dxa"/>
          </w:tcPr>
          <w:p w:rsidR="00920BE8" w:rsidRPr="00C25D1A" w:rsidRDefault="00920BE8" w:rsidP="00920BE8">
            <w:pPr>
              <w:pStyle w:val="TableBodyinclColHeads"/>
              <w:rPr>
                <w:rFonts w:eastAsia="Calibri"/>
              </w:rPr>
            </w:pPr>
          </w:p>
        </w:tc>
      </w:tr>
      <w:tr w:rsidR="00920BE8" w:rsidRPr="00C25D1A" w:rsidTr="00920BE8">
        <w:tc>
          <w:tcPr>
            <w:tcW w:w="5743" w:type="dxa"/>
          </w:tcPr>
          <w:p w:rsidR="00920BE8" w:rsidRPr="00C25D1A" w:rsidRDefault="00920BE8" w:rsidP="00920BE8">
            <w:pPr>
              <w:pStyle w:val="TableBodyinclColHeads"/>
              <w:rPr>
                <w:rFonts w:eastAsia="Calibri"/>
              </w:rPr>
            </w:pPr>
            <w:r>
              <w:rPr>
                <w:rFonts w:eastAsia="Calibri"/>
              </w:rPr>
              <w:t xml:space="preserve">   </w:t>
            </w:r>
            <w:r w:rsidRPr="00C25D1A">
              <w:rPr>
                <w:rFonts w:eastAsia="Calibri"/>
              </w:rPr>
              <w:t>Yes</w:t>
            </w:r>
          </w:p>
        </w:tc>
        <w:tc>
          <w:tcPr>
            <w:tcW w:w="1912" w:type="dxa"/>
          </w:tcPr>
          <w:p w:rsidR="00920BE8" w:rsidRPr="00C25D1A" w:rsidRDefault="00920BE8" w:rsidP="00920BE8">
            <w:pPr>
              <w:pStyle w:val="TableBodyinclColHeads"/>
              <w:rPr>
                <w:rFonts w:eastAsia="Calibri"/>
              </w:rPr>
            </w:pPr>
            <w:r w:rsidRPr="00C25D1A">
              <w:rPr>
                <w:rFonts w:eastAsia="Calibri"/>
              </w:rPr>
              <w:t>11</w:t>
            </w:r>
            <w:r>
              <w:rPr>
                <w:rFonts w:eastAsia="Calibri"/>
              </w:rPr>
              <w:t xml:space="preserve"> </w:t>
            </w:r>
            <w:r w:rsidRPr="00C25D1A">
              <w:rPr>
                <w:rFonts w:eastAsia="Calibri"/>
              </w:rPr>
              <w:t>(9.2)</w:t>
            </w:r>
          </w:p>
        </w:tc>
      </w:tr>
      <w:tr w:rsidR="00920BE8" w:rsidRPr="00C25D1A" w:rsidTr="00920BE8">
        <w:tc>
          <w:tcPr>
            <w:tcW w:w="5743" w:type="dxa"/>
          </w:tcPr>
          <w:p w:rsidR="00920BE8" w:rsidRPr="00C25D1A" w:rsidRDefault="00920BE8" w:rsidP="00920BE8">
            <w:pPr>
              <w:pStyle w:val="TableBodyinclColHeads"/>
              <w:rPr>
                <w:rFonts w:eastAsia="Calibri"/>
              </w:rPr>
            </w:pPr>
            <w:r>
              <w:rPr>
                <w:rFonts w:eastAsia="Calibri"/>
              </w:rPr>
              <w:t xml:space="preserve">   </w:t>
            </w:r>
            <w:r w:rsidRPr="00C25D1A">
              <w:rPr>
                <w:rFonts w:eastAsia="Calibri"/>
              </w:rPr>
              <w:t>No</w:t>
            </w:r>
          </w:p>
        </w:tc>
        <w:tc>
          <w:tcPr>
            <w:tcW w:w="1912" w:type="dxa"/>
          </w:tcPr>
          <w:p w:rsidR="00920BE8" w:rsidRPr="00C25D1A" w:rsidRDefault="00920BE8" w:rsidP="00920BE8">
            <w:pPr>
              <w:pStyle w:val="TableBodyinclColHeads"/>
              <w:rPr>
                <w:rFonts w:eastAsia="Calibri"/>
              </w:rPr>
            </w:pPr>
            <w:r w:rsidRPr="00C25D1A">
              <w:rPr>
                <w:rFonts w:eastAsia="Calibri"/>
              </w:rPr>
              <w:t>108</w:t>
            </w:r>
            <w:r>
              <w:rPr>
                <w:rFonts w:eastAsia="Calibri"/>
              </w:rPr>
              <w:t xml:space="preserve"> </w:t>
            </w:r>
            <w:r w:rsidRPr="00C25D1A">
              <w:rPr>
                <w:rFonts w:eastAsia="Calibri"/>
              </w:rPr>
              <w:t>(90.8)</w:t>
            </w:r>
          </w:p>
        </w:tc>
      </w:tr>
      <w:tr w:rsidR="00920BE8" w:rsidRPr="00C25D1A" w:rsidTr="00920BE8">
        <w:tc>
          <w:tcPr>
            <w:tcW w:w="5743" w:type="dxa"/>
          </w:tcPr>
          <w:p w:rsidR="00920BE8" w:rsidRPr="00C25D1A" w:rsidRDefault="00920BE8" w:rsidP="00920BE8">
            <w:pPr>
              <w:pStyle w:val="TableBodyinclColHeads"/>
              <w:rPr>
                <w:rFonts w:eastAsia="Calibri"/>
              </w:rPr>
            </w:pPr>
            <w:r w:rsidRPr="00C25D1A">
              <w:rPr>
                <w:rFonts w:eastAsia="Calibri"/>
              </w:rPr>
              <w:t>Forced partner to</w:t>
            </w:r>
            <w:r>
              <w:rPr>
                <w:rFonts w:eastAsia="Calibri"/>
              </w:rPr>
              <w:t xml:space="preserve"> have sex (</w:t>
            </w:r>
            <w:r w:rsidRPr="00534835">
              <w:rPr>
                <w:rFonts w:eastAsia="Calibri"/>
                <w:i/>
              </w:rPr>
              <w:t>n</w:t>
            </w:r>
            <w:r w:rsidRPr="00C25D1A">
              <w:rPr>
                <w:rFonts w:eastAsia="Calibri"/>
              </w:rPr>
              <w:t>=119</w:t>
            </w:r>
            <w:r>
              <w:rPr>
                <w:rFonts w:eastAsia="Calibri"/>
              </w:rPr>
              <w:t>)</w:t>
            </w:r>
          </w:p>
        </w:tc>
        <w:tc>
          <w:tcPr>
            <w:tcW w:w="1912" w:type="dxa"/>
          </w:tcPr>
          <w:p w:rsidR="00920BE8" w:rsidRPr="00C25D1A" w:rsidRDefault="00920BE8" w:rsidP="00920BE8">
            <w:pPr>
              <w:pStyle w:val="TableBodyinclColHeads"/>
              <w:rPr>
                <w:rFonts w:eastAsia="Calibri"/>
              </w:rPr>
            </w:pPr>
          </w:p>
        </w:tc>
      </w:tr>
      <w:tr w:rsidR="00920BE8" w:rsidRPr="00C25D1A" w:rsidTr="00920BE8">
        <w:tc>
          <w:tcPr>
            <w:tcW w:w="5743" w:type="dxa"/>
          </w:tcPr>
          <w:p w:rsidR="00920BE8" w:rsidRPr="00C25D1A" w:rsidRDefault="00920BE8" w:rsidP="00920BE8">
            <w:pPr>
              <w:pStyle w:val="TableBodyinclColHeads"/>
              <w:rPr>
                <w:rFonts w:eastAsia="Calibri"/>
              </w:rPr>
            </w:pPr>
            <w:r>
              <w:rPr>
                <w:rFonts w:eastAsia="Calibri"/>
              </w:rPr>
              <w:t xml:space="preserve">   </w:t>
            </w:r>
            <w:r w:rsidRPr="00C25D1A">
              <w:rPr>
                <w:rFonts w:eastAsia="Calibri"/>
              </w:rPr>
              <w:t>Yes</w:t>
            </w:r>
          </w:p>
        </w:tc>
        <w:tc>
          <w:tcPr>
            <w:tcW w:w="1912" w:type="dxa"/>
          </w:tcPr>
          <w:p w:rsidR="00920BE8" w:rsidRPr="00C25D1A" w:rsidRDefault="00920BE8" w:rsidP="00920BE8">
            <w:pPr>
              <w:pStyle w:val="TableBodyinclColHeads"/>
              <w:rPr>
                <w:rFonts w:eastAsia="Calibri"/>
              </w:rPr>
            </w:pPr>
            <w:r w:rsidRPr="00C25D1A">
              <w:rPr>
                <w:rFonts w:eastAsia="Calibri"/>
              </w:rPr>
              <w:t>5</w:t>
            </w:r>
            <w:r>
              <w:rPr>
                <w:rFonts w:eastAsia="Calibri"/>
              </w:rPr>
              <w:t xml:space="preserve"> </w:t>
            </w:r>
            <w:r w:rsidRPr="00C25D1A">
              <w:rPr>
                <w:rFonts w:eastAsia="Calibri"/>
              </w:rPr>
              <w:t>(4.2)</w:t>
            </w:r>
          </w:p>
        </w:tc>
      </w:tr>
      <w:tr w:rsidR="00920BE8" w:rsidRPr="00C25D1A" w:rsidTr="00920BE8">
        <w:tc>
          <w:tcPr>
            <w:tcW w:w="5743" w:type="dxa"/>
          </w:tcPr>
          <w:p w:rsidR="00920BE8" w:rsidRPr="00C25D1A" w:rsidRDefault="00920BE8" w:rsidP="00920BE8">
            <w:pPr>
              <w:pStyle w:val="TableBodyinclColHeads"/>
              <w:rPr>
                <w:rFonts w:eastAsia="Calibri"/>
              </w:rPr>
            </w:pPr>
            <w:r>
              <w:rPr>
                <w:rFonts w:eastAsia="Calibri"/>
              </w:rPr>
              <w:t xml:space="preserve">   </w:t>
            </w:r>
            <w:r w:rsidRPr="00C25D1A">
              <w:rPr>
                <w:rFonts w:eastAsia="Calibri"/>
              </w:rPr>
              <w:t>No</w:t>
            </w:r>
          </w:p>
        </w:tc>
        <w:tc>
          <w:tcPr>
            <w:tcW w:w="1912" w:type="dxa"/>
          </w:tcPr>
          <w:p w:rsidR="00920BE8" w:rsidRPr="00C25D1A" w:rsidRDefault="00920BE8" w:rsidP="00920BE8">
            <w:pPr>
              <w:pStyle w:val="TableBodyinclColHeads"/>
              <w:rPr>
                <w:rFonts w:eastAsia="Calibri"/>
              </w:rPr>
            </w:pPr>
            <w:r w:rsidRPr="00C25D1A">
              <w:rPr>
                <w:rFonts w:eastAsia="Calibri"/>
              </w:rPr>
              <w:t>114</w:t>
            </w:r>
            <w:r>
              <w:rPr>
                <w:rFonts w:eastAsia="Calibri"/>
              </w:rPr>
              <w:t xml:space="preserve"> </w:t>
            </w:r>
            <w:r w:rsidRPr="00C25D1A">
              <w:rPr>
                <w:rFonts w:eastAsia="Calibri"/>
              </w:rPr>
              <w:t>(95.8)</w:t>
            </w:r>
          </w:p>
        </w:tc>
      </w:tr>
      <w:tr w:rsidR="00920BE8" w:rsidRPr="00C25D1A" w:rsidTr="00920BE8">
        <w:tc>
          <w:tcPr>
            <w:tcW w:w="5743" w:type="dxa"/>
          </w:tcPr>
          <w:p w:rsidR="00920BE8" w:rsidRPr="00C25D1A" w:rsidRDefault="00920BE8" w:rsidP="00920BE8">
            <w:pPr>
              <w:pStyle w:val="TableBodyinclColHeads"/>
              <w:rPr>
                <w:rFonts w:eastAsia="Calibri"/>
              </w:rPr>
            </w:pPr>
            <w:r w:rsidRPr="00C25D1A">
              <w:rPr>
                <w:rFonts w:eastAsia="Calibri"/>
              </w:rPr>
              <w:t>Pregnant/</w:t>
            </w:r>
            <w:r>
              <w:rPr>
                <w:rFonts w:eastAsia="Calibri"/>
              </w:rPr>
              <w:t>i</w:t>
            </w:r>
            <w:r w:rsidRPr="00C25D1A">
              <w:rPr>
                <w:rFonts w:eastAsia="Calibri"/>
              </w:rPr>
              <w:t>mpregnat</w:t>
            </w:r>
            <w:r>
              <w:rPr>
                <w:rFonts w:eastAsia="Calibri"/>
              </w:rPr>
              <w:t>ed someone (</w:t>
            </w:r>
            <w:r w:rsidRPr="00534835">
              <w:rPr>
                <w:rFonts w:eastAsia="Calibri"/>
                <w:i/>
              </w:rPr>
              <w:t>n</w:t>
            </w:r>
            <w:r w:rsidRPr="00C25D1A">
              <w:rPr>
                <w:rFonts w:eastAsia="Calibri"/>
              </w:rPr>
              <w:t>=119</w:t>
            </w:r>
            <w:r>
              <w:rPr>
                <w:rFonts w:eastAsia="Calibri"/>
              </w:rPr>
              <w:t>)</w:t>
            </w:r>
          </w:p>
        </w:tc>
        <w:tc>
          <w:tcPr>
            <w:tcW w:w="1912" w:type="dxa"/>
          </w:tcPr>
          <w:p w:rsidR="00920BE8" w:rsidRPr="00C25D1A" w:rsidRDefault="00920BE8" w:rsidP="00920BE8">
            <w:pPr>
              <w:pStyle w:val="TableBodyinclColHeads"/>
              <w:rPr>
                <w:rFonts w:eastAsia="Calibri"/>
              </w:rPr>
            </w:pPr>
          </w:p>
        </w:tc>
      </w:tr>
      <w:tr w:rsidR="00920BE8" w:rsidRPr="00C25D1A" w:rsidTr="00920BE8">
        <w:tc>
          <w:tcPr>
            <w:tcW w:w="5743" w:type="dxa"/>
          </w:tcPr>
          <w:p w:rsidR="00920BE8" w:rsidRPr="00C25D1A" w:rsidRDefault="00920BE8" w:rsidP="00920BE8">
            <w:pPr>
              <w:pStyle w:val="TableBodyinclColHeads"/>
              <w:rPr>
                <w:rFonts w:eastAsia="Calibri"/>
              </w:rPr>
            </w:pPr>
            <w:r>
              <w:rPr>
                <w:rFonts w:eastAsia="Calibri"/>
              </w:rPr>
              <w:t xml:space="preserve">   </w:t>
            </w:r>
            <w:r w:rsidRPr="00C25D1A">
              <w:rPr>
                <w:rFonts w:eastAsia="Calibri"/>
              </w:rPr>
              <w:t>Yes</w:t>
            </w:r>
          </w:p>
        </w:tc>
        <w:tc>
          <w:tcPr>
            <w:tcW w:w="1912" w:type="dxa"/>
          </w:tcPr>
          <w:p w:rsidR="00920BE8" w:rsidRPr="00C25D1A" w:rsidRDefault="00920BE8" w:rsidP="00920BE8">
            <w:pPr>
              <w:pStyle w:val="TableBodyinclColHeads"/>
              <w:rPr>
                <w:rFonts w:eastAsia="Calibri"/>
              </w:rPr>
            </w:pPr>
            <w:r w:rsidRPr="00C25D1A">
              <w:rPr>
                <w:rFonts w:eastAsia="Calibri"/>
              </w:rPr>
              <w:t>41</w:t>
            </w:r>
            <w:r>
              <w:rPr>
                <w:rFonts w:eastAsia="Calibri"/>
              </w:rPr>
              <w:t xml:space="preserve"> </w:t>
            </w:r>
            <w:r w:rsidRPr="00C25D1A">
              <w:rPr>
                <w:rFonts w:eastAsia="Calibri"/>
              </w:rPr>
              <w:t>(34.5)</w:t>
            </w:r>
          </w:p>
        </w:tc>
      </w:tr>
      <w:tr w:rsidR="00920BE8" w:rsidRPr="00C25D1A" w:rsidTr="00920BE8">
        <w:tc>
          <w:tcPr>
            <w:tcW w:w="5743" w:type="dxa"/>
          </w:tcPr>
          <w:p w:rsidR="00920BE8" w:rsidRPr="00C25D1A" w:rsidRDefault="00920BE8" w:rsidP="00920BE8">
            <w:pPr>
              <w:pStyle w:val="TableBodyinclColHeads"/>
              <w:rPr>
                <w:rFonts w:eastAsia="Calibri"/>
              </w:rPr>
            </w:pPr>
            <w:r>
              <w:rPr>
                <w:rFonts w:eastAsia="Calibri"/>
              </w:rPr>
              <w:t xml:space="preserve">   N</w:t>
            </w:r>
            <w:r w:rsidRPr="00C25D1A">
              <w:rPr>
                <w:rFonts w:eastAsia="Calibri"/>
              </w:rPr>
              <w:t>o</w:t>
            </w:r>
          </w:p>
        </w:tc>
        <w:tc>
          <w:tcPr>
            <w:tcW w:w="1912" w:type="dxa"/>
          </w:tcPr>
          <w:p w:rsidR="00920BE8" w:rsidRPr="00C25D1A" w:rsidRDefault="00920BE8" w:rsidP="00920BE8">
            <w:pPr>
              <w:pStyle w:val="TableBodyinclColHeads"/>
              <w:rPr>
                <w:rFonts w:eastAsia="Calibri"/>
              </w:rPr>
            </w:pPr>
            <w:r w:rsidRPr="00C25D1A">
              <w:rPr>
                <w:rFonts w:eastAsia="Calibri"/>
              </w:rPr>
              <w:t>78</w:t>
            </w:r>
            <w:r>
              <w:rPr>
                <w:rFonts w:eastAsia="Calibri"/>
              </w:rPr>
              <w:t xml:space="preserve"> </w:t>
            </w:r>
            <w:r w:rsidRPr="00C25D1A">
              <w:rPr>
                <w:rFonts w:eastAsia="Calibri"/>
              </w:rPr>
              <w:t>(65.5)</w:t>
            </w:r>
          </w:p>
        </w:tc>
      </w:tr>
      <w:tr w:rsidR="00920BE8" w:rsidRPr="00C25D1A" w:rsidTr="00920BE8">
        <w:tc>
          <w:tcPr>
            <w:tcW w:w="5743" w:type="dxa"/>
          </w:tcPr>
          <w:p w:rsidR="00920BE8" w:rsidRPr="00C25D1A" w:rsidRDefault="00920BE8" w:rsidP="00920BE8">
            <w:pPr>
              <w:pStyle w:val="TableBodyinclColHeads"/>
              <w:rPr>
                <w:rFonts w:eastAsia="Calibri"/>
              </w:rPr>
            </w:pPr>
            <w:r>
              <w:rPr>
                <w:rFonts w:eastAsia="Calibri"/>
              </w:rPr>
              <w:t>Frequency of contraceptive use (</w:t>
            </w:r>
            <w:r w:rsidRPr="00534835">
              <w:rPr>
                <w:rFonts w:eastAsia="Calibri"/>
                <w:i/>
              </w:rPr>
              <w:t>n</w:t>
            </w:r>
            <w:r w:rsidRPr="00C25D1A">
              <w:rPr>
                <w:rFonts w:eastAsia="Calibri"/>
              </w:rPr>
              <w:t>=119</w:t>
            </w:r>
            <w:r>
              <w:rPr>
                <w:rFonts w:eastAsia="Calibri"/>
              </w:rPr>
              <w:t>)</w:t>
            </w:r>
          </w:p>
        </w:tc>
        <w:tc>
          <w:tcPr>
            <w:tcW w:w="1912" w:type="dxa"/>
          </w:tcPr>
          <w:p w:rsidR="00920BE8" w:rsidRPr="00C25D1A" w:rsidRDefault="00920BE8" w:rsidP="00920BE8">
            <w:pPr>
              <w:pStyle w:val="TableBodyinclColHeads"/>
              <w:rPr>
                <w:rFonts w:eastAsia="Calibri"/>
              </w:rPr>
            </w:pPr>
          </w:p>
        </w:tc>
      </w:tr>
      <w:tr w:rsidR="00920BE8" w:rsidRPr="00C25D1A" w:rsidTr="00920BE8">
        <w:tc>
          <w:tcPr>
            <w:tcW w:w="5743" w:type="dxa"/>
          </w:tcPr>
          <w:p w:rsidR="00920BE8" w:rsidRPr="00C25D1A" w:rsidRDefault="00920BE8" w:rsidP="00920BE8">
            <w:pPr>
              <w:pStyle w:val="TableBodyinclColHeads"/>
              <w:rPr>
                <w:rFonts w:eastAsia="Calibri"/>
              </w:rPr>
            </w:pPr>
            <w:r>
              <w:rPr>
                <w:rFonts w:eastAsia="Calibri"/>
              </w:rPr>
              <w:t xml:space="preserve">   </w:t>
            </w:r>
            <w:r w:rsidRPr="00C25D1A">
              <w:rPr>
                <w:rFonts w:eastAsia="Calibri"/>
              </w:rPr>
              <w:t>Never</w:t>
            </w:r>
          </w:p>
        </w:tc>
        <w:tc>
          <w:tcPr>
            <w:tcW w:w="1912" w:type="dxa"/>
          </w:tcPr>
          <w:p w:rsidR="00920BE8" w:rsidRPr="00C25D1A" w:rsidRDefault="00920BE8" w:rsidP="00920BE8">
            <w:pPr>
              <w:pStyle w:val="TableBodyinclColHeads"/>
              <w:rPr>
                <w:rFonts w:eastAsia="Calibri"/>
              </w:rPr>
            </w:pPr>
            <w:r w:rsidRPr="00C25D1A">
              <w:rPr>
                <w:rFonts w:eastAsia="Calibri"/>
              </w:rPr>
              <w:t>22</w:t>
            </w:r>
            <w:r>
              <w:rPr>
                <w:rFonts w:eastAsia="Calibri"/>
              </w:rPr>
              <w:t xml:space="preserve"> </w:t>
            </w:r>
            <w:r w:rsidRPr="00C25D1A">
              <w:rPr>
                <w:rFonts w:eastAsia="Calibri"/>
              </w:rPr>
              <w:t>(18.5)</w:t>
            </w:r>
          </w:p>
        </w:tc>
      </w:tr>
      <w:tr w:rsidR="00920BE8" w:rsidRPr="00C25D1A" w:rsidTr="00920BE8">
        <w:tc>
          <w:tcPr>
            <w:tcW w:w="5743" w:type="dxa"/>
          </w:tcPr>
          <w:p w:rsidR="00920BE8" w:rsidRPr="00C25D1A" w:rsidRDefault="00920BE8" w:rsidP="00920BE8">
            <w:pPr>
              <w:pStyle w:val="TableBodyinclColHeads"/>
              <w:rPr>
                <w:rFonts w:eastAsia="Calibri"/>
              </w:rPr>
            </w:pPr>
            <w:r>
              <w:rPr>
                <w:rFonts w:eastAsia="Calibri"/>
              </w:rPr>
              <w:t xml:space="preserve">   </w:t>
            </w:r>
            <w:r w:rsidRPr="00C25D1A">
              <w:rPr>
                <w:rFonts w:eastAsia="Calibri"/>
              </w:rPr>
              <w:t>Occasionally</w:t>
            </w:r>
          </w:p>
        </w:tc>
        <w:tc>
          <w:tcPr>
            <w:tcW w:w="1912" w:type="dxa"/>
          </w:tcPr>
          <w:p w:rsidR="00920BE8" w:rsidRPr="00C25D1A" w:rsidRDefault="00920BE8" w:rsidP="00920BE8">
            <w:pPr>
              <w:pStyle w:val="TableBodyinclColHeads"/>
              <w:rPr>
                <w:rFonts w:eastAsia="Calibri"/>
              </w:rPr>
            </w:pPr>
            <w:r w:rsidRPr="00C25D1A">
              <w:rPr>
                <w:rFonts w:eastAsia="Calibri"/>
              </w:rPr>
              <w:t>48</w:t>
            </w:r>
            <w:r>
              <w:rPr>
                <w:rFonts w:eastAsia="Calibri"/>
              </w:rPr>
              <w:t xml:space="preserve"> </w:t>
            </w:r>
            <w:r w:rsidRPr="00C25D1A">
              <w:rPr>
                <w:rFonts w:eastAsia="Calibri"/>
              </w:rPr>
              <w:t>(40.3)</w:t>
            </w:r>
          </w:p>
        </w:tc>
      </w:tr>
      <w:tr w:rsidR="00920BE8" w:rsidRPr="00C25D1A" w:rsidTr="00920BE8">
        <w:tc>
          <w:tcPr>
            <w:tcW w:w="5743" w:type="dxa"/>
          </w:tcPr>
          <w:p w:rsidR="00920BE8" w:rsidRPr="00C25D1A" w:rsidRDefault="00920BE8" w:rsidP="00920BE8">
            <w:pPr>
              <w:pStyle w:val="TableBodyinclColHeads"/>
              <w:rPr>
                <w:rFonts w:eastAsia="Calibri"/>
              </w:rPr>
            </w:pPr>
            <w:r>
              <w:rPr>
                <w:rFonts w:eastAsia="Calibri"/>
              </w:rPr>
              <w:lastRenderedPageBreak/>
              <w:t xml:space="preserve">   </w:t>
            </w:r>
            <w:r w:rsidRPr="00C25D1A">
              <w:rPr>
                <w:rFonts w:eastAsia="Calibri"/>
              </w:rPr>
              <w:t>Often</w:t>
            </w:r>
          </w:p>
        </w:tc>
        <w:tc>
          <w:tcPr>
            <w:tcW w:w="1912" w:type="dxa"/>
          </w:tcPr>
          <w:p w:rsidR="00920BE8" w:rsidRPr="00C25D1A" w:rsidRDefault="00920BE8" w:rsidP="00920BE8">
            <w:pPr>
              <w:pStyle w:val="TableBodyinclColHeads"/>
              <w:rPr>
                <w:rFonts w:eastAsia="Calibri"/>
              </w:rPr>
            </w:pPr>
            <w:r w:rsidRPr="00C25D1A">
              <w:rPr>
                <w:rFonts w:eastAsia="Calibri"/>
              </w:rPr>
              <w:t>25</w:t>
            </w:r>
            <w:r>
              <w:rPr>
                <w:rFonts w:eastAsia="Calibri"/>
              </w:rPr>
              <w:t xml:space="preserve"> </w:t>
            </w:r>
            <w:r w:rsidRPr="00C25D1A">
              <w:rPr>
                <w:rFonts w:eastAsia="Calibri"/>
              </w:rPr>
              <w:t>(21.0)</w:t>
            </w:r>
          </w:p>
        </w:tc>
      </w:tr>
      <w:tr w:rsidR="00920BE8" w:rsidRPr="00C25D1A" w:rsidTr="00920BE8">
        <w:tc>
          <w:tcPr>
            <w:tcW w:w="5743" w:type="dxa"/>
          </w:tcPr>
          <w:p w:rsidR="00920BE8" w:rsidRPr="00C25D1A" w:rsidRDefault="00920BE8" w:rsidP="00920BE8">
            <w:pPr>
              <w:pStyle w:val="TableBodyinclColHeads"/>
              <w:rPr>
                <w:rFonts w:eastAsia="Calibri"/>
              </w:rPr>
            </w:pPr>
            <w:r>
              <w:rPr>
                <w:rFonts w:eastAsia="Calibri"/>
              </w:rPr>
              <w:t xml:space="preserve">   </w:t>
            </w:r>
            <w:r w:rsidRPr="00C25D1A">
              <w:rPr>
                <w:rFonts w:eastAsia="Calibri"/>
              </w:rPr>
              <w:t>All the time</w:t>
            </w:r>
          </w:p>
        </w:tc>
        <w:tc>
          <w:tcPr>
            <w:tcW w:w="1912" w:type="dxa"/>
          </w:tcPr>
          <w:p w:rsidR="00920BE8" w:rsidRPr="00C25D1A" w:rsidRDefault="00920BE8" w:rsidP="00920BE8">
            <w:pPr>
              <w:pStyle w:val="TableBodyinclColHeads"/>
              <w:rPr>
                <w:rFonts w:eastAsia="Calibri"/>
              </w:rPr>
            </w:pPr>
            <w:r w:rsidRPr="00C25D1A">
              <w:rPr>
                <w:rFonts w:eastAsia="Calibri"/>
              </w:rPr>
              <w:t>24</w:t>
            </w:r>
            <w:r>
              <w:rPr>
                <w:rFonts w:eastAsia="Calibri"/>
              </w:rPr>
              <w:t xml:space="preserve"> </w:t>
            </w:r>
            <w:r w:rsidRPr="00C25D1A">
              <w:rPr>
                <w:rFonts w:eastAsia="Calibri"/>
              </w:rPr>
              <w:t>(20.2)</w:t>
            </w:r>
          </w:p>
        </w:tc>
      </w:tr>
      <w:tr w:rsidR="00920BE8" w:rsidRPr="00C25D1A" w:rsidTr="00920BE8">
        <w:tc>
          <w:tcPr>
            <w:tcW w:w="5743" w:type="dxa"/>
          </w:tcPr>
          <w:p w:rsidR="00920BE8" w:rsidRPr="00C25D1A" w:rsidRDefault="00920BE8" w:rsidP="00920BE8">
            <w:pPr>
              <w:pStyle w:val="TableBodyinclColHeads"/>
              <w:rPr>
                <w:rFonts w:eastAsia="Calibri"/>
              </w:rPr>
            </w:pPr>
            <w:r w:rsidRPr="00C25D1A">
              <w:rPr>
                <w:rFonts w:eastAsia="Calibri"/>
              </w:rPr>
              <w:t>Whose</w:t>
            </w:r>
            <w:r>
              <w:rPr>
                <w:rFonts w:eastAsia="Calibri"/>
              </w:rPr>
              <w:t xml:space="preserve"> decision to use contraception? (</w:t>
            </w:r>
            <w:r w:rsidRPr="00534835">
              <w:rPr>
                <w:rFonts w:eastAsia="Calibri"/>
                <w:i/>
              </w:rPr>
              <w:t>n</w:t>
            </w:r>
            <w:r>
              <w:rPr>
                <w:rFonts w:eastAsia="Calibri"/>
              </w:rPr>
              <w:t>=</w:t>
            </w:r>
            <w:r w:rsidRPr="00C25D1A">
              <w:rPr>
                <w:rFonts w:eastAsia="Calibri"/>
              </w:rPr>
              <w:t>97</w:t>
            </w:r>
            <w:r>
              <w:rPr>
                <w:rFonts w:eastAsia="Calibri"/>
              </w:rPr>
              <w:t>)</w:t>
            </w:r>
          </w:p>
        </w:tc>
        <w:tc>
          <w:tcPr>
            <w:tcW w:w="1912" w:type="dxa"/>
          </w:tcPr>
          <w:p w:rsidR="00920BE8" w:rsidRPr="00C25D1A" w:rsidRDefault="00920BE8" w:rsidP="00920BE8">
            <w:pPr>
              <w:pStyle w:val="TableBodyinclColHeads"/>
              <w:rPr>
                <w:rFonts w:eastAsia="Calibri"/>
              </w:rPr>
            </w:pPr>
          </w:p>
        </w:tc>
      </w:tr>
      <w:tr w:rsidR="00920BE8" w:rsidRPr="00C25D1A" w:rsidTr="00920BE8">
        <w:tc>
          <w:tcPr>
            <w:tcW w:w="5743" w:type="dxa"/>
          </w:tcPr>
          <w:p w:rsidR="00920BE8" w:rsidRPr="00C25D1A" w:rsidRDefault="00920BE8" w:rsidP="00920BE8">
            <w:pPr>
              <w:pStyle w:val="TableBodyinclColHeads"/>
              <w:rPr>
                <w:rFonts w:eastAsia="Calibri"/>
              </w:rPr>
            </w:pPr>
            <w:r>
              <w:rPr>
                <w:rFonts w:eastAsia="Calibri"/>
              </w:rPr>
              <w:t xml:space="preserve">   </w:t>
            </w:r>
            <w:r w:rsidRPr="00C25D1A">
              <w:rPr>
                <w:rFonts w:eastAsia="Calibri"/>
              </w:rPr>
              <w:t>Self</w:t>
            </w:r>
          </w:p>
        </w:tc>
        <w:tc>
          <w:tcPr>
            <w:tcW w:w="1912" w:type="dxa"/>
          </w:tcPr>
          <w:p w:rsidR="00920BE8" w:rsidRPr="00C25D1A" w:rsidRDefault="00920BE8" w:rsidP="00920BE8">
            <w:pPr>
              <w:pStyle w:val="TableBodyinclColHeads"/>
              <w:rPr>
                <w:rFonts w:eastAsia="Calibri"/>
              </w:rPr>
            </w:pPr>
            <w:r w:rsidRPr="00C25D1A">
              <w:rPr>
                <w:rFonts w:eastAsia="Calibri"/>
              </w:rPr>
              <w:t>39</w:t>
            </w:r>
            <w:r>
              <w:rPr>
                <w:rFonts w:eastAsia="Calibri"/>
              </w:rPr>
              <w:t xml:space="preserve"> </w:t>
            </w:r>
            <w:r w:rsidRPr="00C25D1A">
              <w:rPr>
                <w:rFonts w:eastAsia="Calibri"/>
              </w:rPr>
              <w:t>(40.2)</w:t>
            </w:r>
          </w:p>
        </w:tc>
      </w:tr>
      <w:tr w:rsidR="00920BE8" w:rsidRPr="00C25D1A" w:rsidTr="00920BE8">
        <w:tc>
          <w:tcPr>
            <w:tcW w:w="5743" w:type="dxa"/>
          </w:tcPr>
          <w:p w:rsidR="00920BE8" w:rsidRPr="00C25D1A" w:rsidRDefault="00920BE8" w:rsidP="00920BE8">
            <w:pPr>
              <w:pStyle w:val="TableBodyinclColHeads"/>
              <w:rPr>
                <w:rFonts w:eastAsia="Calibri"/>
              </w:rPr>
            </w:pPr>
            <w:r>
              <w:rPr>
                <w:rFonts w:eastAsia="Calibri"/>
              </w:rPr>
              <w:t xml:space="preserve">   </w:t>
            </w:r>
            <w:r w:rsidRPr="00C25D1A">
              <w:rPr>
                <w:rFonts w:eastAsia="Calibri"/>
              </w:rPr>
              <w:t>Partner</w:t>
            </w:r>
          </w:p>
        </w:tc>
        <w:tc>
          <w:tcPr>
            <w:tcW w:w="1912" w:type="dxa"/>
          </w:tcPr>
          <w:p w:rsidR="00920BE8" w:rsidRPr="00C25D1A" w:rsidRDefault="00920BE8" w:rsidP="00920BE8">
            <w:pPr>
              <w:pStyle w:val="TableBodyinclColHeads"/>
              <w:rPr>
                <w:rFonts w:eastAsia="Calibri"/>
              </w:rPr>
            </w:pPr>
            <w:r w:rsidRPr="00C25D1A">
              <w:rPr>
                <w:rFonts w:eastAsia="Calibri"/>
              </w:rPr>
              <w:t>8</w:t>
            </w:r>
            <w:r>
              <w:rPr>
                <w:rFonts w:eastAsia="Calibri"/>
              </w:rPr>
              <w:t xml:space="preserve"> </w:t>
            </w:r>
            <w:r w:rsidRPr="00C25D1A">
              <w:rPr>
                <w:rFonts w:eastAsia="Calibri"/>
              </w:rPr>
              <w:t>(8.2)</w:t>
            </w:r>
          </w:p>
        </w:tc>
      </w:tr>
      <w:tr w:rsidR="00920BE8" w:rsidRPr="00C25D1A" w:rsidTr="00920BE8">
        <w:tc>
          <w:tcPr>
            <w:tcW w:w="5743" w:type="dxa"/>
          </w:tcPr>
          <w:p w:rsidR="00920BE8" w:rsidRPr="00C25D1A" w:rsidRDefault="00920BE8" w:rsidP="00920BE8">
            <w:pPr>
              <w:pStyle w:val="TableBodyinclColHeads"/>
              <w:rPr>
                <w:rFonts w:eastAsia="Calibri"/>
              </w:rPr>
            </w:pPr>
            <w:r>
              <w:rPr>
                <w:rFonts w:eastAsia="Calibri"/>
              </w:rPr>
              <w:t xml:space="preserve">   </w:t>
            </w:r>
            <w:r w:rsidRPr="00C25D1A">
              <w:rPr>
                <w:rFonts w:eastAsia="Calibri"/>
              </w:rPr>
              <w:t>Both</w:t>
            </w:r>
          </w:p>
        </w:tc>
        <w:tc>
          <w:tcPr>
            <w:tcW w:w="1912" w:type="dxa"/>
          </w:tcPr>
          <w:p w:rsidR="00920BE8" w:rsidRPr="00C25D1A" w:rsidRDefault="00920BE8" w:rsidP="00920BE8">
            <w:pPr>
              <w:pStyle w:val="TableBodyinclColHeads"/>
              <w:rPr>
                <w:rFonts w:eastAsia="Calibri"/>
              </w:rPr>
            </w:pPr>
            <w:r w:rsidRPr="00C25D1A">
              <w:rPr>
                <w:rFonts w:eastAsia="Calibri"/>
              </w:rPr>
              <w:t>50</w:t>
            </w:r>
            <w:r>
              <w:rPr>
                <w:rFonts w:eastAsia="Calibri"/>
              </w:rPr>
              <w:t xml:space="preserve"> </w:t>
            </w:r>
            <w:r w:rsidRPr="00C25D1A">
              <w:rPr>
                <w:rFonts w:eastAsia="Calibri"/>
              </w:rPr>
              <w:t>(51.5)</w:t>
            </w:r>
          </w:p>
        </w:tc>
      </w:tr>
      <w:tr w:rsidR="00920BE8" w:rsidRPr="00C25D1A" w:rsidTr="00920BE8">
        <w:tc>
          <w:tcPr>
            <w:tcW w:w="5743" w:type="dxa"/>
          </w:tcPr>
          <w:p w:rsidR="00920BE8" w:rsidRPr="00C25D1A" w:rsidRDefault="00920BE8" w:rsidP="00920BE8">
            <w:pPr>
              <w:pStyle w:val="TableBodyinclColHeads"/>
              <w:rPr>
                <w:rFonts w:eastAsia="Calibri"/>
              </w:rPr>
            </w:pPr>
            <w:r>
              <w:rPr>
                <w:rFonts w:eastAsia="Calibri"/>
              </w:rPr>
              <w:t>Contraception used (</w:t>
            </w:r>
            <w:r w:rsidRPr="00534835">
              <w:rPr>
                <w:rFonts w:eastAsia="Calibri"/>
                <w:i/>
              </w:rPr>
              <w:t>n</w:t>
            </w:r>
            <w:r>
              <w:rPr>
                <w:rFonts w:eastAsia="Calibri"/>
              </w:rPr>
              <w:t>=</w:t>
            </w:r>
            <w:r w:rsidRPr="00C25D1A">
              <w:rPr>
                <w:rFonts w:eastAsia="Calibri"/>
              </w:rPr>
              <w:t>97</w:t>
            </w:r>
            <w:r>
              <w:rPr>
                <w:rFonts w:eastAsia="Calibri"/>
              </w:rPr>
              <w:t>)</w:t>
            </w:r>
          </w:p>
        </w:tc>
        <w:tc>
          <w:tcPr>
            <w:tcW w:w="1912" w:type="dxa"/>
          </w:tcPr>
          <w:p w:rsidR="00920BE8" w:rsidRPr="00C25D1A" w:rsidRDefault="00920BE8" w:rsidP="00920BE8">
            <w:pPr>
              <w:pStyle w:val="TableBodyinclColHeads"/>
              <w:rPr>
                <w:rFonts w:eastAsia="Calibri"/>
              </w:rPr>
            </w:pPr>
          </w:p>
        </w:tc>
      </w:tr>
      <w:tr w:rsidR="00920BE8" w:rsidRPr="00C25D1A" w:rsidTr="00920BE8">
        <w:tc>
          <w:tcPr>
            <w:tcW w:w="5743" w:type="dxa"/>
          </w:tcPr>
          <w:p w:rsidR="00920BE8" w:rsidRPr="00C25D1A" w:rsidRDefault="00920BE8" w:rsidP="00920BE8">
            <w:pPr>
              <w:pStyle w:val="TableBodyinclColHeads"/>
              <w:rPr>
                <w:rFonts w:eastAsia="Calibri"/>
              </w:rPr>
            </w:pPr>
            <w:r>
              <w:rPr>
                <w:rFonts w:eastAsia="Calibri"/>
              </w:rPr>
              <w:t xml:space="preserve">   Male c</w:t>
            </w:r>
            <w:r w:rsidRPr="00C25D1A">
              <w:rPr>
                <w:rFonts w:eastAsia="Calibri"/>
              </w:rPr>
              <w:t>ondom</w:t>
            </w:r>
          </w:p>
        </w:tc>
        <w:tc>
          <w:tcPr>
            <w:tcW w:w="1912" w:type="dxa"/>
          </w:tcPr>
          <w:p w:rsidR="00920BE8" w:rsidRPr="00C25D1A" w:rsidRDefault="00920BE8" w:rsidP="00920BE8">
            <w:pPr>
              <w:pStyle w:val="TableBodyinclColHeads"/>
              <w:rPr>
                <w:rFonts w:eastAsia="Calibri"/>
              </w:rPr>
            </w:pPr>
            <w:r w:rsidRPr="00C25D1A">
              <w:rPr>
                <w:rFonts w:eastAsia="Calibri"/>
              </w:rPr>
              <w:t>86</w:t>
            </w:r>
            <w:r>
              <w:rPr>
                <w:rFonts w:eastAsia="Calibri"/>
              </w:rPr>
              <w:t xml:space="preserve"> </w:t>
            </w:r>
            <w:r w:rsidRPr="00C25D1A">
              <w:rPr>
                <w:rFonts w:eastAsia="Calibri"/>
              </w:rPr>
              <w:t>(88.7)</w:t>
            </w:r>
          </w:p>
        </w:tc>
      </w:tr>
      <w:tr w:rsidR="00920BE8" w:rsidRPr="00C25D1A" w:rsidTr="00920BE8">
        <w:tc>
          <w:tcPr>
            <w:tcW w:w="5743" w:type="dxa"/>
          </w:tcPr>
          <w:p w:rsidR="00920BE8" w:rsidRPr="00C25D1A" w:rsidRDefault="00920BE8" w:rsidP="00920BE8">
            <w:pPr>
              <w:pStyle w:val="TableBodyinclColHeads"/>
              <w:rPr>
                <w:rFonts w:eastAsia="Calibri"/>
              </w:rPr>
            </w:pPr>
            <w:r>
              <w:rPr>
                <w:rFonts w:eastAsia="Calibri"/>
              </w:rPr>
              <w:t xml:space="preserve">   Oral contraceptive pill </w:t>
            </w:r>
          </w:p>
        </w:tc>
        <w:tc>
          <w:tcPr>
            <w:tcW w:w="1912" w:type="dxa"/>
          </w:tcPr>
          <w:p w:rsidR="00920BE8" w:rsidRPr="00C25D1A" w:rsidRDefault="00920BE8" w:rsidP="00920BE8">
            <w:pPr>
              <w:pStyle w:val="TableBodyinclColHeads"/>
              <w:rPr>
                <w:rFonts w:eastAsia="Calibri"/>
              </w:rPr>
            </w:pPr>
            <w:r w:rsidRPr="00C25D1A">
              <w:rPr>
                <w:rFonts w:eastAsia="Calibri"/>
              </w:rPr>
              <w:t>5</w:t>
            </w:r>
            <w:r>
              <w:rPr>
                <w:rFonts w:eastAsia="Calibri"/>
              </w:rPr>
              <w:t xml:space="preserve"> </w:t>
            </w:r>
            <w:r w:rsidRPr="00C25D1A">
              <w:rPr>
                <w:rFonts w:eastAsia="Calibri"/>
              </w:rPr>
              <w:t>(5.2)</w:t>
            </w:r>
          </w:p>
        </w:tc>
      </w:tr>
      <w:tr w:rsidR="00920BE8" w:rsidRPr="00C25D1A" w:rsidTr="00920BE8">
        <w:tc>
          <w:tcPr>
            <w:tcW w:w="5743" w:type="dxa"/>
          </w:tcPr>
          <w:p w:rsidR="00920BE8" w:rsidRPr="00C25D1A" w:rsidRDefault="00920BE8" w:rsidP="00920BE8">
            <w:pPr>
              <w:pStyle w:val="TableBodyinclColHeads"/>
              <w:rPr>
                <w:rFonts w:eastAsia="Calibri"/>
              </w:rPr>
            </w:pPr>
            <w:r>
              <w:rPr>
                <w:rFonts w:eastAsia="Calibri"/>
              </w:rPr>
              <w:t xml:space="preserve">   </w:t>
            </w:r>
            <w:r w:rsidRPr="00C25D1A">
              <w:rPr>
                <w:rFonts w:eastAsia="Calibri"/>
              </w:rPr>
              <w:t>Emergency contraceptive pill</w:t>
            </w:r>
          </w:p>
        </w:tc>
        <w:tc>
          <w:tcPr>
            <w:tcW w:w="1912" w:type="dxa"/>
          </w:tcPr>
          <w:p w:rsidR="00920BE8" w:rsidRPr="00C25D1A" w:rsidRDefault="00920BE8" w:rsidP="00920BE8">
            <w:pPr>
              <w:pStyle w:val="TableBodyinclColHeads"/>
              <w:rPr>
                <w:rFonts w:eastAsia="Calibri"/>
              </w:rPr>
            </w:pPr>
            <w:r w:rsidRPr="00C25D1A">
              <w:rPr>
                <w:rFonts w:eastAsia="Calibri"/>
              </w:rPr>
              <w:t>2</w:t>
            </w:r>
            <w:r>
              <w:rPr>
                <w:rFonts w:eastAsia="Calibri"/>
              </w:rPr>
              <w:t xml:space="preserve"> </w:t>
            </w:r>
            <w:r w:rsidRPr="00C25D1A">
              <w:rPr>
                <w:rFonts w:eastAsia="Calibri"/>
              </w:rPr>
              <w:t>(1.2)</w:t>
            </w:r>
          </w:p>
        </w:tc>
      </w:tr>
      <w:tr w:rsidR="00920BE8" w:rsidRPr="00C25D1A" w:rsidTr="00920BE8">
        <w:tc>
          <w:tcPr>
            <w:tcW w:w="5743" w:type="dxa"/>
          </w:tcPr>
          <w:p w:rsidR="00920BE8" w:rsidRPr="00C25D1A" w:rsidRDefault="00920BE8" w:rsidP="00920BE8">
            <w:pPr>
              <w:pStyle w:val="TableBodyinclColHeads"/>
              <w:rPr>
                <w:rFonts w:eastAsia="Calibri"/>
              </w:rPr>
            </w:pPr>
            <w:r>
              <w:rPr>
                <w:rFonts w:eastAsia="Calibri"/>
              </w:rPr>
              <w:t xml:space="preserve">   </w:t>
            </w:r>
            <w:r w:rsidRPr="00C25D1A">
              <w:rPr>
                <w:rFonts w:eastAsia="Calibri"/>
              </w:rPr>
              <w:t>IUCD</w:t>
            </w:r>
          </w:p>
        </w:tc>
        <w:tc>
          <w:tcPr>
            <w:tcW w:w="1912" w:type="dxa"/>
          </w:tcPr>
          <w:p w:rsidR="00920BE8" w:rsidRPr="00C25D1A" w:rsidRDefault="00920BE8" w:rsidP="00920BE8">
            <w:pPr>
              <w:pStyle w:val="TableBodyinclColHeads"/>
              <w:rPr>
                <w:rFonts w:eastAsia="Calibri"/>
              </w:rPr>
            </w:pPr>
            <w:r w:rsidRPr="00C25D1A">
              <w:rPr>
                <w:rFonts w:eastAsia="Calibri"/>
              </w:rPr>
              <w:t>1</w:t>
            </w:r>
            <w:r>
              <w:rPr>
                <w:rFonts w:eastAsia="Calibri"/>
              </w:rPr>
              <w:t xml:space="preserve"> </w:t>
            </w:r>
            <w:r w:rsidRPr="00C25D1A">
              <w:rPr>
                <w:rFonts w:eastAsia="Calibri"/>
              </w:rPr>
              <w:t>(0.6)</w:t>
            </w:r>
          </w:p>
        </w:tc>
      </w:tr>
      <w:tr w:rsidR="00920BE8" w:rsidRPr="00C25D1A" w:rsidTr="00920BE8">
        <w:tc>
          <w:tcPr>
            <w:tcW w:w="5743" w:type="dxa"/>
            <w:tcBorders>
              <w:bottom w:val="single" w:sz="4" w:space="0" w:color="auto"/>
            </w:tcBorders>
          </w:tcPr>
          <w:p w:rsidR="00920BE8" w:rsidRPr="00C25D1A" w:rsidRDefault="00920BE8" w:rsidP="00920BE8">
            <w:pPr>
              <w:pStyle w:val="TableBodyinclColHeads"/>
              <w:rPr>
                <w:rFonts w:eastAsia="Calibri"/>
              </w:rPr>
            </w:pPr>
            <w:r>
              <w:rPr>
                <w:rFonts w:eastAsia="Calibri"/>
              </w:rPr>
              <w:t xml:space="preserve">   </w:t>
            </w:r>
            <w:r w:rsidRPr="00C25D1A">
              <w:rPr>
                <w:rFonts w:eastAsia="Calibri"/>
              </w:rPr>
              <w:t>Withdrawal method</w:t>
            </w:r>
          </w:p>
        </w:tc>
        <w:tc>
          <w:tcPr>
            <w:tcW w:w="1912" w:type="dxa"/>
            <w:tcBorders>
              <w:bottom w:val="single" w:sz="4" w:space="0" w:color="auto"/>
            </w:tcBorders>
          </w:tcPr>
          <w:p w:rsidR="00920BE8" w:rsidRPr="00C25D1A" w:rsidRDefault="00920BE8" w:rsidP="00920BE8">
            <w:pPr>
              <w:pStyle w:val="TableBodyinclColHeads"/>
              <w:rPr>
                <w:rFonts w:eastAsia="Calibri"/>
              </w:rPr>
            </w:pPr>
            <w:r w:rsidRPr="00C25D1A">
              <w:rPr>
                <w:rFonts w:eastAsia="Calibri"/>
              </w:rPr>
              <w:t>3</w:t>
            </w:r>
            <w:r>
              <w:rPr>
                <w:rFonts w:eastAsia="Calibri"/>
              </w:rPr>
              <w:t xml:space="preserve"> </w:t>
            </w:r>
            <w:r w:rsidRPr="00C25D1A">
              <w:rPr>
                <w:rFonts w:eastAsia="Calibri"/>
              </w:rPr>
              <w:t>(1.9)</w:t>
            </w:r>
          </w:p>
        </w:tc>
      </w:tr>
    </w:tbl>
    <w:p w:rsidR="00920BE8" w:rsidRDefault="00920BE8" w:rsidP="00920BE8">
      <w:pPr>
        <w:rPr>
          <w:rFonts w:ascii="Times New Roman" w:eastAsia="Calibri" w:hAnsi="Times New Roman"/>
          <w:sz w:val="24"/>
          <w:szCs w:val="24"/>
        </w:rPr>
      </w:pPr>
      <w:r>
        <w:rPr>
          <w:rFonts w:ascii="Times New Roman" w:eastAsia="Calibri" w:hAnsi="Times New Roman"/>
          <w:sz w:val="24"/>
          <w:szCs w:val="24"/>
        </w:rPr>
        <w:br w:type="page"/>
      </w:r>
    </w:p>
    <w:p w:rsidR="00920BE8" w:rsidRPr="00C25D1A" w:rsidRDefault="00920BE8" w:rsidP="00920BE8">
      <w:pPr>
        <w:pStyle w:val="TableLegendHead"/>
        <w:rPr>
          <w:rFonts w:eastAsia="Calibri"/>
        </w:rPr>
      </w:pPr>
      <w:r w:rsidRPr="00C25D1A">
        <w:rPr>
          <w:rFonts w:eastAsia="Calibri"/>
          <w:b/>
        </w:rPr>
        <w:lastRenderedPageBreak/>
        <w:t>Table 3</w:t>
      </w:r>
      <w:r>
        <w:rPr>
          <w:rFonts w:eastAsia="Calibri"/>
          <w:b/>
        </w:rPr>
        <w:t xml:space="preserve">. </w:t>
      </w:r>
      <w:r w:rsidRPr="00C25D1A">
        <w:rPr>
          <w:rFonts w:eastAsia="Calibri"/>
        </w:rPr>
        <w:t>Relationship between family factors and</w:t>
      </w:r>
      <w:r>
        <w:rPr>
          <w:rFonts w:eastAsia="Calibri"/>
        </w:rPr>
        <w:t xml:space="preserve"> having had</w:t>
      </w:r>
      <w:r w:rsidRPr="00C25D1A">
        <w:rPr>
          <w:rFonts w:eastAsia="Calibri"/>
        </w:rPr>
        <w:t xml:space="preserve"> premarital sex</w:t>
      </w:r>
    </w:p>
    <w:tbl>
      <w:tblPr>
        <w:tblW w:w="9828" w:type="dxa"/>
        <w:tblInd w:w="108" w:type="dxa"/>
        <w:tblLayout w:type="fixed"/>
        <w:tblLook w:val="04A0" w:firstRow="1" w:lastRow="0" w:firstColumn="1" w:lastColumn="0" w:noHBand="0" w:noVBand="1"/>
      </w:tblPr>
      <w:tblGrid>
        <w:gridCol w:w="3708"/>
        <w:gridCol w:w="1530"/>
        <w:gridCol w:w="1710"/>
        <w:gridCol w:w="1350"/>
        <w:gridCol w:w="1530"/>
      </w:tblGrid>
      <w:tr w:rsidR="00920BE8" w:rsidRPr="00C25D1A" w:rsidTr="00920BE8">
        <w:tc>
          <w:tcPr>
            <w:tcW w:w="3708" w:type="dxa"/>
            <w:vMerge w:val="restart"/>
            <w:tcBorders>
              <w:top w:val="single" w:sz="4" w:space="0" w:color="auto"/>
              <w:bottom w:val="single" w:sz="4" w:space="0" w:color="auto"/>
            </w:tcBorders>
            <w:vAlign w:val="bottom"/>
          </w:tcPr>
          <w:p w:rsidR="00920BE8" w:rsidRPr="00C25D1A" w:rsidRDefault="00920BE8" w:rsidP="00920BE8">
            <w:pPr>
              <w:pStyle w:val="TableBodyinclColHeads"/>
              <w:rPr>
                <w:rFonts w:eastAsia="Calibri"/>
              </w:rPr>
            </w:pPr>
            <w:r w:rsidRPr="00C25D1A">
              <w:rPr>
                <w:rFonts w:eastAsia="Calibri"/>
              </w:rPr>
              <w:t>Variable</w:t>
            </w:r>
          </w:p>
        </w:tc>
        <w:tc>
          <w:tcPr>
            <w:tcW w:w="3240" w:type="dxa"/>
            <w:gridSpan w:val="2"/>
            <w:tcBorders>
              <w:top w:val="single" w:sz="4" w:space="0" w:color="auto"/>
              <w:bottom w:val="single" w:sz="4" w:space="0" w:color="auto"/>
            </w:tcBorders>
            <w:vAlign w:val="bottom"/>
          </w:tcPr>
          <w:p w:rsidR="00920BE8" w:rsidRPr="00C25D1A" w:rsidRDefault="00920BE8" w:rsidP="00920BE8">
            <w:pPr>
              <w:pStyle w:val="TableBodyinclColHeads"/>
              <w:jc w:val="center"/>
              <w:rPr>
                <w:rFonts w:eastAsia="Calibri"/>
              </w:rPr>
            </w:pPr>
            <w:r>
              <w:rPr>
                <w:rFonts w:eastAsia="Calibri"/>
              </w:rPr>
              <w:t>Had sexual i</w:t>
            </w:r>
            <w:r w:rsidRPr="00C25D1A">
              <w:rPr>
                <w:rFonts w:eastAsia="Calibri"/>
              </w:rPr>
              <w:t>ntercourse</w:t>
            </w:r>
          </w:p>
        </w:tc>
        <w:tc>
          <w:tcPr>
            <w:tcW w:w="1350" w:type="dxa"/>
            <w:vMerge w:val="restart"/>
            <w:tcBorders>
              <w:top w:val="single" w:sz="4" w:space="0" w:color="auto"/>
              <w:bottom w:val="single" w:sz="4" w:space="0" w:color="auto"/>
            </w:tcBorders>
            <w:vAlign w:val="bottom"/>
          </w:tcPr>
          <w:p w:rsidR="00920BE8" w:rsidRPr="00C25D1A" w:rsidRDefault="00920BE8" w:rsidP="00920BE8">
            <w:pPr>
              <w:pStyle w:val="TableBodyinclColHeads"/>
              <w:rPr>
                <w:rFonts w:eastAsia="Calibri"/>
              </w:rPr>
            </w:pPr>
            <w:r w:rsidRPr="00C25D1A">
              <w:rPr>
                <w:rFonts w:eastAsia="Calibri"/>
              </w:rPr>
              <w:t>Adjusted OR</w:t>
            </w:r>
          </w:p>
        </w:tc>
        <w:tc>
          <w:tcPr>
            <w:tcW w:w="1530" w:type="dxa"/>
            <w:vMerge w:val="restart"/>
            <w:tcBorders>
              <w:top w:val="single" w:sz="4" w:space="0" w:color="auto"/>
              <w:bottom w:val="single" w:sz="4" w:space="0" w:color="auto"/>
            </w:tcBorders>
            <w:vAlign w:val="bottom"/>
          </w:tcPr>
          <w:p w:rsidR="00920BE8" w:rsidRPr="00C25D1A" w:rsidRDefault="00920BE8" w:rsidP="00920BE8">
            <w:pPr>
              <w:pStyle w:val="TableBodyinclColHeads"/>
              <w:rPr>
                <w:rFonts w:eastAsia="Calibri"/>
              </w:rPr>
            </w:pPr>
            <w:r w:rsidRPr="00C25D1A">
              <w:rPr>
                <w:rFonts w:eastAsia="Calibri"/>
              </w:rPr>
              <w:t>95% CI</w:t>
            </w:r>
          </w:p>
        </w:tc>
      </w:tr>
      <w:tr w:rsidR="00920BE8" w:rsidRPr="00C25D1A" w:rsidTr="00920BE8">
        <w:tc>
          <w:tcPr>
            <w:tcW w:w="3708" w:type="dxa"/>
            <w:vMerge/>
            <w:tcBorders>
              <w:top w:val="single" w:sz="4" w:space="0" w:color="auto"/>
              <w:bottom w:val="single" w:sz="4" w:space="0" w:color="auto"/>
            </w:tcBorders>
          </w:tcPr>
          <w:p w:rsidR="00920BE8" w:rsidRPr="00C25D1A" w:rsidRDefault="00920BE8" w:rsidP="00920BE8">
            <w:pPr>
              <w:pStyle w:val="TableBodyinclColHeads"/>
              <w:rPr>
                <w:rFonts w:eastAsia="Calibri"/>
              </w:rPr>
            </w:pPr>
          </w:p>
        </w:tc>
        <w:tc>
          <w:tcPr>
            <w:tcW w:w="1530" w:type="dxa"/>
            <w:tcBorders>
              <w:top w:val="single" w:sz="4" w:space="0" w:color="auto"/>
              <w:bottom w:val="single" w:sz="4" w:space="0" w:color="auto"/>
            </w:tcBorders>
          </w:tcPr>
          <w:p w:rsidR="00920BE8" w:rsidRDefault="00920BE8" w:rsidP="00920BE8">
            <w:pPr>
              <w:pStyle w:val="TableBodyinclColHeads"/>
              <w:rPr>
                <w:rFonts w:eastAsia="Calibri"/>
              </w:rPr>
            </w:pPr>
            <w:r w:rsidRPr="00C25D1A">
              <w:rPr>
                <w:rFonts w:eastAsia="Calibri"/>
              </w:rPr>
              <w:t>Yes</w:t>
            </w:r>
          </w:p>
          <w:p w:rsidR="00920BE8" w:rsidRPr="00C25D1A" w:rsidRDefault="00920BE8" w:rsidP="00920BE8">
            <w:pPr>
              <w:pStyle w:val="TableBodyinclColHeads"/>
              <w:rPr>
                <w:rFonts w:eastAsia="Calibri"/>
              </w:rPr>
            </w:pPr>
            <w:r>
              <w:rPr>
                <w:rFonts w:eastAsia="Calibri"/>
                <w:i/>
              </w:rPr>
              <w:t>n</w:t>
            </w:r>
            <w:r>
              <w:rPr>
                <w:rFonts w:eastAsia="Calibri"/>
              </w:rPr>
              <w:t xml:space="preserve"> (%)</w:t>
            </w:r>
          </w:p>
        </w:tc>
        <w:tc>
          <w:tcPr>
            <w:tcW w:w="1710" w:type="dxa"/>
            <w:tcBorders>
              <w:top w:val="single" w:sz="4" w:space="0" w:color="auto"/>
              <w:bottom w:val="single" w:sz="4" w:space="0" w:color="auto"/>
            </w:tcBorders>
          </w:tcPr>
          <w:p w:rsidR="00920BE8" w:rsidRDefault="00920BE8" w:rsidP="00920BE8">
            <w:pPr>
              <w:pStyle w:val="TableBodyinclColHeads"/>
              <w:rPr>
                <w:rFonts w:eastAsia="Calibri"/>
              </w:rPr>
            </w:pPr>
            <w:r w:rsidRPr="00C25D1A">
              <w:rPr>
                <w:rFonts w:eastAsia="Calibri"/>
              </w:rPr>
              <w:t>No</w:t>
            </w:r>
          </w:p>
          <w:p w:rsidR="00920BE8" w:rsidRPr="00C25D1A" w:rsidRDefault="00920BE8" w:rsidP="00920BE8">
            <w:pPr>
              <w:pStyle w:val="TableBodyinclColHeads"/>
              <w:rPr>
                <w:rFonts w:eastAsia="Calibri"/>
              </w:rPr>
            </w:pPr>
            <w:r>
              <w:rPr>
                <w:rFonts w:eastAsia="Calibri"/>
                <w:i/>
              </w:rPr>
              <w:t>n</w:t>
            </w:r>
            <w:r>
              <w:rPr>
                <w:rFonts w:eastAsia="Calibri"/>
              </w:rPr>
              <w:t xml:space="preserve"> (%)</w:t>
            </w:r>
          </w:p>
        </w:tc>
        <w:tc>
          <w:tcPr>
            <w:tcW w:w="1350" w:type="dxa"/>
            <w:vMerge/>
            <w:tcBorders>
              <w:top w:val="single" w:sz="4" w:space="0" w:color="auto"/>
              <w:bottom w:val="single" w:sz="4" w:space="0" w:color="auto"/>
            </w:tcBorders>
          </w:tcPr>
          <w:p w:rsidR="00920BE8" w:rsidRPr="00C25D1A" w:rsidRDefault="00920BE8" w:rsidP="00920BE8">
            <w:pPr>
              <w:pStyle w:val="TableBodyinclColHeads"/>
              <w:rPr>
                <w:rFonts w:eastAsia="Calibri"/>
              </w:rPr>
            </w:pPr>
          </w:p>
        </w:tc>
        <w:tc>
          <w:tcPr>
            <w:tcW w:w="1530" w:type="dxa"/>
            <w:vMerge/>
            <w:tcBorders>
              <w:top w:val="single" w:sz="4" w:space="0" w:color="auto"/>
              <w:bottom w:val="single" w:sz="4" w:space="0" w:color="auto"/>
            </w:tcBorders>
          </w:tcPr>
          <w:p w:rsidR="00920BE8" w:rsidRPr="00C25D1A" w:rsidRDefault="00920BE8" w:rsidP="00920BE8">
            <w:pPr>
              <w:pStyle w:val="TableBodyinclColHeads"/>
              <w:rPr>
                <w:rFonts w:eastAsia="Calibri"/>
              </w:rPr>
            </w:pPr>
          </w:p>
        </w:tc>
      </w:tr>
      <w:tr w:rsidR="00920BE8" w:rsidRPr="00C25D1A" w:rsidTr="00920BE8">
        <w:tc>
          <w:tcPr>
            <w:tcW w:w="3708" w:type="dxa"/>
            <w:tcBorders>
              <w:top w:val="single" w:sz="4" w:space="0" w:color="auto"/>
            </w:tcBorders>
          </w:tcPr>
          <w:p w:rsidR="00920BE8" w:rsidRPr="00C25D1A" w:rsidRDefault="00920BE8" w:rsidP="00920BE8">
            <w:pPr>
              <w:pStyle w:val="TableBodyinclColHeads"/>
              <w:rPr>
                <w:rFonts w:eastAsia="Calibri"/>
              </w:rPr>
            </w:pPr>
            <w:r w:rsidRPr="00C25D1A">
              <w:rPr>
                <w:rFonts w:eastAsia="Calibri"/>
              </w:rPr>
              <w:t>Parental upbringing</w:t>
            </w:r>
          </w:p>
        </w:tc>
        <w:tc>
          <w:tcPr>
            <w:tcW w:w="1530" w:type="dxa"/>
            <w:tcBorders>
              <w:top w:val="single" w:sz="4" w:space="0" w:color="auto"/>
            </w:tcBorders>
          </w:tcPr>
          <w:p w:rsidR="00920BE8" w:rsidRPr="00C25D1A" w:rsidRDefault="00920BE8" w:rsidP="00920BE8">
            <w:pPr>
              <w:pStyle w:val="TableBodyinclColHeads"/>
              <w:rPr>
                <w:rFonts w:eastAsia="Calibri"/>
              </w:rPr>
            </w:pPr>
          </w:p>
        </w:tc>
        <w:tc>
          <w:tcPr>
            <w:tcW w:w="1710" w:type="dxa"/>
            <w:tcBorders>
              <w:top w:val="single" w:sz="4" w:space="0" w:color="auto"/>
            </w:tcBorders>
          </w:tcPr>
          <w:p w:rsidR="00920BE8" w:rsidRPr="00C25D1A" w:rsidRDefault="00920BE8" w:rsidP="00920BE8">
            <w:pPr>
              <w:pStyle w:val="TableBodyinclColHeads"/>
              <w:rPr>
                <w:rFonts w:eastAsia="Calibri"/>
              </w:rPr>
            </w:pPr>
          </w:p>
        </w:tc>
        <w:tc>
          <w:tcPr>
            <w:tcW w:w="1350" w:type="dxa"/>
            <w:tcBorders>
              <w:top w:val="single" w:sz="4" w:space="0" w:color="auto"/>
            </w:tcBorders>
          </w:tcPr>
          <w:p w:rsidR="00920BE8" w:rsidRPr="00C25D1A" w:rsidRDefault="00920BE8" w:rsidP="00920BE8">
            <w:pPr>
              <w:pStyle w:val="TableBodyinclColHeads"/>
              <w:rPr>
                <w:rFonts w:eastAsia="Calibri"/>
              </w:rPr>
            </w:pPr>
          </w:p>
        </w:tc>
        <w:tc>
          <w:tcPr>
            <w:tcW w:w="1530" w:type="dxa"/>
            <w:tcBorders>
              <w:top w:val="single" w:sz="4" w:space="0" w:color="auto"/>
            </w:tcBorders>
          </w:tcPr>
          <w:p w:rsidR="00920BE8" w:rsidRPr="00C25D1A" w:rsidRDefault="00920BE8" w:rsidP="00920BE8">
            <w:pPr>
              <w:pStyle w:val="TableBodyinclColHeads"/>
              <w:rPr>
                <w:rFonts w:eastAsia="Calibri"/>
              </w:rPr>
            </w:pPr>
          </w:p>
        </w:tc>
      </w:tr>
      <w:tr w:rsidR="00920BE8" w:rsidRPr="00C25D1A" w:rsidTr="00920BE8">
        <w:tc>
          <w:tcPr>
            <w:tcW w:w="3708" w:type="dxa"/>
          </w:tcPr>
          <w:p w:rsidR="00920BE8" w:rsidRPr="00C25D1A" w:rsidRDefault="00920BE8" w:rsidP="00920BE8">
            <w:pPr>
              <w:pStyle w:val="TableBodyinclColHeads"/>
              <w:rPr>
                <w:rFonts w:eastAsia="Calibri"/>
              </w:rPr>
            </w:pPr>
            <w:r>
              <w:rPr>
                <w:rFonts w:eastAsia="Calibri"/>
              </w:rPr>
              <w:t xml:space="preserve">   </w:t>
            </w:r>
            <w:r w:rsidRPr="00C25D1A">
              <w:rPr>
                <w:rFonts w:eastAsia="Calibri"/>
              </w:rPr>
              <w:t>Both parents</w:t>
            </w:r>
          </w:p>
        </w:tc>
        <w:tc>
          <w:tcPr>
            <w:tcW w:w="1530" w:type="dxa"/>
          </w:tcPr>
          <w:p w:rsidR="00920BE8" w:rsidRPr="00C25D1A" w:rsidRDefault="00920BE8" w:rsidP="00920BE8">
            <w:pPr>
              <w:pStyle w:val="TableBodyinclColHeads"/>
              <w:rPr>
                <w:rFonts w:eastAsia="Calibri"/>
              </w:rPr>
            </w:pPr>
            <w:r w:rsidRPr="00C25D1A">
              <w:rPr>
                <w:rFonts w:eastAsia="Calibri"/>
              </w:rPr>
              <w:t>92</w:t>
            </w:r>
            <w:r>
              <w:rPr>
                <w:rFonts w:eastAsia="Calibri"/>
              </w:rPr>
              <w:t xml:space="preserve"> (</w:t>
            </w:r>
            <w:r w:rsidRPr="00C25D1A">
              <w:rPr>
                <w:rFonts w:eastAsia="Calibri"/>
              </w:rPr>
              <w:t>73.0)</w:t>
            </w:r>
          </w:p>
        </w:tc>
        <w:tc>
          <w:tcPr>
            <w:tcW w:w="1710" w:type="dxa"/>
          </w:tcPr>
          <w:p w:rsidR="00920BE8" w:rsidRPr="00C25D1A" w:rsidRDefault="00920BE8" w:rsidP="00920BE8">
            <w:pPr>
              <w:pStyle w:val="TableBodyinclColHeads"/>
              <w:rPr>
                <w:rFonts w:eastAsia="Calibri"/>
              </w:rPr>
            </w:pPr>
            <w:r w:rsidRPr="00C25D1A">
              <w:rPr>
                <w:rFonts w:eastAsia="Calibri"/>
              </w:rPr>
              <w:t>34</w:t>
            </w:r>
            <w:r>
              <w:rPr>
                <w:rFonts w:eastAsia="Calibri"/>
              </w:rPr>
              <w:t xml:space="preserve"> (</w:t>
            </w:r>
            <w:r w:rsidRPr="00C25D1A">
              <w:rPr>
                <w:rFonts w:eastAsia="Calibri"/>
              </w:rPr>
              <w:t>27.0)</w:t>
            </w:r>
          </w:p>
        </w:tc>
        <w:tc>
          <w:tcPr>
            <w:tcW w:w="1350" w:type="dxa"/>
          </w:tcPr>
          <w:p w:rsidR="00920BE8" w:rsidRPr="00C25D1A" w:rsidRDefault="00920BE8" w:rsidP="00920BE8">
            <w:pPr>
              <w:pStyle w:val="TableBodyinclColHeads"/>
              <w:rPr>
                <w:rFonts w:eastAsia="Calibri"/>
              </w:rPr>
            </w:pPr>
            <w:r w:rsidRPr="00C25D1A">
              <w:rPr>
                <w:rFonts w:eastAsia="Calibri"/>
              </w:rPr>
              <w:t>1.00</w:t>
            </w:r>
          </w:p>
        </w:tc>
        <w:tc>
          <w:tcPr>
            <w:tcW w:w="1530" w:type="dxa"/>
          </w:tcPr>
          <w:p w:rsidR="00920BE8" w:rsidRPr="00C25D1A" w:rsidRDefault="00920BE8" w:rsidP="00920BE8">
            <w:pPr>
              <w:pStyle w:val="TableBodyinclColHeads"/>
              <w:rPr>
                <w:rFonts w:eastAsia="Calibri"/>
              </w:rPr>
            </w:pPr>
          </w:p>
        </w:tc>
      </w:tr>
      <w:tr w:rsidR="00920BE8" w:rsidRPr="00C25D1A" w:rsidTr="00920BE8">
        <w:tc>
          <w:tcPr>
            <w:tcW w:w="3708" w:type="dxa"/>
          </w:tcPr>
          <w:p w:rsidR="00920BE8" w:rsidRPr="00C25D1A" w:rsidRDefault="00920BE8" w:rsidP="00920BE8">
            <w:pPr>
              <w:pStyle w:val="TableBodyinclColHeads"/>
              <w:rPr>
                <w:rFonts w:eastAsia="Calibri"/>
              </w:rPr>
            </w:pPr>
            <w:r>
              <w:rPr>
                <w:rFonts w:eastAsia="Calibri"/>
              </w:rPr>
              <w:t xml:space="preserve">   </w:t>
            </w:r>
            <w:r w:rsidRPr="00C25D1A">
              <w:rPr>
                <w:rFonts w:eastAsia="Calibri"/>
              </w:rPr>
              <w:t>Single parent</w:t>
            </w:r>
          </w:p>
        </w:tc>
        <w:tc>
          <w:tcPr>
            <w:tcW w:w="1530" w:type="dxa"/>
          </w:tcPr>
          <w:p w:rsidR="00920BE8" w:rsidRPr="00C25D1A" w:rsidRDefault="00920BE8" w:rsidP="00920BE8">
            <w:pPr>
              <w:pStyle w:val="TableBodyinclColHeads"/>
              <w:rPr>
                <w:rFonts w:eastAsia="Calibri"/>
              </w:rPr>
            </w:pPr>
            <w:r w:rsidRPr="00C25D1A">
              <w:rPr>
                <w:rFonts w:eastAsia="Calibri"/>
              </w:rPr>
              <w:t>27</w:t>
            </w:r>
            <w:r>
              <w:rPr>
                <w:rFonts w:eastAsia="Calibri"/>
              </w:rPr>
              <w:t xml:space="preserve"> (</w:t>
            </w:r>
            <w:r w:rsidRPr="00C25D1A">
              <w:rPr>
                <w:rFonts w:eastAsia="Calibri"/>
              </w:rPr>
              <w:t>77.1)</w:t>
            </w:r>
          </w:p>
        </w:tc>
        <w:tc>
          <w:tcPr>
            <w:tcW w:w="1710" w:type="dxa"/>
          </w:tcPr>
          <w:p w:rsidR="00920BE8" w:rsidRPr="00C25D1A" w:rsidRDefault="00920BE8" w:rsidP="00920BE8">
            <w:pPr>
              <w:pStyle w:val="TableBodyinclColHeads"/>
              <w:rPr>
                <w:rFonts w:eastAsia="Calibri"/>
              </w:rPr>
            </w:pPr>
            <w:r w:rsidRPr="00C25D1A">
              <w:rPr>
                <w:rFonts w:eastAsia="Calibri"/>
              </w:rPr>
              <w:t>8</w:t>
            </w:r>
            <w:r>
              <w:rPr>
                <w:rFonts w:eastAsia="Calibri"/>
              </w:rPr>
              <w:t xml:space="preserve"> (</w:t>
            </w:r>
            <w:r w:rsidRPr="00C25D1A">
              <w:rPr>
                <w:rFonts w:eastAsia="Calibri"/>
              </w:rPr>
              <w:t>22.9)</w:t>
            </w:r>
          </w:p>
        </w:tc>
        <w:tc>
          <w:tcPr>
            <w:tcW w:w="1350" w:type="dxa"/>
          </w:tcPr>
          <w:p w:rsidR="00920BE8" w:rsidRPr="00C25D1A" w:rsidRDefault="00920BE8" w:rsidP="00920BE8">
            <w:pPr>
              <w:pStyle w:val="TableBodyinclColHeads"/>
              <w:rPr>
                <w:rFonts w:eastAsia="Calibri"/>
              </w:rPr>
            </w:pPr>
            <w:r w:rsidRPr="00C25D1A">
              <w:rPr>
                <w:rFonts w:eastAsia="Calibri"/>
              </w:rPr>
              <w:t>0.83</w:t>
            </w:r>
          </w:p>
        </w:tc>
        <w:tc>
          <w:tcPr>
            <w:tcW w:w="1530" w:type="dxa"/>
          </w:tcPr>
          <w:p w:rsidR="00920BE8" w:rsidRPr="00C25D1A" w:rsidRDefault="00920BE8" w:rsidP="00920BE8">
            <w:pPr>
              <w:pStyle w:val="TableBodyinclColHeads"/>
              <w:rPr>
                <w:rFonts w:eastAsia="Calibri"/>
              </w:rPr>
            </w:pPr>
            <w:r w:rsidRPr="00C25D1A">
              <w:rPr>
                <w:rFonts w:eastAsia="Calibri"/>
              </w:rPr>
              <w:t>0.34</w:t>
            </w:r>
            <w:r>
              <w:rPr>
                <w:rFonts w:eastAsia="Calibri"/>
              </w:rPr>
              <w:t>–</w:t>
            </w:r>
            <w:r w:rsidRPr="00C25D1A">
              <w:rPr>
                <w:rFonts w:eastAsia="Calibri"/>
              </w:rPr>
              <w:t>1.92</w:t>
            </w:r>
          </w:p>
        </w:tc>
      </w:tr>
      <w:tr w:rsidR="00920BE8" w:rsidRPr="00C25D1A" w:rsidTr="00920BE8">
        <w:tc>
          <w:tcPr>
            <w:tcW w:w="3708" w:type="dxa"/>
          </w:tcPr>
          <w:p w:rsidR="00920BE8" w:rsidRPr="00C25D1A" w:rsidRDefault="00920BE8" w:rsidP="00920BE8">
            <w:pPr>
              <w:pStyle w:val="TableBodyinclColHeads"/>
              <w:rPr>
                <w:rFonts w:eastAsia="Calibri"/>
              </w:rPr>
            </w:pPr>
            <w:r w:rsidRPr="00C25D1A">
              <w:rPr>
                <w:rFonts w:eastAsia="Calibri"/>
              </w:rPr>
              <w:t>Family type</w:t>
            </w:r>
          </w:p>
        </w:tc>
        <w:tc>
          <w:tcPr>
            <w:tcW w:w="1530" w:type="dxa"/>
          </w:tcPr>
          <w:p w:rsidR="00920BE8" w:rsidRPr="00C25D1A" w:rsidRDefault="00920BE8" w:rsidP="00920BE8">
            <w:pPr>
              <w:pStyle w:val="TableBodyinclColHeads"/>
              <w:rPr>
                <w:rFonts w:eastAsia="Calibri"/>
              </w:rPr>
            </w:pPr>
          </w:p>
        </w:tc>
        <w:tc>
          <w:tcPr>
            <w:tcW w:w="1710" w:type="dxa"/>
          </w:tcPr>
          <w:p w:rsidR="00920BE8" w:rsidRPr="00C25D1A" w:rsidRDefault="00920BE8" w:rsidP="00920BE8">
            <w:pPr>
              <w:pStyle w:val="TableBodyinclColHeads"/>
              <w:rPr>
                <w:rFonts w:eastAsia="Calibri"/>
              </w:rPr>
            </w:pPr>
          </w:p>
        </w:tc>
        <w:tc>
          <w:tcPr>
            <w:tcW w:w="1350" w:type="dxa"/>
          </w:tcPr>
          <w:p w:rsidR="00920BE8" w:rsidRPr="00C25D1A" w:rsidRDefault="00920BE8" w:rsidP="00920BE8">
            <w:pPr>
              <w:pStyle w:val="TableBodyinclColHeads"/>
              <w:rPr>
                <w:rFonts w:eastAsia="Calibri"/>
              </w:rPr>
            </w:pPr>
          </w:p>
        </w:tc>
        <w:tc>
          <w:tcPr>
            <w:tcW w:w="1530" w:type="dxa"/>
          </w:tcPr>
          <w:p w:rsidR="00920BE8" w:rsidRPr="00C25D1A" w:rsidRDefault="00920BE8" w:rsidP="00920BE8">
            <w:pPr>
              <w:pStyle w:val="TableBodyinclColHeads"/>
              <w:rPr>
                <w:rFonts w:eastAsia="Calibri"/>
              </w:rPr>
            </w:pPr>
          </w:p>
        </w:tc>
      </w:tr>
      <w:tr w:rsidR="00920BE8" w:rsidRPr="00C25D1A" w:rsidTr="00920BE8">
        <w:tc>
          <w:tcPr>
            <w:tcW w:w="3708" w:type="dxa"/>
          </w:tcPr>
          <w:p w:rsidR="00920BE8" w:rsidRPr="00C25D1A" w:rsidRDefault="00920BE8" w:rsidP="00920BE8">
            <w:pPr>
              <w:pStyle w:val="TableBodyinclColHeads"/>
              <w:rPr>
                <w:rFonts w:eastAsia="Calibri"/>
              </w:rPr>
            </w:pPr>
            <w:r>
              <w:rPr>
                <w:rFonts w:eastAsia="Calibri"/>
              </w:rPr>
              <w:t xml:space="preserve">   </w:t>
            </w:r>
            <w:r w:rsidRPr="00C25D1A">
              <w:rPr>
                <w:rFonts w:eastAsia="Calibri"/>
              </w:rPr>
              <w:t>Monogamous</w:t>
            </w:r>
          </w:p>
        </w:tc>
        <w:tc>
          <w:tcPr>
            <w:tcW w:w="1530" w:type="dxa"/>
          </w:tcPr>
          <w:p w:rsidR="00920BE8" w:rsidRPr="00C25D1A" w:rsidRDefault="00920BE8" w:rsidP="00920BE8">
            <w:pPr>
              <w:pStyle w:val="TableBodyinclColHeads"/>
              <w:rPr>
                <w:rFonts w:eastAsia="Calibri"/>
              </w:rPr>
            </w:pPr>
            <w:r w:rsidRPr="00C25D1A">
              <w:rPr>
                <w:rFonts w:eastAsia="Calibri"/>
              </w:rPr>
              <w:t>73</w:t>
            </w:r>
            <w:r>
              <w:rPr>
                <w:rFonts w:eastAsia="Calibri"/>
              </w:rPr>
              <w:t xml:space="preserve"> (</w:t>
            </w:r>
            <w:r w:rsidRPr="00C25D1A">
              <w:rPr>
                <w:rFonts w:eastAsia="Calibri"/>
              </w:rPr>
              <w:t>72.3)</w:t>
            </w:r>
          </w:p>
        </w:tc>
        <w:tc>
          <w:tcPr>
            <w:tcW w:w="1710" w:type="dxa"/>
          </w:tcPr>
          <w:p w:rsidR="00920BE8" w:rsidRPr="00C25D1A" w:rsidRDefault="00920BE8" w:rsidP="00920BE8">
            <w:pPr>
              <w:pStyle w:val="TableBodyinclColHeads"/>
              <w:rPr>
                <w:rFonts w:eastAsia="Calibri"/>
              </w:rPr>
            </w:pPr>
            <w:r w:rsidRPr="00C25D1A">
              <w:rPr>
                <w:rFonts w:eastAsia="Calibri"/>
              </w:rPr>
              <w:t>28</w:t>
            </w:r>
            <w:r>
              <w:rPr>
                <w:rFonts w:eastAsia="Calibri"/>
              </w:rPr>
              <w:t xml:space="preserve"> (</w:t>
            </w:r>
            <w:r w:rsidRPr="00C25D1A">
              <w:rPr>
                <w:rFonts w:eastAsia="Calibri"/>
              </w:rPr>
              <w:t>27.7)</w:t>
            </w:r>
          </w:p>
        </w:tc>
        <w:tc>
          <w:tcPr>
            <w:tcW w:w="1350" w:type="dxa"/>
          </w:tcPr>
          <w:p w:rsidR="00920BE8" w:rsidRPr="00C25D1A" w:rsidRDefault="00920BE8" w:rsidP="00920BE8">
            <w:pPr>
              <w:pStyle w:val="TableBodyinclColHeads"/>
              <w:rPr>
                <w:rFonts w:eastAsia="Calibri"/>
              </w:rPr>
            </w:pPr>
            <w:r w:rsidRPr="00C25D1A">
              <w:rPr>
                <w:rFonts w:eastAsia="Calibri"/>
              </w:rPr>
              <w:t>1.00</w:t>
            </w:r>
          </w:p>
        </w:tc>
        <w:tc>
          <w:tcPr>
            <w:tcW w:w="1530" w:type="dxa"/>
          </w:tcPr>
          <w:p w:rsidR="00920BE8" w:rsidRPr="00C25D1A" w:rsidRDefault="00920BE8" w:rsidP="00920BE8">
            <w:pPr>
              <w:pStyle w:val="TableBodyinclColHeads"/>
              <w:rPr>
                <w:rFonts w:eastAsia="Calibri"/>
              </w:rPr>
            </w:pPr>
          </w:p>
        </w:tc>
      </w:tr>
      <w:tr w:rsidR="00920BE8" w:rsidRPr="00C25D1A" w:rsidTr="00920BE8">
        <w:tc>
          <w:tcPr>
            <w:tcW w:w="3708" w:type="dxa"/>
          </w:tcPr>
          <w:p w:rsidR="00920BE8" w:rsidRPr="00C25D1A" w:rsidRDefault="00920BE8" w:rsidP="00920BE8">
            <w:pPr>
              <w:pStyle w:val="TableBodyinclColHeads"/>
              <w:rPr>
                <w:rFonts w:eastAsia="Calibri"/>
              </w:rPr>
            </w:pPr>
            <w:r>
              <w:rPr>
                <w:rFonts w:eastAsia="Calibri"/>
              </w:rPr>
              <w:t xml:space="preserve">   </w:t>
            </w:r>
            <w:r w:rsidRPr="00C25D1A">
              <w:rPr>
                <w:rFonts w:eastAsia="Calibri"/>
              </w:rPr>
              <w:t>Polygamous</w:t>
            </w:r>
          </w:p>
        </w:tc>
        <w:tc>
          <w:tcPr>
            <w:tcW w:w="1530" w:type="dxa"/>
          </w:tcPr>
          <w:p w:rsidR="00920BE8" w:rsidRPr="00C25D1A" w:rsidRDefault="00920BE8" w:rsidP="00920BE8">
            <w:pPr>
              <w:pStyle w:val="TableBodyinclColHeads"/>
              <w:rPr>
                <w:rFonts w:eastAsia="Calibri"/>
              </w:rPr>
            </w:pPr>
            <w:r w:rsidRPr="00C25D1A">
              <w:rPr>
                <w:rFonts w:eastAsia="Calibri"/>
              </w:rPr>
              <w:t>46</w:t>
            </w:r>
            <w:r>
              <w:rPr>
                <w:rFonts w:eastAsia="Calibri"/>
              </w:rPr>
              <w:t xml:space="preserve"> (</w:t>
            </w:r>
            <w:r w:rsidRPr="00C25D1A">
              <w:rPr>
                <w:rFonts w:eastAsia="Calibri"/>
              </w:rPr>
              <w:t>76.4)</w:t>
            </w:r>
          </w:p>
        </w:tc>
        <w:tc>
          <w:tcPr>
            <w:tcW w:w="1710" w:type="dxa"/>
          </w:tcPr>
          <w:p w:rsidR="00920BE8" w:rsidRPr="00C25D1A" w:rsidRDefault="00920BE8" w:rsidP="00920BE8">
            <w:pPr>
              <w:pStyle w:val="TableBodyinclColHeads"/>
              <w:rPr>
                <w:rFonts w:eastAsia="Calibri"/>
              </w:rPr>
            </w:pPr>
            <w:r w:rsidRPr="00C25D1A">
              <w:rPr>
                <w:rFonts w:eastAsia="Calibri"/>
              </w:rPr>
              <w:t>14</w:t>
            </w:r>
            <w:r>
              <w:rPr>
                <w:rFonts w:eastAsia="Calibri"/>
              </w:rPr>
              <w:t xml:space="preserve"> (</w:t>
            </w:r>
            <w:r w:rsidRPr="00C25D1A">
              <w:rPr>
                <w:rFonts w:eastAsia="Calibri"/>
              </w:rPr>
              <w:t>23.3)</w:t>
            </w:r>
          </w:p>
        </w:tc>
        <w:tc>
          <w:tcPr>
            <w:tcW w:w="1350" w:type="dxa"/>
          </w:tcPr>
          <w:p w:rsidR="00920BE8" w:rsidRPr="00C25D1A" w:rsidRDefault="00920BE8" w:rsidP="00920BE8">
            <w:pPr>
              <w:pStyle w:val="TableBodyinclColHeads"/>
              <w:rPr>
                <w:rFonts w:eastAsia="Calibri"/>
              </w:rPr>
            </w:pPr>
            <w:r w:rsidRPr="00C25D1A">
              <w:rPr>
                <w:rFonts w:eastAsia="Calibri"/>
              </w:rPr>
              <w:t>0.80</w:t>
            </w:r>
          </w:p>
        </w:tc>
        <w:tc>
          <w:tcPr>
            <w:tcW w:w="1530" w:type="dxa"/>
          </w:tcPr>
          <w:p w:rsidR="00920BE8" w:rsidRPr="00C25D1A" w:rsidRDefault="00920BE8" w:rsidP="00920BE8">
            <w:pPr>
              <w:pStyle w:val="TableBodyinclColHeads"/>
              <w:rPr>
                <w:rFonts w:eastAsia="Calibri"/>
              </w:rPr>
            </w:pPr>
            <w:r w:rsidRPr="00C25D1A">
              <w:rPr>
                <w:rFonts w:eastAsia="Calibri"/>
              </w:rPr>
              <w:t>0.38</w:t>
            </w:r>
            <w:r>
              <w:rPr>
                <w:rFonts w:eastAsia="Calibri"/>
              </w:rPr>
              <w:t>–</w:t>
            </w:r>
            <w:r w:rsidRPr="00C25D1A">
              <w:rPr>
                <w:rFonts w:eastAsia="Calibri"/>
              </w:rPr>
              <w:t>1.65</w:t>
            </w:r>
          </w:p>
        </w:tc>
      </w:tr>
      <w:tr w:rsidR="00920BE8" w:rsidRPr="00C25D1A" w:rsidTr="00920BE8">
        <w:tc>
          <w:tcPr>
            <w:tcW w:w="3708" w:type="dxa"/>
          </w:tcPr>
          <w:p w:rsidR="00920BE8" w:rsidRPr="00C25D1A" w:rsidRDefault="00920BE8" w:rsidP="00920BE8">
            <w:pPr>
              <w:pStyle w:val="TableBodyinclColHeads"/>
              <w:rPr>
                <w:rFonts w:eastAsia="Calibri"/>
              </w:rPr>
            </w:pPr>
            <w:r w:rsidRPr="00C25D1A">
              <w:rPr>
                <w:rFonts w:eastAsia="Calibri"/>
              </w:rPr>
              <w:t>Parental discipline</w:t>
            </w:r>
          </w:p>
        </w:tc>
        <w:tc>
          <w:tcPr>
            <w:tcW w:w="1530" w:type="dxa"/>
          </w:tcPr>
          <w:p w:rsidR="00920BE8" w:rsidRPr="00C25D1A" w:rsidRDefault="00920BE8" w:rsidP="00920BE8">
            <w:pPr>
              <w:pStyle w:val="TableBodyinclColHeads"/>
              <w:rPr>
                <w:rFonts w:eastAsia="Calibri"/>
              </w:rPr>
            </w:pPr>
          </w:p>
        </w:tc>
        <w:tc>
          <w:tcPr>
            <w:tcW w:w="1710" w:type="dxa"/>
          </w:tcPr>
          <w:p w:rsidR="00920BE8" w:rsidRPr="00C25D1A" w:rsidRDefault="00920BE8" w:rsidP="00920BE8">
            <w:pPr>
              <w:pStyle w:val="TableBodyinclColHeads"/>
              <w:rPr>
                <w:rFonts w:eastAsia="Calibri"/>
              </w:rPr>
            </w:pPr>
          </w:p>
        </w:tc>
        <w:tc>
          <w:tcPr>
            <w:tcW w:w="1350" w:type="dxa"/>
          </w:tcPr>
          <w:p w:rsidR="00920BE8" w:rsidRPr="00C25D1A" w:rsidRDefault="00920BE8" w:rsidP="00920BE8">
            <w:pPr>
              <w:pStyle w:val="TableBodyinclColHeads"/>
              <w:rPr>
                <w:rFonts w:eastAsia="Calibri"/>
              </w:rPr>
            </w:pPr>
          </w:p>
        </w:tc>
        <w:tc>
          <w:tcPr>
            <w:tcW w:w="1530" w:type="dxa"/>
          </w:tcPr>
          <w:p w:rsidR="00920BE8" w:rsidRPr="00C25D1A" w:rsidRDefault="00920BE8" w:rsidP="00920BE8">
            <w:pPr>
              <w:pStyle w:val="TableBodyinclColHeads"/>
              <w:rPr>
                <w:rFonts w:eastAsia="Calibri"/>
              </w:rPr>
            </w:pPr>
          </w:p>
        </w:tc>
      </w:tr>
      <w:tr w:rsidR="00920BE8" w:rsidRPr="00C25D1A" w:rsidTr="00920BE8">
        <w:tc>
          <w:tcPr>
            <w:tcW w:w="3708" w:type="dxa"/>
          </w:tcPr>
          <w:p w:rsidR="00920BE8" w:rsidRPr="00C25D1A" w:rsidRDefault="00920BE8" w:rsidP="00920BE8">
            <w:pPr>
              <w:pStyle w:val="TableBodyinclColHeads"/>
              <w:rPr>
                <w:rFonts w:eastAsia="Calibri"/>
              </w:rPr>
            </w:pPr>
            <w:r>
              <w:rPr>
                <w:rFonts w:eastAsia="Calibri"/>
              </w:rPr>
              <w:t xml:space="preserve">   </w:t>
            </w:r>
            <w:r w:rsidRPr="00C25D1A">
              <w:rPr>
                <w:rFonts w:eastAsia="Calibri"/>
              </w:rPr>
              <w:t>Strict</w:t>
            </w:r>
          </w:p>
        </w:tc>
        <w:tc>
          <w:tcPr>
            <w:tcW w:w="1530" w:type="dxa"/>
          </w:tcPr>
          <w:p w:rsidR="00920BE8" w:rsidRPr="00C25D1A" w:rsidRDefault="00920BE8" w:rsidP="00920BE8">
            <w:pPr>
              <w:pStyle w:val="TableBodyinclColHeads"/>
              <w:rPr>
                <w:rFonts w:eastAsia="Calibri"/>
              </w:rPr>
            </w:pPr>
            <w:r w:rsidRPr="00C25D1A">
              <w:rPr>
                <w:rFonts w:eastAsia="Calibri"/>
              </w:rPr>
              <w:t>41</w:t>
            </w:r>
            <w:r>
              <w:rPr>
                <w:rFonts w:eastAsia="Calibri"/>
              </w:rPr>
              <w:t xml:space="preserve"> (</w:t>
            </w:r>
            <w:r w:rsidRPr="00C25D1A">
              <w:rPr>
                <w:rFonts w:eastAsia="Calibri"/>
              </w:rPr>
              <w:t>77.4)</w:t>
            </w:r>
          </w:p>
        </w:tc>
        <w:tc>
          <w:tcPr>
            <w:tcW w:w="1710" w:type="dxa"/>
          </w:tcPr>
          <w:p w:rsidR="00920BE8" w:rsidRPr="00C25D1A" w:rsidRDefault="00920BE8" w:rsidP="00920BE8">
            <w:pPr>
              <w:pStyle w:val="TableBodyinclColHeads"/>
              <w:rPr>
                <w:rFonts w:eastAsia="Calibri"/>
              </w:rPr>
            </w:pPr>
            <w:r w:rsidRPr="00C25D1A">
              <w:rPr>
                <w:rFonts w:eastAsia="Calibri"/>
              </w:rPr>
              <w:t>12</w:t>
            </w:r>
            <w:r>
              <w:rPr>
                <w:rFonts w:eastAsia="Calibri"/>
              </w:rPr>
              <w:t xml:space="preserve"> (</w:t>
            </w:r>
            <w:r w:rsidRPr="00C25D1A">
              <w:rPr>
                <w:rFonts w:eastAsia="Calibri"/>
              </w:rPr>
              <w:t>22.6)</w:t>
            </w:r>
          </w:p>
        </w:tc>
        <w:tc>
          <w:tcPr>
            <w:tcW w:w="1350" w:type="dxa"/>
          </w:tcPr>
          <w:p w:rsidR="00920BE8" w:rsidRPr="00C25D1A" w:rsidRDefault="00920BE8" w:rsidP="00920BE8">
            <w:pPr>
              <w:pStyle w:val="TableBodyinclColHeads"/>
              <w:rPr>
                <w:rFonts w:eastAsia="Calibri"/>
              </w:rPr>
            </w:pPr>
            <w:r w:rsidRPr="00C25D1A">
              <w:rPr>
                <w:rFonts w:eastAsia="Calibri"/>
              </w:rPr>
              <w:t>0.85</w:t>
            </w:r>
          </w:p>
        </w:tc>
        <w:tc>
          <w:tcPr>
            <w:tcW w:w="1530" w:type="dxa"/>
          </w:tcPr>
          <w:p w:rsidR="00920BE8" w:rsidRPr="00C25D1A" w:rsidRDefault="00920BE8" w:rsidP="00920BE8">
            <w:pPr>
              <w:pStyle w:val="TableBodyinclColHeads"/>
              <w:rPr>
                <w:rFonts w:eastAsia="Calibri"/>
              </w:rPr>
            </w:pPr>
            <w:r w:rsidRPr="00C25D1A">
              <w:rPr>
                <w:rFonts w:eastAsia="Calibri"/>
              </w:rPr>
              <w:t>0.38</w:t>
            </w:r>
            <w:r>
              <w:rPr>
                <w:rFonts w:eastAsia="Calibri"/>
              </w:rPr>
              <w:t>–</w:t>
            </w:r>
            <w:r w:rsidRPr="00C25D1A">
              <w:rPr>
                <w:rFonts w:eastAsia="Calibri"/>
              </w:rPr>
              <w:t>1.85</w:t>
            </w:r>
          </w:p>
        </w:tc>
      </w:tr>
      <w:tr w:rsidR="00920BE8" w:rsidRPr="00C25D1A" w:rsidTr="00920BE8">
        <w:tc>
          <w:tcPr>
            <w:tcW w:w="3708" w:type="dxa"/>
          </w:tcPr>
          <w:p w:rsidR="00920BE8" w:rsidRPr="00C25D1A" w:rsidRDefault="00920BE8" w:rsidP="00920BE8">
            <w:pPr>
              <w:pStyle w:val="TableBodyinclColHeads"/>
              <w:rPr>
                <w:rFonts w:eastAsia="Calibri"/>
              </w:rPr>
            </w:pPr>
            <w:r>
              <w:rPr>
                <w:rFonts w:eastAsia="Calibri"/>
              </w:rPr>
              <w:t xml:space="preserve">   </w:t>
            </w:r>
            <w:r w:rsidRPr="00C25D1A">
              <w:rPr>
                <w:rFonts w:eastAsia="Calibri"/>
              </w:rPr>
              <w:t>Average</w:t>
            </w:r>
          </w:p>
        </w:tc>
        <w:tc>
          <w:tcPr>
            <w:tcW w:w="1530" w:type="dxa"/>
          </w:tcPr>
          <w:p w:rsidR="00920BE8" w:rsidRPr="00C25D1A" w:rsidRDefault="00920BE8" w:rsidP="00920BE8">
            <w:pPr>
              <w:pStyle w:val="TableBodyinclColHeads"/>
              <w:rPr>
                <w:rFonts w:eastAsia="Calibri"/>
              </w:rPr>
            </w:pPr>
            <w:r w:rsidRPr="00C25D1A">
              <w:rPr>
                <w:rFonts w:eastAsia="Calibri"/>
              </w:rPr>
              <w:t>69</w:t>
            </w:r>
            <w:r>
              <w:rPr>
                <w:rFonts w:eastAsia="Calibri"/>
              </w:rPr>
              <w:t xml:space="preserve"> (</w:t>
            </w:r>
            <w:r w:rsidRPr="00C25D1A">
              <w:rPr>
                <w:rFonts w:eastAsia="Calibri"/>
              </w:rPr>
              <w:t>74.2)</w:t>
            </w:r>
          </w:p>
        </w:tc>
        <w:tc>
          <w:tcPr>
            <w:tcW w:w="1710" w:type="dxa"/>
          </w:tcPr>
          <w:p w:rsidR="00920BE8" w:rsidRPr="00C25D1A" w:rsidRDefault="00920BE8" w:rsidP="00920BE8">
            <w:pPr>
              <w:pStyle w:val="TableBodyinclColHeads"/>
              <w:rPr>
                <w:rFonts w:eastAsia="Calibri"/>
              </w:rPr>
            </w:pPr>
            <w:r w:rsidRPr="00C25D1A">
              <w:rPr>
                <w:rFonts w:eastAsia="Calibri"/>
              </w:rPr>
              <w:t>24</w:t>
            </w:r>
            <w:r>
              <w:rPr>
                <w:rFonts w:eastAsia="Calibri"/>
              </w:rPr>
              <w:t xml:space="preserve"> (</w:t>
            </w:r>
            <w:r w:rsidRPr="00C25D1A">
              <w:rPr>
                <w:rFonts w:eastAsia="Calibri"/>
              </w:rPr>
              <w:t>25.8)</w:t>
            </w:r>
          </w:p>
        </w:tc>
        <w:tc>
          <w:tcPr>
            <w:tcW w:w="1350" w:type="dxa"/>
          </w:tcPr>
          <w:p w:rsidR="00920BE8" w:rsidRPr="00C25D1A" w:rsidRDefault="00920BE8" w:rsidP="00920BE8">
            <w:pPr>
              <w:pStyle w:val="TableBodyinclColHeads"/>
              <w:rPr>
                <w:rFonts w:eastAsia="Calibri"/>
              </w:rPr>
            </w:pPr>
            <w:r w:rsidRPr="00C25D1A">
              <w:rPr>
                <w:rFonts w:eastAsia="Calibri"/>
              </w:rPr>
              <w:t>1.00</w:t>
            </w:r>
          </w:p>
        </w:tc>
        <w:tc>
          <w:tcPr>
            <w:tcW w:w="1530" w:type="dxa"/>
          </w:tcPr>
          <w:p w:rsidR="00920BE8" w:rsidRPr="00C25D1A" w:rsidRDefault="00920BE8" w:rsidP="00920BE8">
            <w:pPr>
              <w:pStyle w:val="TableBodyinclColHeads"/>
              <w:rPr>
                <w:rFonts w:eastAsia="Calibri"/>
              </w:rPr>
            </w:pPr>
          </w:p>
        </w:tc>
      </w:tr>
      <w:tr w:rsidR="00920BE8" w:rsidRPr="00C25D1A" w:rsidTr="00920BE8">
        <w:tc>
          <w:tcPr>
            <w:tcW w:w="3708" w:type="dxa"/>
          </w:tcPr>
          <w:p w:rsidR="00920BE8" w:rsidRPr="00C25D1A" w:rsidRDefault="00920BE8" w:rsidP="00920BE8">
            <w:pPr>
              <w:pStyle w:val="TableBodyinclColHeads"/>
              <w:rPr>
                <w:rFonts w:eastAsia="Calibri"/>
              </w:rPr>
            </w:pPr>
            <w:r>
              <w:rPr>
                <w:rFonts w:eastAsia="Calibri"/>
              </w:rPr>
              <w:t xml:space="preserve">   </w:t>
            </w:r>
            <w:r w:rsidRPr="00C25D1A">
              <w:rPr>
                <w:rFonts w:eastAsia="Calibri"/>
              </w:rPr>
              <w:t>Relaxed</w:t>
            </w:r>
          </w:p>
        </w:tc>
        <w:tc>
          <w:tcPr>
            <w:tcW w:w="1530" w:type="dxa"/>
          </w:tcPr>
          <w:p w:rsidR="00920BE8" w:rsidRPr="00C25D1A" w:rsidRDefault="00920BE8" w:rsidP="00920BE8">
            <w:pPr>
              <w:pStyle w:val="TableBodyinclColHeads"/>
              <w:rPr>
                <w:rFonts w:eastAsia="Calibri"/>
              </w:rPr>
            </w:pPr>
            <w:r w:rsidRPr="00C25D1A">
              <w:rPr>
                <w:rFonts w:eastAsia="Calibri"/>
              </w:rPr>
              <w:t>9</w:t>
            </w:r>
            <w:r>
              <w:rPr>
                <w:rFonts w:eastAsia="Calibri"/>
              </w:rPr>
              <w:t xml:space="preserve"> (</w:t>
            </w:r>
            <w:r w:rsidRPr="00C25D1A">
              <w:rPr>
                <w:rFonts w:eastAsia="Calibri"/>
              </w:rPr>
              <w:t>60.0)</w:t>
            </w:r>
          </w:p>
        </w:tc>
        <w:tc>
          <w:tcPr>
            <w:tcW w:w="1710" w:type="dxa"/>
          </w:tcPr>
          <w:p w:rsidR="00920BE8" w:rsidRPr="00C25D1A" w:rsidRDefault="00920BE8" w:rsidP="00920BE8">
            <w:pPr>
              <w:pStyle w:val="TableBodyinclColHeads"/>
              <w:rPr>
                <w:rFonts w:eastAsia="Calibri"/>
              </w:rPr>
            </w:pPr>
            <w:r w:rsidRPr="00C25D1A">
              <w:rPr>
                <w:rFonts w:eastAsia="Calibri"/>
              </w:rPr>
              <w:t>6</w:t>
            </w:r>
            <w:r>
              <w:rPr>
                <w:rFonts w:eastAsia="Calibri"/>
              </w:rPr>
              <w:t xml:space="preserve"> (</w:t>
            </w:r>
            <w:r w:rsidRPr="00C25D1A">
              <w:rPr>
                <w:rFonts w:eastAsia="Calibri"/>
              </w:rPr>
              <w:t>40.0)</w:t>
            </w:r>
          </w:p>
        </w:tc>
        <w:tc>
          <w:tcPr>
            <w:tcW w:w="1350" w:type="dxa"/>
          </w:tcPr>
          <w:p w:rsidR="00920BE8" w:rsidRPr="00C25D1A" w:rsidRDefault="00920BE8" w:rsidP="00920BE8">
            <w:pPr>
              <w:pStyle w:val="TableBodyinclColHeads"/>
              <w:rPr>
                <w:rFonts w:eastAsia="Calibri"/>
              </w:rPr>
            </w:pPr>
            <w:r w:rsidRPr="00C25D1A">
              <w:rPr>
                <w:rFonts w:eastAsia="Calibri"/>
              </w:rPr>
              <w:t>1.94</w:t>
            </w:r>
          </w:p>
        </w:tc>
        <w:tc>
          <w:tcPr>
            <w:tcW w:w="1530" w:type="dxa"/>
          </w:tcPr>
          <w:p w:rsidR="00920BE8" w:rsidRPr="00C25D1A" w:rsidRDefault="00920BE8" w:rsidP="00920BE8">
            <w:pPr>
              <w:pStyle w:val="TableBodyinclColHeads"/>
              <w:rPr>
                <w:rFonts w:eastAsia="Calibri"/>
              </w:rPr>
            </w:pPr>
            <w:r w:rsidRPr="00C25D1A">
              <w:rPr>
                <w:rFonts w:eastAsia="Calibri"/>
              </w:rPr>
              <w:t>0.64</w:t>
            </w:r>
            <w:r>
              <w:rPr>
                <w:rFonts w:eastAsia="Calibri"/>
              </w:rPr>
              <w:t>–</w:t>
            </w:r>
            <w:r w:rsidRPr="00C25D1A">
              <w:rPr>
                <w:rFonts w:eastAsia="Calibri"/>
              </w:rPr>
              <w:t>5.76</w:t>
            </w:r>
          </w:p>
        </w:tc>
      </w:tr>
      <w:tr w:rsidR="00920BE8" w:rsidRPr="00C25D1A" w:rsidTr="00920BE8">
        <w:tc>
          <w:tcPr>
            <w:tcW w:w="3708" w:type="dxa"/>
          </w:tcPr>
          <w:p w:rsidR="00920BE8" w:rsidRPr="00C25D1A" w:rsidRDefault="00920BE8" w:rsidP="00920BE8">
            <w:pPr>
              <w:pStyle w:val="TableBodyinclColHeads"/>
              <w:rPr>
                <w:rFonts w:eastAsia="Calibri"/>
              </w:rPr>
            </w:pPr>
            <w:r w:rsidRPr="00C25D1A">
              <w:rPr>
                <w:rFonts w:eastAsia="Calibri"/>
              </w:rPr>
              <w:t>Feeling towards family</w:t>
            </w:r>
          </w:p>
        </w:tc>
        <w:tc>
          <w:tcPr>
            <w:tcW w:w="1530" w:type="dxa"/>
          </w:tcPr>
          <w:p w:rsidR="00920BE8" w:rsidRPr="00C25D1A" w:rsidRDefault="00920BE8" w:rsidP="00920BE8">
            <w:pPr>
              <w:pStyle w:val="TableBodyinclColHeads"/>
              <w:rPr>
                <w:rFonts w:eastAsia="Calibri"/>
              </w:rPr>
            </w:pPr>
          </w:p>
        </w:tc>
        <w:tc>
          <w:tcPr>
            <w:tcW w:w="1710" w:type="dxa"/>
          </w:tcPr>
          <w:p w:rsidR="00920BE8" w:rsidRPr="00C25D1A" w:rsidRDefault="00920BE8" w:rsidP="00920BE8">
            <w:pPr>
              <w:pStyle w:val="TableBodyinclColHeads"/>
              <w:rPr>
                <w:rFonts w:eastAsia="Calibri"/>
              </w:rPr>
            </w:pPr>
          </w:p>
        </w:tc>
        <w:tc>
          <w:tcPr>
            <w:tcW w:w="1350" w:type="dxa"/>
          </w:tcPr>
          <w:p w:rsidR="00920BE8" w:rsidRPr="00C25D1A" w:rsidRDefault="00920BE8" w:rsidP="00920BE8">
            <w:pPr>
              <w:pStyle w:val="TableBodyinclColHeads"/>
              <w:rPr>
                <w:rFonts w:eastAsia="Calibri"/>
              </w:rPr>
            </w:pPr>
          </w:p>
        </w:tc>
        <w:tc>
          <w:tcPr>
            <w:tcW w:w="1530" w:type="dxa"/>
          </w:tcPr>
          <w:p w:rsidR="00920BE8" w:rsidRPr="00C25D1A" w:rsidRDefault="00920BE8" w:rsidP="00920BE8">
            <w:pPr>
              <w:pStyle w:val="TableBodyinclColHeads"/>
              <w:rPr>
                <w:rFonts w:eastAsia="Calibri"/>
              </w:rPr>
            </w:pPr>
          </w:p>
        </w:tc>
      </w:tr>
      <w:tr w:rsidR="00920BE8" w:rsidRPr="00C25D1A" w:rsidTr="00920BE8">
        <w:tc>
          <w:tcPr>
            <w:tcW w:w="3708" w:type="dxa"/>
          </w:tcPr>
          <w:p w:rsidR="00920BE8" w:rsidRPr="00C25D1A" w:rsidRDefault="00920BE8" w:rsidP="00920BE8">
            <w:pPr>
              <w:pStyle w:val="TableBodyinclColHeads"/>
              <w:rPr>
                <w:rFonts w:eastAsia="Calibri"/>
              </w:rPr>
            </w:pPr>
            <w:r>
              <w:rPr>
                <w:rFonts w:eastAsia="Calibri"/>
              </w:rPr>
              <w:t xml:space="preserve">   </w:t>
            </w:r>
            <w:r w:rsidRPr="00C25D1A">
              <w:rPr>
                <w:rFonts w:eastAsia="Calibri"/>
              </w:rPr>
              <w:t>Very good</w:t>
            </w:r>
          </w:p>
        </w:tc>
        <w:tc>
          <w:tcPr>
            <w:tcW w:w="1530" w:type="dxa"/>
          </w:tcPr>
          <w:p w:rsidR="00920BE8" w:rsidRPr="00C25D1A" w:rsidRDefault="00920BE8" w:rsidP="00920BE8">
            <w:pPr>
              <w:pStyle w:val="TableBodyinclColHeads"/>
              <w:rPr>
                <w:rFonts w:eastAsia="Calibri"/>
              </w:rPr>
            </w:pPr>
            <w:r w:rsidRPr="00C25D1A">
              <w:rPr>
                <w:rFonts w:eastAsia="Calibri"/>
              </w:rPr>
              <w:t>84</w:t>
            </w:r>
            <w:r>
              <w:rPr>
                <w:rFonts w:eastAsia="Calibri"/>
              </w:rPr>
              <w:t xml:space="preserve"> (</w:t>
            </w:r>
            <w:r w:rsidRPr="00C25D1A">
              <w:rPr>
                <w:rFonts w:eastAsia="Calibri"/>
              </w:rPr>
              <w:t>73.7)</w:t>
            </w:r>
          </w:p>
        </w:tc>
        <w:tc>
          <w:tcPr>
            <w:tcW w:w="1710" w:type="dxa"/>
          </w:tcPr>
          <w:p w:rsidR="00920BE8" w:rsidRPr="00C25D1A" w:rsidRDefault="00920BE8" w:rsidP="00920BE8">
            <w:pPr>
              <w:pStyle w:val="TableBodyinclColHeads"/>
              <w:rPr>
                <w:rFonts w:eastAsia="Calibri"/>
              </w:rPr>
            </w:pPr>
            <w:r w:rsidRPr="00C25D1A">
              <w:rPr>
                <w:rFonts w:eastAsia="Calibri"/>
              </w:rPr>
              <w:t>30</w:t>
            </w:r>
            <w:r>
              <w:rPr>
                <w:rFonts w:eastAsia="Calibri"/>
              </w:rPr>
              <w:t xml:space="preserve"> (</w:t>
            </w:r>
            <w:r w:rsidRPr="00C25D1A">
              <w:rPr>
                <w:rFonts w:eastAsia="Calibri"/>
              </w:rPr>
              <w:t>26.3)</w:t>
            </w:r>
          </w:p>
        </w:tc>
        <w:tc>
          <w:tcPr>
            <w:tcW w:w="1350" w:type="dxa"/>
          </w:tcPr>
          <w:p w:rsidR="00920BE8" w:rsidRPr="00C25D1A" w:rsidRDefault="00920BE8" w:rsidP="00920BE8">
            <w:pPr>
              <w:pStyle w:val="TableBodyinclColHeads"/>
              <w:rPr>
                <w:rFonts w:eastAsia="Calibri"/>
              </w:rPr>
            </w:pPr>
            <w:r w:rsidRPr="00C25D1A">
              <w:rPr>
                <w:rFonts w:eastAsia="Calibri"/>
              </w:rPr>
              <w:t>1.00</w:t>
            </w:r>
          </w:p>
        </w:tc>
        <w:tc>
          <w:tcPr>
            <w:tcW w:w="1530" w:type="dxa"/>
          </w:tcPr>
          <w:p w:rsidR="00920BE8" w:rsidRPr="00C25D1A" w:rsidRDefault="00920BE8" w:rsidP="00920BE8">
            <w:pPr>
              <w:pStyle w:val="TableBodyinclColHeads"/>
              <w:rPr>
                <w:rFonts w:eastAsia="Calibri"/>
              </w:rPr>
            </w:pPr>
          </w:p>
        </w:tc>
      </w:tr>
      <w:tr w:rsidR="00920BE8" w:rsidRPr="00C25D1A" w:rsidTr="00920BE8">
        <w:tc>
          <w:tcPr>
            <w:tcW w:w="3708" w:type="dxa"/>
          </w:tcPr>
          <w:p w:rsidR="00920BE8" w:rsidRPr="00C25D1A" w:rsidRDefault="00920BE8" w:rsidP="00920BE8">
            <w:pPr>
              <w:pStyle w:val="TableBodyinclColHeads"/>
              <w:rPr>
                <w:rFonts w:eastAsia="Calibri"/>
              </w:rPr>
            </w:pPr>
            <w:r>
              <w:rPr>
                <w:rFonts w:eastAsia="Calibri"/>
              </w:rPr>
              <w:t xml:space="preserve">   </w:t>
            </w:r>
            <w:r w:rsidRPr="00C25D1A">
              <w:rPr>
                <w:rFonts w:eastAsia="Calibri"/>
              </w:rPr>
              <w:t>Good</w:t>
            </w:r>
          </w:p>
        </w:tc>
        <w:tc>
          <w:tcPr>
            <w:tcW w:w="1530" w:type="dxa"/>
          </w:tcPr>
          <w:p w:rsidR="00920BE8" w:rsidRPr="00C25D1A" w:rsidRDefault="00920BE8" w:rsidP="00920BE8">
            <w:pPr>
              <w:pStyle w:val="TableBodyinclColHeads"/>
              <w:rPr>
                <w:rFonts w:eastAsia="Calibri"/>
              </w:rPr>
            </w:pPr>
            <w:r w:rsidRPr="00C25D1A">
              <w:rPr>
                <w:rFonts w:eastAsia="Calibri"/>
              </w:rPr>
              <w:t>35</w:t>
            </w:r>
            <w:r>
              <w:rPr>
                <w:rFonts w:eastAsia="Calibri"/>
              </w:rPr>
              <w:t xml:space="preserve"> (</w:t>
            </w:r>
            <w:r w:rsidRPr="00C25D1A">
              <w:rPr>
                <w:rFonts w:eastAsia="Calibri"/>
              </w:rPr>
              <w:t>74.5)</w:t>
            </w:r>
          </w:p>
        </w:tc>
        <w:tc>
          <w:tcPr>
            <w:tcW w:w="1710" w:type="dxa"/>
          </w:tcPr>
          <w:p w:rsidR="00920BE8" w:rsidRPr="00C25D1A" w:rsidRDefault="00920BE8" w:rsidP="00920BE8">
            <w:pPr>
              <w:pStyle w:val="TableBodyinclColHeads"/>
              <w:rPr>
                <w:rFonts w:eastAsia="Calibri"/>
              </w:rPr>
            </w:pPr>
            <w:r w:rsidRPr="00C25D1A">
              <w:rPr>
                <w:rFonts w:eastAsia="Calibri"/>
              </w:rPr>
              <w:t>12</w:t>
            </w:r>
            <w:r>
              <w:rPr>
                <w:rFonts w:eastAsia="Calibri"/>
              </w:rPr>
              <w:t xml:space="preserve"> (</w:t>
            </w:r>
            <w:r w:rsidRPr="00C25D1A">
              <w:rPr>
                <w:rFonts w:eastAsia="Calibri"/>
              </w:rPr>
              <w:t>25.5)</w:t>
            </w:r>
          </w:p>
        </w:tc>
        <w:tc>
          <w:tcPr>
            <w:tcW w:w="1350" w:type="dxa"/>
          </w:tcPr>
          <w:p w:rsidR="00920BE8" w:rsidRPr="00C25D1A" w:rsidRDefault="00920BE8" w:rsidP="00920BE8">
            <w:pPr>
              <w:pStyle w:val="TableBodyinclColHeads"/>
              <w:rPr>
                <w:rFonts w:eastAsia="Calibri"/>
              </w:rPr>
            </w:pPr>
            <w:r w:rsidRPr="00C25D1A">
              <w:rPr>
                <w:rFonts w:eastAsia="Calibri"/>
              </w:rPr>
              <w:t>0.98</w:t>
            </w:r>
          </w:p>
        </w:tc>
        <w:tc>
          <w:tcPr>
            <w:tcW w:w="1530" w:type="dxa"/>
          </w:tcPr>
          <w:p w:rsidR="00920BE8" w:rsidRPr="00C25D1A" w:rsidRDefault="00920BE8" w:rsidP="00920BE8">
            <w:pPr>
              <w:pStyle w:val="TableBodyinclColHeads"/>
              <w:rPr>
                <w:rFonts w:eastAsia="Calibri"/>
              </w:rPr>
            </w:pPr>
            <w:r w:rsidRPr="00C25D1A">
              <w:rPr>
                <w:rFonts w:eastAsia="Calibri"/>
              </w:rPr>
              <w:t>0.81</w:t>
            </w:r>
            <w:r>
              <w:rPr>
                <w:rFonts w:eastAsia="Calibri"/>
              </w:rPr>
              <w:t>–</w:t>
            </w:r>
            <w:r w:rsidRPr="00C25D1A">
              <w:rPr>
                <w:rFonts w:eastAsia="Calibri"/>
              </w:rPr>
              <w:t>1.21</w:t>
            </w:r>
          </w:p>
        </w:tc>
      </w:tr>
      <w:tr w:rsidR="00920BE8" w:rsidRPr="00C25D1A" w:rsidTr="00920BE8">
        <w:tc>
          <w:tcPr>
            <w:tcW w:w="3708" w:type="dxa"/>
          </w:tcPr>
          <w:p w:rsidR="00920BE8" w:rsidRPr="00C25D1A" w:rsidRDefault="00920BE8" w:rsidP="00920BE8">
            <w:pPr>
              <w:pStyle w:val="TableBodyinclColHeads"/>
              <w:rPr>
                <w:rFonts w:eastAsia="Calibri"/>
              </w:rPr>
            </w:pPr>
            <w:r>
              <w:rPr>
                <w:rFonts w:eastAsia="Calibri"/>
              </w:rPr>
              <w:t xml:space="preserve">   </w:t>
            </w:r>
            <w:r w:rsidRPr="00C25D1A">
              <w:rPr>
                <w:rFonts w:eastAsia="Calibri"/>
              </w:rPr>
              <w:t>Less than good</w:t>
            </w:r>
          </w:p>
        </w:tc>
        <w:tc>
          <w:tcPr>
            <w:tcW w:w="1530" w:type="dxa"/>
          </w:tcPr>
          <w:p w:rsidR="00920BE8" w:rsidRPr="00C25D1A" w:rsidRDefault="00920BE8" w:rsidP="00920BE8">
            <w:pPr>
              <w:pStyle w:val="TableBodyinclColHeads"/>
              <w:rPr>
                <w:rFonts w:eastAsia="Calibri"/>
              </w:rPr>
            </w:pPr>
            <w:r w:rsidRPr="00C25D1A">
              <w:rPr>
                <w:rFonts w:eastAsia="Calibri"/>
              </w:rPr>
              <w:t>0</w:t>
            </w:r>
            <w:r>
              <w:rPr>
                <w:rFonts w:eastAsia="Calibri"/>
              </w:rPr>
              <w:t xml:space="preserve"> (</w:t>
            </w:r>
            <w:r w:rsidRPr="00C25D1A">
              <w:rPr>
                <w:rFonts w:eastAsia="Calibri"/>
              </w:rPr>
              <w:t>0)</w:t>
            </w:r>
          </w:p>
        </w:tc>
        <w:tc>
          <w:tcPr>
            <w:tcW w:w="1710" w:type="dxa"/>
          </w:tcPr>
          <w:p w:rsidR="00920BE8" w:rsidRPr="00C25D1A" w:rsidRDefault="00920BE8" w:rsidP="00920BE8">
            <w:pPr>
              <w:pStyle w:val="TableBodyinclColHeads"/>
              <w:rPr>
                <w:rFonts w:eastAsia="Calibri"/>
              </w:rPr>
            </w:pPr>
            <w:r w:rsidRPr="00C25D1A">
              <w:rPr>
                <w:rFonts w:eastAsia="Calibri"/>
              </w:rPr>
              <w:t>0</w:t>
            </w:r>
            <w:r>
              <w:rPr>
                <w:rFonts w:eastAsia="Calibri"/>
              </w:rPr>
              <w:t xml:space="preserve"> (</w:t>
            </w:r>
            <w:r w:rsidRPr="00C25D1A">
              <w:rPr>
                <w:rFonts w:eastAsia="Calibri"/>
              </w:rPr>
              <w:t>0)</w:t>
            </w:r>
          </w:p>
        </w:tc>
        <w:tc>
          <w:tcPr>
            <w:tcW w:w="1350" w:type="dxa"/>
          </w:tcPr>
          <w:p w:rsidR="00920BE8" w:rsidRPr="00C25D1A" w:rsidRDefault="00920BE8" w:rsidP="00920BE8">
            <w:pPr>
              <w:pStyle w:val="TableBodyinclColHeads"/>
              <w:rPr>
                <w:rFonts w:eastAsia="Calibri"/>
              </w:rPr>
            </w:pPr>
          </w:p>
        </w:tc>
        <w:tc>
          <w:tcPr>
            <w:tcW w:w="1530" w:type="dxa"/>
          </w:tcPr>
          <w:p w:rsidR="00920BE8" w:rsidRPr="00C25D1A" w:rsidRDefault="00920BE8" w:rsidP="00920BE8">
            <w:pPr>
              <w:pStyle w:val="TableBodyinclColHeads"/>
              <w:rPr>
                <w:rFonts w:eastAsia="Calibri"/>
              </w:rPr>
            </w:pPr>
          </w:p>
        </w:tc>
      </w:tr>
      <w:tr w:rsidR="00920BE8" w:rsidRPr="00C25D1A" w:rsidTr="00920BE8">
        <w:tc>
          <w:tcPr>
            <w:tcW w:w="3708" w:type="dxa"/>
          </w:tcPr>
          <w:p w:rsidR="00920BE8" w:rsidRPr="00C25D1A" w:rsidRDefault="00920BE8" w:rsidP="00920BE8">
            <w:pPr>
              <w:pStyle w:val="TableBodyinclColHeads"/>
              <w:rPr>
                <w:rFonts w:eastAsia="Calibri"/>
              </w:rPr>
            </w:pPr>
            <w:r>
              <w:rPr>
                <w:rFonts w:eastAsia="Calibri"/>
              </w:rPr>
              <w:t>Family economic status</w:t>
            </w:r>
          </w:p>
        </w:tc>
        <w:tc>
          <w:tcPr>
            <w:tcW w:w="1530" w:type="dxa"/>
          </w:tcPr>
          <w:p w:rsidR="00920BE8" w:rsidRPr="00C25D1A" w:rsidRDefault="00920BE8" w:rsidP="00920BE8">
            <w:pPr>
              <w:pStyle w:val="TableBodyinclColHeads"/>
              <w:rPr>
                <w:rFonts w:eastAsia="Calibri"/>
              </w:rPr>
            </w:pPr>
          </w:p>
        </w:tc>
        <w:tc>
          <w:tcPr>
            <w:tcW w:w="1710" w:type="dxa"/>
          </w:tcPr>
          <w:p w:rsidR="00920BE8" w:rsidRPr="00C25D1A" w:rsidRDefault="00920BE8" w:rsidP="00920BE8">
            <w:pPr>
              <w:pStyle w:val="TableBodyinclColHeads"/>
              <w:rPr>
                <w:rFonts w:eastAsia="Calibri"/>
              </w:rPr>
            </w:pPr>
          </w:p>
        </w:tc>
        <w:tc>
          <w:tcPr>
            <w:tcW w:w="1350" w:type="dxa"/>
          </w:tcPr>
          <w:p w:rsidR="00920BE8" w:rsidRPr="00C25D1A" w:rsidRDefault="00920BE8" w:rsidP="00920BE8">
            <w:pPr>
              <w:pStyle w:val="TableBodyinclColHeads"/>
              <w:rPr>
                <w:rFonts w:eastAsia="Calibri"/>
              </w:rPr>
            </w:pPr>
          </w:p>
        </w:tc>
        <w:tc>
          <w:tcPr>
            <w:tcW w:w="1530" w:type="dxa"/>
          </w:tcPr>
          <w:p w:rsidR="00920BE8" w:rsidRPr="00C25D1A" w:rsidRDefault="00920BE8" w:rsidP="00920BE8">
            <w:pPr>
              <w:pStyle w:val="TableBodyinclColHeads"/>
              <w:rPr>
                <w:rFonts w:eastAsia="Calibri"/>
              </w:rPr>
            </w:pPr>
          </w:p>
        </w:tc>
      </w:tr>
      <w:tr w:rsidR="00920BE8" w:rsidRPr="00C25D1A" w:rsidTr="00920BE8">
        <w:tc>
          <w:tcPr>
            <w:tcW w:w="3708" w:type="dxa"/>
          </w:tcPr>
          <w:p w:rsidR="00920BE8" w:rsidRPr="00C25D1A" w:rsidRDefault="00920BE8" w:rsidP="00920BE8">
            <w:pPr>
              <w:pStyle w:val="TableBodyinclColHeads"/>
              <w:rPr>
                <w:rFonts w:eastAsia="Calibri"/>
              </w:rPr>
            </w:pPr>
            <w:r>
              <w:rPr>
                <w:rFonts w:eastAsia="Calibri"/>
              </w:rPr>
              <w:t xml:space="preserve">   </w:t>
            </w:r>
            <w:r w:rsidRPr="00C25D1A">
              <w:rPr>
                <w:rFonts w:eastAsia="Calibri"/>
              </w:rPr>
              <w:t>Poor</w:t>
            </w:r>
          </w:p>
        </w:tc>
        <w:tc>
          <w:tcPr>
            <w:tcW w:w="1530" w:type="dxa"/>
          </w:tcPr>
          <w:p w:rsidR="00920BE8" w:rsidRPr="00C25D1A" w:rsidRDefault="00920BE8" w:rsidP="00920BE8">
            <w:pPr>
              <w:pStyle w:val="TableBodyinclColHeads"/>
              <w:rPr>
                <w:rFonts w:eastAsia="Calibri"/>
              </w:rPr>
            </w:pPr>
            <w:r w:rsidRPr="00C25D1A">
              <w:rPr>
                <w:rFonts w:eastAsia="Calibri"/>
              </w:rPr>
              <w:t>1</w:t>
            </w:r>
            <w:r>
              <w:rPr>
                <w:rFonts w:eastAsia="Calibri"/>
              </w:rPr>
              <w:t xml:space="preserve"> (</w:t>
            </w:r>
            <w:r w:rsidRPr="00C25D1A">
              <w:rPr>
                <w:rFonts w:eastAsia="Calibri"/>
              </w:rPr>
              <w:t>25.0)</w:t>
            </w:r>
          </w:p>
        </w:tc>
        <w:tc>
          <w:tcPr>
            <w:tcW w:w="1710" w:type="dxa"/>
          </w:tcPr>
          <w:p w:rsidR="00920BE8" w:rsidRPr="00C25D1A" w:rsidRDefault="00920BE8" w:rsidP="00920BE8">
            <w:pPr>
              <w:pStyle w:val="TableBodyinclColHeads"/>
              <w:rPr>
                <w:rFonts w:eastAsia="Calibri"/>
              </w:rPr>
            </w:pPr>
            <w:r w:rsidRPr="00C25D1A">
              <w:rPr>
                <w:rFonts w:eastAsia="Calibri"/>
              </w:rPr>
              <w:t>3</w:t>
            </w:r>
            <w:r>
              <w:rPr>
                <w:rFonts w:eastAsia="Calibri"/>
              </w:rPr>
              <w:t xml:space="preserve"> (</w:t>
            </w:r>
            <w:r w:rsidRPr="00C25D1A">
              <w:rPr>
                <w:rFonts w:eastAsia="Calibri"/>
              </w:rPr>
              <w:t>75.0)</w:t>
            </w:r>
          </w:p>
        </w:tc>
        <w:tc>
          <w:tcPr>
            <w:tcW w:w="1350" w:type="dxa"/>
          </w:tcPr>
          <w:p w:rsidR="00920BE8" w:rsidRPr="00C25D1A" w:rsidRDefault="00920BE8" w:rsidP="00920BE8">
            <w:pPr>
              <w:pStyle w:val="TableBodyinclColHeads"/>
              <w:rPr>
                <w:rFonts w:eastAsia="Calibri"/>
              </w:rPr>
            </w:pPr>
            <w:bookmarkStart w:id="0" w:name="_GoBack"/>
            <w:bookmarkEnd w:id="0"/>
            <w:r w:rsidRPr="00FF4130">
              <w:rPr>
                <w:rFonts w:eastAsia="Calibri"/>
              </w:rPr>
              <w:t>7.41</w:t>
            </w:r>
          </w:p>
        </w:tc>
        <w:tc>
          <w:tcPr>
            <w:tcW w:w="1530" w:type="dxa"/>
          </w:tcPr>
          <w:p w:rsidR="00920BE8" w:rsidRPr="00C25D1A" w:rsidRDefault="00920BE8" w:rsidP="00920BE8">
            <w:pPr>
              <w:pStyle w:val="TableBodyinclColHeads"/>
              <w:rPr>
                <w:rFonts w:eastAsia="Calibri"/>
              </w:rPr>
            </w:pPr>
            <w:r w:rsidRPr="00C25D1A">
              <w:rPr>
                <w:rFonts w:eastAsia="Calibri"/>
              </w:rPr>
              <w:t>0.69</w:t>
            </w:r>
            <w:r>
              <w:rPr>
                <w:rFonts w:eastAsia="Calibri"/>
              </w:rPr>
              <w:t>–</w:t>
            </w:r>
            <w:r w:rsidRPr="00C25D1A">
              <w:rPr>
                <w:rFonts w:eastAsia="Calibri"/>
              </w:rPr>
              <w:t>0.83*</w:t>
            </w:r>
          </w:p>
        </w:tc>
      </w:tr>
      <w:tr w:rsidR="00920BE8" w:rsidRPr="00C25D1A" w:rsidTr="00920BE8">
        <w:tc>
          <w:tcPr>
            <w:tcW w:w="3708" w:type="dxa"/>
          </w:tcPr>
          <w:p w:rsidR="00920BE8" w:rsidRPr="00C25D1A" w:rsidRDefault="00920BE8" w:rsidP="00920BE8">
            <w:pPr>
              <w:pStyle w:val="TableBodyinclColHeads"/>
              <w:rPr>
                <w:rFonts w:eastAsia="Calibri"/>
              </w:rPr>
            </w:pPr>
            <w:r>
              <w:rPr>
                <w:rFonts w:eastAsia="Calibri"/>
              </w:rPr>
              <w:t xml:space="preserve">   </w:t>
            </w:r>
            <w:r w:rsidRPr="00C25D1A">
              <w:rPr>
                <w:rFonts w:eastAsia="Calibri"/>
              </w:rPr>
              <w:t>Average</w:t>
            </w:r>
          </w:p>
        </w:tc>
        <w:tc>
          <w:tcPr>
            <w:tcW w:w="1530" w:type="dxa"/>
          </w:tcPr>
          <w:p w:rsidR="00920BE8" w:rsidRPr="00C25D1A" w:rsidRDefault="00920BE8" w:rsidP="00920BE8">
            <w:pPr>
              <w:pStyle w:val="TableBodyinclColHeads"/>
              <w:rPr>
                <w:rFonts w:eastAsia="Calibri"/>
              </w:rPr>
            </w:pPr>
            <w:r w:rsidRPr="00C25D1A">
              <w:rPr>
                <w:rFonts w:eastAsia="Calibri"/>
              </w:rPr>
              <w:t>109</w:t>
            </w:r>
            <w:r>
              <w:rPr>
                <w:rFonts w:eastAsia="Calibri"/>
              </w:rPr>
              <w:t xml:space="preserve"> (</w:t>
            </w:r>
            <w:r w:rsidRPr="00C25D1A">
              <w:rPr>
                <w:rFonts w:eastAsia="Calibri"/>
              </w:rPr>
              <w:t>76.2)</w:t>
            </w:r>
          </w:p>
        </w:tc>
        <w:tc>
          <w:tcPr>
            <w:tcW w:w="1710" w:type="dxa"/>
          </w:tcPr>
          <w:p w:rsidR="00920BE8" w:rsidRPr="00C25D1A" w:rsidRDefault="00920BE8" w:rsidP="00920BE8">
            <w:pPr>
              <w:pStyle w:val="TableBodyinclColHeads"/>
              <w:rPr>
                <w:rFonts w:eastAsia="Calibri"/>
              </w:rPr>
            </w:pPr>
            <w:r w:rsidRPr="00C25D1A">
              <w:rPr>
                <w:rFonts w:eastAsia="Calibri"/>
              </w:rPr>
              <w:t>34</w:t>
            </w:r>
            <w:r>
              <w:rPr>
                <w:rFonts w:eastAsia="Calibri"/>
              </w:rPr>
              <w:t xml:space="preserve"> (</w:t>
            </w:r>
            <w:r w:rsidRPr="00C25D1A">
              <w:rPr>
                <w:rFonts w:eastAsia="Calibri"/>
              </w:rPr>
              <w:t>23.8)</w:t>
            </w:r>
          </w:p>
        </w:tc>
        <w:tc>
          <w:tcPr>
            <w:tcW w:w="1350" w:type="dxa"/>
          </w:tcPr>
          <w:p w:rsidR="00920BE8" w:rsidRPr="00C25D1A" w:rsidRDefault="00920BE8" w:rsidP="00920BE8">
            <w:pPr>
              <w:pStyle w:val="TableBodyinclColHeads"/>
              <w:rPr>
                <w:rFonts w:eastAsia="Calibri"/>
              </w:rPr>
            </w:pPr>
            <w:r w:rsidRPr="00C25D1A">
              <w:rPr>
                <w:rFonts w:eastAsia="Calibri"/>
              </w:rPr>
              <w:t>1.00</w:t>
            </w:r>
          </w:p>
        </w:tc>
        <w:tc>
          <w:tcPr>
            <w:tcW w:w="1530" w:type="dxa"/>
          </w:tcPr>
          <w:p w:rsidR="00920BE8" w:rsidRPr="00C25D1A" w:rsidRDefault="00920BE8" w:rsidP="00920BE8">
            <w:pPr>
              <w:pStyle w:val="TableBodyinclColHeads"/>
              <w:rPr>
                <w:rFonts w:eastAsia="Calibri"/>
              </w:rPr>
            </w:pPr>
          </w:p>
        </w:tc>
      </w:tr>
      <w:tr w:rsidR="00920BE8" w:rsidRPr="00C25D1A" w:rsidTr="00920BE8">
        <w:tc>
          <w:tcPr>
            <w:tcW w:w="3708" w:type="dxa"/>
            <w:tcBorders>
              <w:bottom w:val="single" w:sz="4" w:space="0" w:color="auto"/>
            </w:tcBorders>
          </w:tcPr>
          <w:p w:rsidR="00920BE8" w:rsidRPr="00C25D1A" w:rsidRDefault="00920BE8" w:rsidP="00920BE8">
            <w:pPr>
              <w:pStyle w:val="TableBodyinclColHeads"/>
              <w:rPr>
                <w:rFonts w:eastAsia="Calibri"/>
              </w:rPr>
            </w:pPr>
            <w:r>
              <w:rPr>
                <w:rFonts w:eastAsia="Calibri"/>
              </w:rPr>
              <w:t xml:space="preserve">   </w:t>
            </w:r>
            <w:r w:rsidRPr="00C25D1A">
              <w:rPr>
                <w:rFonts w:eastAsia="Calibri"/>
              </w:rPr>
              <w:t>Rich</w:t>
            </w:r>
          </w:p>
        </w:tc>
        <w:tc>
          <w:tcPr>
            <w:tcW w:w="1530" w:type="dxa"/>
            <w:tcBorders>
              <w:bottom w:val="single" w:sz="4" w:space="0" w:color="auto"/>
            </w:tcBorders>
          </w:tcPr>
          <w:p w:rsidR="00920BE8" w:rsidRPr="00C25D1A" w:rsidRDefault="00920BE8" w:rsidP="00920BE8">
            <w:pPr>
              <w:pStyle w:val="TableBodyinclColHeads"/>
              <w:rPr>
                <w:rFonts w:eastAsia="Calibri"/>
              </w:rPr>
            </w:pPr>
            <w:r w:rsidRPr="00C25D1A">
              <w:rPr>
                <w:rFonts w:eastAsia="Calibri"/>
              </w:rPr>
              <w:t>9</w:t>
            </w:r>
            <w:r>
              <w:rPr>
                <w:rFonts w:eastAsia="Calibri"/>
              </w:rPr>
              <w:t xml:space="preserve"> (</w:t>
            </w:r>
            <w:r w:rsidRPr="00C25D1A">
              <w:rPr>
                <w:rFonts w:eastAsia="Calibri"/>
              </w:rPr>
              <w:t>64.3)</w:t>
            </w:r>
          </w:p>
        </w:tc>
        <w:tc>
          <w:tcPr>
            <w:tcW w:w="1710" w:type="dxa"/>
            <w:tcBorders>
              <w:bottom w:val="single" w:sz="4" w:space="0" w:color="auto"/>
            </w:tcBorders>
          </w:tcPr>
          <w:p w:rsidR="00920BE8" w:rsidRPr="00C25D1A" w:rsidRDefault="00920BE8" w:rsidP="00920BE8">
            <w:pPr>
              <w:pStyle w:val="TableBodyinclColHeads"/>
              <w:rPr>
                <w:rFonts w:eastAsia="Calibri"/>
              </w:rPr>
            </w:pPr>
            <w:r w:rsidRPr="00C25D1A">
              <w:rPr>
                <w:rFonts w:eastAsia="Calibri"/>
              </w:rPr>
              <w:t>5</w:t>
            </w:r>
            <w:r>
              <w:rPr>
                <w:rFonts w:eastAsia="Calibri"/>
              </w:rPr>
              <w:t xml:space="preserve"> (</w:t>
            </w:r>
            <w:r w:rsidRPr="00C25D1A">
              <w:rPr>
                <w:rFonts w:eastAsia="Calibri"/>
              </w:rPr>
              <w:t>35.7)</w:t>
            </w:r>
          </w:p>
        </w:tc>
        <w:tc>
          <w:tcPr>
            <w:tcW w:w="1350" w:type="dxa"/>
            <w:tcBorders>
              <w:bottom w:val="single" w:sz="4" w:space="0" w:color="auto"/>
            </w:tcBorders>
          </w:tcPr>
          <w:p w:rsidR="00920BE8" w:rsidRPr="00C25D1A" w:rsidRDefault="00920BE8" w:rsidP="00920BE8">
            <w:pPr>
              <w:pStyle w:val="TableBodyinclColHeads"/>
              <w:rPr>
                <w:rFonts w:eastAsia="Calibri"/>
              </w:rPr>
            </w:pPr>
            <w:r w:rsidRPr="00C25D1A">
              <w:rPr>
                <w:rFonts w:eastAsia="Calibri"/>
              </w:rPr>
              <w:t>1.84</w:t>
            </w:r>
          </w:p>
        </w:tc>
        <w:tc>
          <w:tcPr>
            <w:tcW w:w="1530" w:type="dxa"/>
            <w:tcBorders>
              <w:bottom w:val="single" w:sz="4" w:space="0" w:color="auto"/>
            </w:tcBorders>
          </w:tcPr>
          <w:p w:rsidR="00920BE8" w:rsidRPr="00C25D1A" w:rsidRDefault="00920BE8" w:rsidP="00920BE8">
            <w:pPr>
              <w:pStyle w:val="TableBodyinclColHeads"/>
              <w:rPr>
                <w:rFonts w:eastAsia="Calibri"/>
              </w:rPr>
            </w:pPr>
            <w:r w:rsidRPr="00C25D1A">
              <w:rPr>
                <w:rFonts w:eastAsia="Calibri"/>
              </w:rPr>
              <w:t>0.58</w:t>
            </w:r>
            <w:r>
              <w:rPr>
                <w:rFonts w:eastAsia="Calibri"/>
              </w:rPr>
              <w:t>–</w:t>
            </w:r>
            <w:r w:rsidRPr="00C25D1A">
              <w:rPr>
                <w:rFonts w:eastAsia="Calibri"/>
              </w:rPr>
              <w:t>5.46</w:t>
            </w:r>
          </w:p>
        </w:tc>
      </w:tr>
    </w:tbl>
    <w:p w:rsidR="00920BE8" w:rsidRPr="00534835" w:rsidRDefault="00920BE8" w:rsidP="00920BE8">
      <w:pPr>
        <w:rPr>
          <w:rFonts w:eastAsia="Calibri"/>
          <w:spacing w:val="-3"/>
          <w:sz w:val="18"/>
        </w:rPr>
      </w:pPr>
      <w:r w:rsidRPr="00534835">
        <w:rPr>
          <w:rFonts w:eastAsia="Calibri"/>
          <w:spacing w:val="-3"/>
          <w:sz w:val="18"/>
        </w:rPr>
        <w:t>*</w:t>
      </w:r>
      <w:r w:rsidRPr="00534835">
        <w:rPr>
          <w:rFonts w:eastAsia="Calibri"/>
          <w:i/>
          <w:spacing w:val="-3"/>
          <w:sz w:val="18"/>
        </w:rPr>
        <w:t>p</w:t>
      </w:r>
      <w:r w:rsidRPr="00534835">
        <w:rPr>
          <w:rFonts w:eastAsia="Calibri"/>
          <w:spacing w:val="-3"/>
          <w:sz w:val="18"/>
        </w:rPr>
        <w:t>&lt;0.05.</w:t>
      </w:r>
    </w:p>
    <w:p w:rsidR="00920BE8" w:rsidRDefault="00920BE8" w:rsidP="00920BE8">
      <w:pPr>
        <w:rPr>
          <w:rFonts w:ascii="Times New Roman" w:eastAsia="Calibri" w:hAnsi="Times New Roman"/>
          <w:sz w:val="24"/>
          <w:szCs w:val="24"/>
        </w:rPr>
      </w:pPr>
      <w:r>
        <w:rPr>
          <w:rFonts w:ascii="Times New Roman" w:eastAsia="Calibri" w:hAnsi="Times New Roman"/>
          <w:sz w:val="24"/>
          <w:szCs w:val="24"/>
        </w:rPr>
        <w:br w:type="page"/>
      </w:r>
    </w:p>
    <w:p w:rsidR="00920BE8" w:rsidRPr="00C25D1A" w:rsidRDefault="00920BE8" w:rsidP="00920BE8">
      <w:pPr>
        <w:pStyle w:val="TableLegendHead"/>
        <w:rPr>
          <w:rFonts w:eastAsia="Calibri"/>
        </w:rPr>
      </w:pPr>
      <w:r w:rsidRPr="00C25D1A">
        <w:rPr>
          <w:rFonts w:eastAsia="Calibri"/>
          <w:b/>
        </w:rPr>
        <w:lastRenderedPageBreak/>
        <w:t>Table 4</w:t>
      </w:r>
      <w:r>
        <w:rPr>
          <w:rFonts w:eastAsia="Calibri"/>
          <w:b/>
        </w:rPr>
        <w:t>.</w:t>
      </w:r>
      <w:r w:rsidRPr="00C25D1A">
        <w:rPr>
          <w:rFonts w:eastAsia="Calibri"/>
        </w:rPr>
        <w:t xml:space="preserve"> Family factors influencing the timing of sexual debut</w:t>
      </w:r>
    </w:p>
    <w:tbl>
      <w:tblPr>
        <w:tblW w:w="9828" w:type="dxa"/>
        <w:tblLayout w:type="fixed"/>
        <w:tblLook w:val="04A0" w:firstRow="1" w:lastRow="0" w:firstColumn="1" w:lastColumn="0" w:noHBand="0" w:noVBand="1"/>
      </w:tblPr>
      <w:tblGrid>
        <w:gridCol w:w="3708"/>
        <w:gridCol w:w="1530"/>
        <w:gridCol w:w="1710"/>
        <w:gridCol w:w="1350"/>
        <w:gridCol w:w="1530"/>
      </w:tblGrid>
      <w:tr w:rsidR="00920BE8" w:rsidRPr="00C25D1A" w:rsidTr="00920BE8">
        <w:trPr>
          <w:tblHeader/>
        </w:trPr>
        <w:tc>
          <w:tcPr>
            <w:tcW w:w="3708" w:type="dxa"/>
            <w:vMerge w:val="restart"/>
            <w:tcBorders>
              <w:top w:val="single" w:sz="4" w:space="0" w:color="auto"/>
              <w:bottom w:val="single" w:sz="4" w:space="0" w:color="auto"/>
            </w:tcBorders>
            <w:vAlign w:val="bottom"/>
          </w:tcPr>
          <w:p w:rsidR="00920BE8" w:rsidRPr="00C25D1A" w:rsidRDefault="00920BE8" w:rsidP="00920BE8">
            <w:pPr>
              <w:pStyle w:val="TableBodyinclColHeads"/>
              <w:rPr>
                <w:rFonts w:eastAsia="Calibri"/>
              </w:rPr>
            </w:pPr>
            <w:r w:rsidRPr="00C25D1A">
              <w:rPr>
                <w:rFonts w:eastAsia="Calibri"/>
              </w:rPr>
              <w:t>Variable</w:t>
            </w:r>
          </w:p>
        </w:tc>
        <w:tc>
          <w:tcPr>
            <w:tcW w:w="3240" w:type="dxa"/>
            <w:gridSpan w:val="2"/>
            <w:tcBorders>
              <w:top w:val="single" w:sz="4" w:space="0" w:color="auto"/>
              <w:bottom w:val="single" w:sz="4" w:space="0" w:color="auto"/>
            </w:tcBorders>
            <w:vAlign w:val="bottom"/>
          </w:tcPr>
          <w:p w:rsidR="00920BE8" w:rsidRPr="00C25D1A" w:rsidRDefault="00920BE8" w:rsidP="00920BE8">
            <w:pPr>
              <w:pStyle w:val="TableBodyinclColHeads"/>
              <w:jc w:val="center"/>
              <w:rPr>
                <w:rFonts w:eastAsia="Calibri"/>
              </w:rPr>
            </w:pPr>
            <w:r w:rsidRPr="00C25D1A">
              <w:rPr>
                <w:rFonts w:eastAsia="Calibri"/>
              </w:rPr>
              <w:t>Timing of sexual debut</w:t>
            </w:r>
          </w:p>
        </w:tc>
        <w:tc>
          <w:tcPr>
            <w:tcW w:w="1350" w:type="dxa"/>
            <w:vMerge w:val="restart"/>
            <w:tcBorders>
              <w:top w:val="single" w:sz="4" w:space="0" w:color="auto"/>
              <w:bottom w:val="single" w:sz="4" w:space="0" w:color="auto"/>
            </w:tcBorders>
            <w:vAlign w:val="bottom"/>
          </w:tcPr>
          <w:p w:rsidR="00920BE8" w:rsidRPr="00C25D1A" w:rsidRDefault="00920BE8" w:rsidP="00920BE8">
            <w:pPr>
              <w:pStyle w:val="TableBodyinclColHeads"/>
              <w:rPr>
                <w:rFonts w:eastAsia="Calibri"/>
              </w:rPr>
            </w:pPr>
            <w:r w:rsidRPr="00C25D1A">
              <w:rPr>
                <w:rFonts w:eastAsia="Calibri"/>
              </w:rPr>
              <w:t>Adjusted OR</w:t>
            </w:r>
          </w:p>
        </w:tc>
        <w:tc>
          <w:tcPr>
            <w:tcW w:w="1530" w:type="dxa"/>
            <w:vMerge w:val="restart"/>
            <w:tcBorders>
              <w:top w:val="single" w:sz="4" w:space="0" w:color="auto"/>
              <w:bottom w:val="single" w:sz="4" w:space="0" w:color="auto"/>
            </w:tcBorders>
            <w:vAlign w:val="bottom"/>
          </w:tcPr>
          <w:p w:rsidR="00920BE8" w:rsidRPr="00C25D1A" w:rsidRDefault="00920BE8" w:rsidP="00920BE8">
            <w:pPr>
              <w:pStyle w:val="TableBodyinclColHeads"/>
              <w:rPr>
                <w:rFonts w:eastAsia="Calibri"/>
              </w:rPr>
            </w:pPr>
            <w:r w:rsidRPr="00C25D1A">
              <w:rPr>
                <w:rFonts w:eastAsia="Calibri"/>
              </w:rPr>
              <w:t>95% CI</w:t>
            </w:r>
          </w:p>
        </w:tc>
      </w:tr>
      <w:tr w:rsidR="00920BE8" w:rsidRPr="00C25D1A" w:rsidTr="00920BE8">
        <w:trPr>
          <w:tblHeader/>
        </w:trPr>
        <w:tc>
          <w:tcPr>
            <w:tcW w:w="3708" w:type="dxa"/>
            <w:vMerge/>
            <w:tcBorders>
              <w:top w:val="single" w:sz="4" w:space="0" w:color="auto"/>
              <w:bottom w:val="single" w:sz="4" w:space="0" w:color="auto"/>
            </w:tcBorders>
          </w:tcPr>
          <w:p w:rsidR="00920BE8" w:rsidRPr="00C25D1A" w:rsidRDefault="00920BE8" w:rsidP="00920BE8">
            <w:pPr>
              <w:pStyle w:val="TableBodyinclColHeads"/>
              <w:rPr>
                <w:rFonts w:eastAsia="Calibri"/>
              </w:rPr>
            </w:pPr>
          </w:p>
        </w:tc>
        <w:tc>
          <w:tcPr>
            <w:tcW w:w="1530" w:type="dxa"/>
            <w:tcBorders>
              <w:top w:val="single" w:sz="4" w:space="0" w:color="auto"/>
              <w:bottom w:val="single" w:sz="4" w:space="0" w:color="auto"/>
            </w:tcBorders>
          </w:tcPr>
          <w:p w:rsidR="00920BE8" w:rsidRDefault="00920BE8" w:rsidP="00920BE8">
            <w:pPr>
              <w:pStyle w:val="TableBodyinclColHeads"/>
              <w:rPr>
                <w:rFonts w:eastAsia="Calibri"/>
              </w:rPr>
            </w:pPr>
            <w:r w:rsidRPr="00C25D1A">
              <w:rPr>
                <w:rFonts w:eastAsia="Calibri"/>
              </w:rPr>
              <w:t>≤19 years</w:t>
            </w:r>
          </w:p>
          <w:p w:rsidR="00920BE8" w:rsidRPr="00C25D1A" w:rsidRDefault="00920BE8" w:rsidP="00920BE8">
            <w:pPr>
              <w:pStyle w:val="TableBodyinclColHeads"/>
              <w:rPr>
                <w:rFonts w:eastAsia="Calibri"/>
              </w:rPr>
            </w:pPr>
            <w:r w:rsidRPr="000B1ADB">
              <w:rPr>
                <w:rFonts w:eastAsia="Calibri"/>
                <w:i/>
              </w:rPr>
              <w:t>n</w:t>
            </w:r>
            <w:r>
              <w:rPr>
                <w:rFonts w:eastAsia="Calibri"/>
              </w:rPr>
              <w:t xml:space="preserve"> (%)</w:t>
            </w:r>
          </w:p>
        </w:tc>
        <w:tc>
          <w:tcPr>
            <w:tcW w:w="1710" w:type="dxa"/>
            <w:tcBorders>
              <w:top w:val="single" w:sz="4" w:space="0" w:color="auto"/>
              <w:bottom w:val="single" w:sz="4" w:space="0" w:color="auto"/>
            </w:tcBorders>
          </w:tcPr>
          <w:p w:rsidR="00920BE8" w:rsidRDefault="00920BE8" w:rsidP="00920BE8">
            <w:pPr>
              <w:pStyle w:val="TableBodyinclColHeads"/>
              <w:rPr>
                <w:rFonts w:eastAsia="Calibri"/>
              </w:rPr>
            </w:pPr>
            <w:r w:rsidRPr="00C25D1A">
              <w:rPr>
                <w:rFonts w:eastAsia="Calibri"/>
              </w:rPr>
              <w:t>≥20 years</w:t>
            </w:r>
          </w:p>
          <w:p w:rsidR="00920BE8" w:rsidRPr="00C25D1A" w:rsidRDefault="00920BE8" w:rsidP="00920BE8">
            <w:pPr>
              <w:pStyle w:val="TableBodyinclColHeads"/>
              <w:rPr>
                <w:rFonts w:eastAsia="Calibri"/>
              </w:rPr>
            </w:pPr>
            <w:r>
              <w:rPr>
                <w:rFonts w:eastAsia="Calibri"/>
                <w:i/>
              </w:rPr>
              <w:t>n</w:t>
            </w:r>
            <w:r>
              <w:rPr>
                <w:rFonts w:eastAsia="Calibri"/>
              </w:rPr>
              <w:t xml:space="preserve"> (%)</w:t>
            </w:r>
          </w:p>
        </w:tc>
        <w:tc>
          <w:tcPr>
            <w:tcW w:w="1350" w:type="dxa"/>
            <w:vMerge/>
            <w:tcBorders>
              <w:top w:val="single" w:sz="4" w:space="0" w:color="auto"/>
              <w:bottom w:val="single" w:sz="4" w:space="0" w:color="auto"/>
            </w:tcBorders>
          </w:tcPr>
          <w:p w:rsidR="00920BE8" w:rsidRPr="00C25D1A" w:rsidRDefault="00920BE8" w:rsidP="00920BE8">
            <w:pPr>
              <w:pStyle w:val="TableBodyinclColHeads"/>
              <w:rPr>
                <w:rFonts w:eastAsia="Calibri"/>
              </w:rPr>
            </w:pPr>
          </w:p>
        </w:tc>
        <w:tc>
          <w:tcPr>
            <w:tcW w:w="1530" w:type="dxa"/>
            <w:vMerge/>
            <w:tcBorders>
              <w:top w:val="single" w:sz="4" w:space="0" w:color="auto"/>
              <w:bottom w:val="single" w:sz="4" w:space="0" w:color="auto"/>
            </w:tcBorders>
          </w:tcPr>
          <w:p w:rsidR="00920BE8" w:rsidRPr="00C25D1A" w:rsidRDefault="00920BE8" w:rsidP="00920BE8">
            <w:pPr>
              <w:pStyle w:val="TableBodyinclColHeads"/>
              <w:rPr>
                <w:rFonts w:eastAsia="Calibri"/>
              </w:rPr>
            </w:pPr>
          </w:p>
        </w:tc>
      </w:tr>
      <w:tr w:rsidR="00920BE8" w:rsidRPr="00C25D1A" w:rsidTr="00920BE8">
        <w:tc>
          <w:tcPr>
            <w:tcW w:w="3708" w:type="dxa"/>
            <w:tcBorders>
              <w:top w:val="single" w:sz="4" w:space="0" w:color="auto"/>
            </w:tcBorders>
          </w:tcPr>
          <w:p w:rsidR="00920BE8" w:rsidRPr="00C25D1A" w:rsidRDefault="00920BE8" w:rsidP="00920BE8">
            <w:pPr>
              <w:pStyle w:val="TableBodyinclColHeads"/>
              <w:rPr>
                <w:rFonts w:eastAsia="Calibri"/>
              </w:rPr>
            </w:pPr>
            <w:r w:rsidRPr="00C25D1A">
              <w:rPr>
                <w:rFonts w:eastAsia="Calibri"/>
              </w:rPr>
              <w:t>Parental upbringing</w:t>
            </w:r>
          </w:p>
        </w:tc>
        <w:tc>
          <w:tcPr>
            <w:tcW w:w="1530" w:type="dxa"/>
            <w:tcBorders>
              <w:top w:val="single" w:sz="4" w:space="0" w:color="auto"/>
            </w:tcBorders>
          </w:tcPr>
          <w:p w:rsidR="00920BE8" w:rsidRPr="00C25D1A" w:rsidRDefault="00920BE8" w:rsidP="00920BE8">
            <w:pPr>
              <w:pStyle w:val="TableBodyinclColHeads"/>
              <w:rPr>
                <w:rFonts w:eastAsia="Calibri"/>
              </w:rPr>
            </w:pPr>
          </w:p>
        </w:tc>
        <w:tc>
          <w:tcPr>
            <w:tcW w:w="1710" w:type="dxa"/>
            <w:tcBorders>
              <w:top w:val="single" w:sz="4" w:space="0" w:color="auto"/>
            </w:tcBorders>
          </w:tcPr>
          <w:p w:rsidR="00920BE8" w:rsidRPr="00C25D1A" w:rsidRDefault="00920BE8" w:rsidP="00920BE8">
            <w:pPr>
              <w:pStyle w:val="TableBodyinclColHeads"/>
              <w:rPr>
                <w:rFonts w:eastAsia="Calibri"/>
              </w:rPr>
            </w:pPr>
          </w:p>
        </w:tc>
        <w:tc>
          <w:tcPr>
            <w:tcW w:w="1350" w:type="dxa"/>
            <w:tcBorders>
              <w:top w:val="single" w:sz="4" w:space="0" w:color="auto"/>
            </w:tcBorders>
          </w:tcPr>
          <w:p w:rsidR="00920BE8" w:rsidRPr="00C25D1A" w:rsidRDefault="00920BE8" w:rsidP="00920BE8">
            <w:pPr>
              <w:pStyle w:val="TableBodyinclColHeads"/>
              <w:rPr>
                <w:rFonts w:eastAsia="Calibri"/>
              </w:rPr>
            </w:pPr>
          </w:p>
        </w:tc>
        <w:tc>
          <w:tcPr>
            <w:tcW w:w="1530" w:type="dxa"/>
            <w:tcBorders>
              <w:top w:val="single" w:sz="4" w:space="0" w:color="auto"/>
            </w:tcBorders>
          </w:tcPr>
          <w:p w:rsidR="00920BE8" w:rsidRPr="00C25D1A" w:rsidRDefault="00920BE8" w:rsidP="00920BE8">
            <w:pPr>
              <w:pStyle w:val="TableBodyinclColHeads"/>
              <w:rPr>
                <w:rFonts w:eastAsia="Calibri"/>
              </w:rPr>
            </w:pPr>
          </w:p>
        </w:tc>
      </w:tr>
      <w:tr w:rsidR="00920BE8" w:rsidRPr="00C25D1A" w:rsidTr="00920BE8">
        <w:tc>
          <w:tcPr>
            <w:tcW w:w="3708" w:type="dxa"/>
          </w:tcPr>
          <w:p w:rsidR="00920BE8" w:rsidRPr="00C25D1A" w:rsidRDefault="00920BE8" w:rsidP="00920BE8">
            <w:pPr>
              <w:pStyle w:val="TableBodyinclColHeads"/>
              <w:rPr>
                <w:rFonts w:eastAsia="Calibri"/>
              </w:rPr>
            </w:pPr>
            <w:r>
              <w:rPr>
                <w:rFonts w:eastAsia="Calibri"/>
              </w:rPr>
              <w:t xml:space="preserve">   </w:t>
            </w:r>
            <w:r w:rsidRPr="00C25D1A">
              <w:rPr>
                <w:rFonts w:eastAsia="Calibri"/>
              </w:rPr>
              <w:t>Both parents</w:t>
            </w:r>
          </w:p>
        </w:tc>
        <w:tc>
          <w:tcPr>
            <w:tcW w:w="1530" w:type="dxa"/>
          </w:tcPr>
          <w:p w:rsidR="00920BE8" w:rsidRPr="00C25D1A" w:rsidRDefault="00920BE8" w:rsidP="00920BE8">
            <w:pPr>
              <w:pStyle w:val="TableBodyinclColHeads"/>
              <w:rPr>
                <w:rFonts w:eastAsia="Calibri"/>
              </w:rPr>
            </w:pPr>
            <w:r w:rsidRPr="00C25D1A">
              <w:rPr>
                <w:rFonts w:eastAsia="Calibri"/>
              </w:rPr>
              <w:t>44</w:t>
            </w:r>
            <w:r>
              <w:rPr>
                <w:rFonts w:eastAsia="Calibri"/>
              </w:rPr>
              <w:t xml:space="preserve"> (</w:t>
            </w:r>
            <w:r w:rsidRPr="00C25D1A">
              <w:rPr>
                <w:rFonts w:eastAsia="Calibri"/>
              </w:rPr>
              <w:t>47.8)</w:t>
            </w:r>
          </w:p>
        </w:tc>
        <w:tc>
          <w:tcPr>
            <w:tcW w:w="1710" w:type="dxa"/>
          </w:tcPr>
          <w:p w:rsidR="00920BE8" w:rsidRPr="00C25D1A" w:rsidRDefault="00920BE8" w:rsidP="00920BE8">
            <w:pPr>
              <w:pStyle w:val="TableBodyinclColHeads"/>
              <w:rPr>
                <w:rFonts w:eastAsia="Calibri"/>
              </w:rPr>
            </w:pPr>
            <w:r w:rsidRPr="00C25D1A">
              <w:rPr>
                <w:rFonts w:eastAsia="Calibri"/>
              </w:rPr>
              <w:t>48</w:t>
            </w:r>
            <w:r>
              <w:rPr>
                <w:rFonts w:eastAsia="Calibri"/>
              </w:rPr>
              <w:t xml:space="preserve"> (</w:t>
            </w:r>
            <w:r w:rsidRPr="00C25D1A">
              <w:rPr>
                <w:rFonts w:eastAsia="Calibri"/>
              </w:rPr>
              <w:t>52.2)</w:t>
            </w:r>
          </w:p>
        </w:tc>
        <w:tc>
          <w:tcPr>
            <w:tcW w:w="1350" w:type="dxa"/>
          </w:tcPr>
          <w:p w:rsidR="00920BE8" w:rsidRPr="00C25D1A" w:rsidRDefault="00920BE8" w:rsidP="00920BE8">
            <w:pPr>
              <w:pStyle w:val="TableBodyinclColHeads"/>
              <w:rPr>
                <w:rFonts w:eastAsia="Calibri"/>
              </w:rPr>
            </w:pPr>
            <w:r w:rsidRPr="00C25D1A">
              <w:rPr>
                <w:rFonts w:eastAsia="Calibri"/>
              </w:rPr>
              <w:t>1.00</w:t>
            </w:r>
          </w:p>
        </w:tc>
        <w:tc>
          <w:tcPr>
            <w:tcW w:w="1530" w:type="dxa"/>
          </w:tcPr>
          <w:p w:rsidR="00920BE8" w:rsidRPr="00C25D1A" w:rsidRDefault="00920BE8" w:rsidP="00920BE8">
            <w:pPr>
              <w:pStyle w:val="TableBodyinclColHeads"/>
              <w:rPr>
                <w:rFonts w:eastAsia="Calibri"/>
              </w:rPr>
            </w:pPr>
          </w:p>
        </w:tc>
      </w:tr>
      <w:tr w:rsidR="00920BE8" w:rsidRPr="00C25D1A" w:rsidTr="00920BE8">
        <w:tc>
          <w:tcPr>
            <w:tcW w:w="3708" w:type="dxa"/>
          </w:tcPr>
          <w:p w:rsidR="00920BE8" w:rsidRPr="00C25D1A" w:rsidRDefault="00920BE8" w:rsidP="00920BE8">
            <w:pPr>
              <w:pStyle w:val="TableBodyinclColHeads"/>
              <w:rPr>
                <w:rFonts w:eastAsia="Calibri"/>
              </w:rPr>
            </w:pPr>
            <w:r>
              <w:rPr>
                <w:rFonts w:eastAsia="Calibri"/>
              </w:rPr>
              <w:t xml:space="preserve">   </w:t>
            </w:r>
            <w:r w:rsidRPr="00C25D1A">
              <w:rPr>
                <w:rFonts w:eastAsia="Calibri"/>
              </w:rPr>
              <w:t>Single parent</w:t>
            </w:r>
          </w:p>
        </w:tc>
        <w:tc>
          <w:tcPr>
            <w:tcW w:w="1530" w:type="dxa"/>
          </w:tcPr>
          <w:p w:rsidR="00920BE8" w:rsidRPr="00C25D1A" w:rsidRDefault="00920BE8" w:rsidP="00920BE8">
            <w:pPr>
              <w:pStyle w:val="TableBodyinclColHeads"/>
              <w:rPr>
                <w:rFonts w:eastAsia="Calibri"/>
              </w:rPr>
            </w:pPr>
            <w:r w:rsidRPr="00C25D1A">
              <w:rPr>
                <w:rFonts w:eastAsia="Calibri"/>
              </w:rPr>
              <w:t>19</w:t>
            </w:r>
            <w:r>
              <w:rPr>
                <w:rFonts w:eastAsia="Calibri"/>
              </w:rPr>
              <w:t xml:space="preserve"> (</w:t>
            </w:r>
            <w:r w:rsidRPr="00C25D1A">
              <w:rPr>
                <w:rFonts w:eastAsia="Calibri"/>
              </w:rPr>
              <w:t>70.4)</w:t>
            </w:r>
          </w:p>
        </w:tc>
        <w:tc>
          <w:tcPr>
            <w:tcW w:w="1710" w:type="dxa"/>
          </w:tcPr>
          <w:p w:rsidR="00920BE8" w:rsidRPr="00C25D1A" w:rsidRDefault="00920BE8" w:rsidP="00920BE8">
            <w:pPr>
              <w:pStyle w:val="TableBodyinclColHeads"/>
              <w:rPr>
                <w:rFonts w:eastAsia="Calibri"/>
              </w:rPr>
            </w:pPr>
            <w:r w:rsidRPr="00C25D1A">
              <w:rPr>
                <w:rFonts w:eastAsia="Calibri"/>
              </w:rPr>
              <w:t>8</w:t>
            </w:r>
            <w:r>
              <w:rPr>
                <w:rFonts w:eastAsia="Calibri"/>
              </w:rPr>
              <w:t xml:space="preserve"> (</w:t>
            </w:r>
            <w:r w:rsidRPr="00C25D1A">
              <w:rPr>
                <w:rFonts w:eastAsia="Calibri"/>
              </w:rPr>
              <w:t>29.6)</w:t>
            </w:r>
          </w:p>
        </w:tc>
        <w:tc>
          <w:tcPr>
            <w:tcW w:w="1350" w:type="dxa"/>
          </w:tcPr>
          <w:p w:rsidR="00920BE8" w:rsidRPr="00C25D1A" w:rsidRDefault="00920BE8" w:rsidP="00920BE8">
            <w:pPr>
              <w:pStyle w:val="TableBodyinclColHeads"/>
              <w:rPr>
                <w:rFonts w:eastAsia="Calibri"/>
              </w:rPr>
            </w:pPr>
            <w:r w:rsidRPr="00C25D1A">
              <w:rPr>
                <w:rFonts w:eastAsia="Calibri"/>
              </w:rPr>
              <w:t>2.59</w:t>
            </w:r>
          </w:p>
        </w:tc>
        <w:tc>
          <w:tcPr>
            <w:tcW w:w="1530" w:type="dxa"/>
          </w:tcPr>
          <w:p w:rsidR="00920BE8" w:rsidRPr="00C25D1A" w:rsidRDefault="00920BE8" w:rsidP="00920BE8">
            <w:pPr>
              <w:pStyle w:val="TableBodyinclColHeads"/>
              <w:rPr>
                <w:rFonts w:eastAsia="Calibri"/>
              </w:rPr>
            </w:pPr>
            <w:r w:rsidRPr="00C25D1A">
              <w:rPr>
                <w:rFonts w:eastAsia="Calibri"/>
              </w:rPr>
              <w:t>1.05</w:t>
            </w:r>
            <w:r>
              <w:rPr>
                <w:rFonts w:eastAsia="Calibri"/>
              </w:rPr>
              <w:t>–</w:t>
            </w:r>
            <w:r w:rsidRPr="00C25D1A">
              <w:rPr>
                <w:rFonts w:eastAsia="Calibri"/>
              </w:rPr>
              <w:t>6.42*</w:t>
            </w:r>
          </w:p>
        </w:tc>
      </w:tr>
      <w:tr w:rsidR="00920BE8" w:rsidRPr="00C25D1A" w:rsidTr="00920BE8">
        <w:tc>
          <w:tcPr>
            <w:tcW w:w="3708" w:type="dxa"/>
          </w:tcPr>
          <w:p w:rsidR="00920BE8" w:rsidRPr="00C25D1A" w:rsidRDefault="00920BE8" w:rsidP="00920BE8">
            <w:pPr>
              <w:pStyle w:val="TableBodyinclColHeads"/>
              <w:rPr>
                <w:rFonts w:eastAsia="Calibri"/>
              </w:rPr>
            </w:pPr>
            <w:r w:rsidRPr="00C25D1A">
              <w:rPr>
                <w:rFonts w:eastAsia="Calibri"/>
              </w:rPr>
              <w:t>Family type</w:t>
            </w:r>
          </w:p>
        </w:tc>
        <w:tc>
          <w:tcPr>
            <w:tcW w:w="1530" w:type="dxa"/>
          </w:tcPr>
          <w:p w:rsidR="00920BE8" w:rsidRPr="00C25D1A" w:rsidRDefault="00920BE8" w:rsidP="00920BE8">
            <w:pPr>
              <w:pStyle w:val="TableBodyinclColHeads"/>
              <w:rPr>
                <w:rFonts w:eastAsia="Calibri"/>
              </w:rPr>
            </w:pPr>
          </w:p>
        </w:tc>
        <w:tc>
          <w:tcPr>
            <w:tcW w:w="1710" w:type="dxa"/>
          </w:tcPr>
          <w:p w:rsidR="00920BE8" w:rsidRPr="00C25D1A" w:rsidRDefault="00920BE8" w:rsidP="00920BE8">
            <w:pPr>
              <w:pStyle w:val="TableBodyinclColHeads"/>
              <w:rPr>
                <w:rFonts w:eastAsia="Calibri"/>
              </w:rPr>
            </w:pPr>
          </w:p>
        </w:tc>
        <w:tc>
          <w:tcPr>
            <w:tcW w:w="1350" w:type="dxa"/>
          </w:tcPr>
          <w:p w:rsidR="00920BE8" w:rsidRPr="00C25D1A" w:rsidRDefault="00920BE8" w:rsidP="00920BE8">
            <w:pPr>
              <w:pStyle w:val="TableBodyinclColHeads"/>
              <w:rPr>
                <w:rFonts w:eastAsia="Calibri"/>
              </w:rPr>
            </w:pPr>
          </w:p>
        </w:tc>
        <w:tc>
          <w:tcPr>
            <w:tcW w:w="1530" w:type="dxa"/>
          </w:tcPr>
          <w:p w:rsidR="00920BE8" w:rsidRPr="00C25D1A" w:rsidRDefault="00920BE8" w:rsidP="00920BE8">
            <w:pPr>
              <w:pStyle w:val="TableBodyinclColHeads"/>
              <w:rPr>
                <w:rFonts w:eastAsia="Calibri"/>
              </w:rPr>
            </w:pPr>
          </w:p>
        </w:tc>
      </w:tr>
      <w:tr w:rsidR="00920BE8" w:rsidRPr="00C25D1A" w:rsidTr="00920BE8">
        <w:tc>
          <w:tcPr>
            <w:tcW w:w="3708" w:type="dxa"/>
          </w:tcPr>
          <w:p w:rsidR="00920BE8" w:rsidRPr="00C25D1A" w:rsidRDefault="00920BE8" w:rsidP="00920BE8">
            <w:pPr>
              <w:pStyle w:val="TableBodyinclColHeads"/>
              <w:rPr>
                <w:rFonts w:eastAsia="Calibri"/>
              </w:rPr>
            </w:pPr>
            <w:r>
              <w:rPr>
                <w:rFonts w:eastAsia="Calibri"/>
              </w:rPr>
              <w:t xml:space="preserve">   </w:t>
            </w:r>
            <w:r w:rsidRPr="00C25D1A">
              <w:rPr>
                <w:rFonts w:eastAsia="Calibri"/>
              </w:rPr>
              <w:t>Monogamous</w:t>
            </w:r>
          </w:p>
        </w:tc>
        <w:tc>
          <w:tcPr>
            <w:tcW w:w="1530" w:type="dxa"/>
          </w:tcPr>
          <w:p w:rsidR="00920BE8" w:rsidRPr="00C25D1A" w:rsidRDefault="00920BE8" w:rsidP="00920BE8">
            <w:pPr>
              <w:pStyle w:val="TableBodyinclColHeads"/>
              <w:rPr>
                <w:rFonts w:eastAsia="Calibri"/>
              </w:rPr>
            </w:pPr>
            <w:r w:rsidRPr="00C25D1A">
              <w:rPr>
                <w:rFonts w:eastAsia="Calibri"/>
              </w:rPr>
              <w:t>36</w:t>
            </w:r>
            <w:r>
              <w:rPr>
                <w:rFonts w:eastAsia="Calibri"/>
              </w:rPr>
              <w:t xml:space="preserve"> (</w:t>
            </w:r>
            <w:r w:rsidRPr="00C25D1A">
              <w:rPr>
                <w:rFonts w:eastAsia="Calibri"/>
              </w:rPr>
              <w:t>49.3)</w:t>
            </w:r>
          </w:p>
        </w:tc>
        <w:tc>
          <w:tcPr>
            <w:tcW w:w="1710" w:type="dxa"/>
          </w:tcPr>
          <w:p w:rsidR="00920BE8" w:rsidRPr="00C25D1A" w:rsidRDefault="00920BE8" w:rsidP="00920BE8">
            <w:pPr>
              <w:pStyle w:val="TableBodyinclColHeads"/>
              <w:rPr>
                <w:rFonts w:eastAsia="Calibri"/>
              </w:rPr>
            </w:pPr>
            <w:r w:rsidRPr="00C25D1A">
              <w:rPr>
                <w:rFonts w:eastAsia="Calibri"/>
              </w:rPr>
              <w:t>37</w:t>
            </w:r>
            <w:r>
              <w:rPr>
                <w:rFonts w:eastAsia="Calibri"/>
              </w:rPr>
              <w:t xml:space="preserve"> (</w:t>
            </w:r>
            <w:r w:rsidRPr="00C25D1A">
              <w:rPr>
                <w:rFonts w:eastAsia="Calibri"/>
              </w:rPr>
              <w:t>50.7)</w:t>
            </w:r>
          </w:p>
        </w:tc>
        <w:tc>
          <w:tcPr>
            <w:tcW w:w="1350" w:type="dxa"/>
          </w:tcPr>
          <w:p w:rsidR="00920BE8" w:rsidRPr="00C25D1A" w:rsidRDefault="00920BE8" w:rsidP="00920BE8">
            <w:pPr>
              <w:pStyle w:val="TableBodyinclColHeads"/>
              <w:rPr>
                <w:rFonts w:eastAsia="Calibri"/>
              </w:rPr>
            </w:pPr>
            <w:r w:rsidRPr="00C25D1A">
              <w:rPr>
                <w:rFonts w:eastAsia="Calibri"/>
              </w:rPr>
              <w:t>1.00</w:t>
            </w:r>
          </w:p>
        </w:tc>
        <w:tc>
          <w:tcPr>
            <w:tcW w:w="1530" w:type="dxa"/>
          </w:tcPr>
          <w:p w:rsidR="00920BE8" w:rsidRPr="00C25D1A" w:rsidRDefault="00920BE8" w:rsidP="00920BE8">
            <w:pPr>
              <w:pStyle w:val="TableBodyinclColHeads"/>
              <w:rPr>
                <w:rFonts w:eastAsia="Calibri"/>
              </w:rPr>
            </w:pPr>
          </w:p>
        </w:tc>
      </w:tr>
      <w:tr w:rsidR="00920BE8" w:rsidRPr="00C25D1A" w:rsidTr="00920BE8">
        <w:tc>
          <w:tcPr>
            <w:tcW w:w="3708" w:type="dxa"/>
          </w:tcPr>
          <w:p w:rsidR="00920BE8" w:rsidRPr="00C25D1A" w:rsidRDefault="00920BE8" w:rsidP="00920BE8">
            <w:pPr>
              <w:pStyle w:val="TableBodyinclColHeads"/>
              <w:rPr>
                <w:rFonts w:eastAsia="Calibri"/>
              </w:rPr>
            </w:pPr>
            <w:r>
              <w:rPr>
                <w:rFonts w:eastAsia="Calibri"/>
              </w:rPr>
              <w:t xml:space="preserve">   </w:t>
            </w:r>
            <w:r w:rsidRPr="00C25D1A">
              <w:rPr>
                <w:rFonts w:eastAsia="Calibri"/>
              </w:rPr>
              <w:t>Polygamous</w:t>
            </w:r>
          </w:p>
        </w:tc>
        <w:tc>
          <w:tcPr>
            <w:tcW w:w="1530" w:type="dxa"/>
          </w:tcPr>
          <w:p w:rsidR="00920BE8" w:rsidRPr="00C25D1A" w:rsidRDefault="00920BE8" w:rsidP="00920BE8">
            <w:pPr>
              <w:pStyle w:val="TableBodyinclColHeads"/>
              <w:rPr>
                <w:rFonts w:eastAsia="Calibri"/>
              </w:rPr>
            </w:pPr>
            <w:r w:rsidRPr="00C25D1A">
              <w:rPr>
                <w:rFonts w:eastAsia="Calibri"/>
              </w:rPr>
              <w:t>27</w:t>
            </w:r>
            <w:r>
              <w:rPr>
                <w:rFonts w:eastAsia="Calibri"/>
              </w:rPr>
              <w:t xml:space="preserve"> (</w:t>
            </w:r>
            <w:r w:rsidRPr="00C25D1A">
              <w:rPr>
                <w:rFonts w:eastAsia="Calibri"/>
              </w:rPr>
              <w:t>58.7)</w:t>
            </w:r>
          </w:p>
        </w:tc>
        <w:tc>
          <w:tcPr>
            <w:tcW w:w="1710" w:type="dxa"/>
          </w:tcPr>
          <w:p w:rsidR="00920BE8" w:rsidRPr="00C25D1A" w:rsidRDefault="00920BE8" w:rsidP="00920BE8">
            <w:pPr>
              <w:pStyle w:val="TableBodyinclColHeads"/>
              <w:rPr>
                <w:rFonts w:eastAsia="Calibri"/>
              </w:rPr>
            </w:pPr>
            <w:r w:rsidRPr="00C25D1A">
              <w:rPr>
                <w:rFonts w:eastAsia="Calibri"/>
              </w:rPr>
              <w:t>19</w:t>
            </w:r>
            <w:r>
              <w:rPr>
                <w:rFonts w:eastAsia="Calibri"/>
              </w:rPr>
              <w:t xml:space="preserve"> (</w:t>
            </w:r>
            <w:r w:rsidRPr="00C25D1A">
              <w:rPr>
                <w:rFonts w:eastAsia="Calibri"/>
              </w:rPr>
              <w:t>41.3)</w:t>
            </w:r>
          </w:p>
        </w:tc>
        <w:tc>
          <w:tcPr>
            <w:tcW w:w="1350" w:type="dxa"/>
          </w:tcPr>
          <w:p w:rsidR="00920BE8" w:rsidRPr="00C25D1A" w:rsidRDefault="00920BE8" w:rsidP="00920BE8">
            <w:pPr>
              <w:pStyle w:val="TableBodyinclColHeads"/>
              <w:rPr>
                <w:rFonts w:eastAsia="Calibri"/>
              </w:rPr>
            </w:pPr>
            <w:r w:rsidRPr="00C25D1A">
              <w:rPr>
                <w:rFonts w:eastAsia="Calibri"/>
              </w:rPr>
              <w:t>0.69</w:t>
            </w:r>
          </w:p>
        </w:tc>
        <w:tc>
          <w:tcPr>
            <w:tcW w:w="1530" w:type="dxa"/>
          </w:tcPr>
          <w:p w:rsidR="00920BE8" w:rsidRPr="00C25D1A" w:rsidRDefault="00920BE8" w:rsidP="00920BE8">
            <w:pPr>
              <w:pStyle w:val="TableBodyinclColHeads"/>
              <w:rPr>
                <w:rFonts w:eastAsia="Calibri"/>
              </w:rPr>
            </w:pPr>
            <w:r w:rsidRPr="00C25D1A">
              <w:rPr>
                <w:rFonts w:eastAsia="Calibri"/>
              </w:rPr>
              <w:t>0.33</w:t>
            </w:r>
            <w:r>
              <w:rPr>
                <w:rFonts w:eastAsia="Calibri"/>
              </w:rPr>
              <w:t>–</w:t>
            </w:r>
            <w:r w:rsidRPr="00C25D1A">
              <w:rPr>
                <w:rFonts w:eastAsia="Calibri"/>
              </w:rPr>
              <w:t>1.43</w:t>
            </w:r>
          </w:p>
        </w:tc>
      </w:tr>
      <w:tr w:rsidR="00920BE8" w:rsidRPr="00C25D1A" w:rsidTr="00920BE8">
        <w:tc>
          <w:tcPr>
            <w:tcW w:w="3708" w:type="dxa"/>
          </w:tcPr>
          <w:p w:rsidR="00920BE8" w:rsidRPr="00C25D1A" w:rsidRDefault="00920BE8" w:rsidP="00920BE8">
            <w:pPr>
              <w:pStyle w:val="TableBodyinclColHeads"/>
              <w:rPr>
                <w:rFonts w:eastAsia="Calibri"/>
              </w:rPr>
            </w:pPr>
            <w:r w:rsidRPr="00C25D1A">
              <w:rPr>
                <w:rFonts w:eastAsia="Calibri"/>
              </w:rPr>
              <w:t>Parental discipline</w:t>
            </w:r>
          </w:p>
        </w:tc>
        <w:tc>
          <w:tcPr>
            <w:tcW w:w="1530" w:type="dxa"/>
          </w:tcPr>
          <w:p w:rsidR="00920BE8" w:rsidRPr="00C25D1A" w:rsidRDefault="00920BE8" w:rsidP="00920BE8">
            <w:pPr>
              <w:pStyle w:val="TableBodyinclColHeads"/>
              <w:rPr>
                <w:rFonts w:eastAsia="Calibri"/>
              </w:rPr>
            </w:pPr>
          </w:p>
        </w:tc>
        <w:tc>
          <w:tcPr>
            <w:tcW w:w="1710" w:type="dxa"/>
          </w:tcPr>
          <w:p w:rsidR="00920BE8" w:rsidRPr="00C25D1A" w:rsidRDefault="00920BE8" w:rsidP="00920BE8">
            <w:pPr>
              <w:pStyle w:val="TableBodyinclColHeads"/>
              <w:rPr>
                <w:rFonts w:eastAsia="Calibri"/>
              </w:rPr>
            </w:pPr>
          </w:p>
        </w:tc>
        <w:tc>
          <w:tcPr>
            <w:tcW w:w="1350" w:type="dxa"/>
          </w:tcPr>
          <w:p w:rsidR="00920BE8" w:rsidRPr="00C25D1A" w:rsidRDefault="00920BE8" w:rsidP="00920BE8">
            <w:pPr>
              <w:pStyle w:val="TableBodyinclColHeads"/>
              <w:rPr>
                <w:rFonts w:eastAsia="Calibri"/>
              </w:rPr>
            </w:pPr>
          </w:p>
        </w:tc>
        <w:tc>
          <w:tcPr>
            <w:tcW w:w="1530" w:type="dxa"/>
          </w:tcPr>
          <w:p w:rsidR="00920BE8" w:rsidRPr="00C25D1A" w:rsidRDefault="00920BE8" w:rsidP="00920BE8">
            <w:pPr>
              <w:pStyle w:val="TableBodyinclColHeads"/>
              <w:rPr>
                <w:rFonts w:eastAsia="Calibri"/>
              </w:rPr>
            </w:pPr>
          </w:p>
        </w:tc>
      </w:tr>
      <w:tr w:rsidR="00920BE8" w:rsidRPr="00C25D1A" w:rsidTr="00920BE8">
        <w:tc>
          <w:tcPr>
            <w:tcW w:w="3708" w:type="dxa"/>
          </w:tcPr>
          <w:p w:rsidR="00920BE8" w:rsidRPr="00C25D1A" w:rsidRDefault="00920BE8" w:rsidP="00920BE8">
            <w:pPr>
              <w:pStyle w:val="TableBodyinclColHeads"/>
              <w:rPr>
                <w:rFonts w:eastAsia="Calibri"/>
              </w:rPr>
            </w:pPr>
            <w:r>
              <w:rPr>
                <w:rFonts w:eastAsia="Calibri"/>
              </w:rPr>
              <w:t xml:space="preserve">   </w:t>
            </w:r>
            <w:r w:rsidRPr="00C25D1A">
              <w:rPr>
                <w:rFonts w:eastAsia="Calibri"/>
              </w:rPr>
              <w:t>Strict</w:t>
            </w:r>
          </w:p>
        </w:tc>
        <w:tc>
          <w:tcPr>
            <w:tcW w:w="1530" w:type="dxa"/>
          </w:tcPr>
          <w:p w:rsidR="00920BE8" w:rsidRPr="00C25D1A" w:rsidRDefault="00920BE8" w:rsidP="00920BE8">
            <w:pPr>
              <w:pStyle w:val="TableBodyinclColHeads"/>
              <w:rPr>
                <w:rFonts w:eastAsia="Calibri"/>
              </w:rPr>
            </w:pPr>
            <w:r w:rsidRPr="00C25D1A">
              <w:rPr>
                <w:rFonts w:eastAsia="Calibri"/>
              </w:rPr>
              <w:t>17</w:t>
            </w:r>
            <w:r>
              <w:rPr>
                <w:rFonts w:eastAsia="Calibri"/>
              </w:rPr>
              <w:t xml:space="preserve"> (</w:t>
            </w:r>
            <w:r w:rsidRPr="00C25D1A">
              <w:rPr>
                <w:rFonts w:eastAsia="Calibri"/>
              </w:rPr>
              <w:t>41.5)</w:t>
            </w:r>
          </w:p>
        </w:tc>
        <w:tc>
          <w:tcPr>
            <w:tcW w:w="1710" w:type="dxa"/>
          </w:tcPr>
          <w:p w:rsidR="00920BE8" w:rsidRPr="00C25D1A" w:rsidRDefault="00920BE8" w:rsidP="00920BE8">
            <w:pPr>
              <w:pStyle w:val="TableBodyinclColHeads"/>
              <w:rPr>
                <w:rFonts w:eastAsia="Calibri"/>
              </w:rPr>
            </w:pPr>
            <w:r w:rsidRPr="00C25D1A">
              <w:rPr>
                <w:rFonts w:eastAsia="Calibri"/>
              </w:rPr>
              <w:t>24</w:t>
            </w:r>
            <w:r>
              <w:rPr>
                <w:rFonts w:eastAsia="Calibri"/>
              </w:rPr>
              <w:t xml:space="preserve"> (</w:t>
            </w:r>
            <w:r w:rsidRPr="00C25D1A">
              <w:rPr>
                <w:rFonts w:eastAsia="Calibri"/>
              </w:rPr>
              <w:t>58.5)</w:t>
            </w:r>
          </w:p>
        </w:tc>
        <w:tc>
          <w:tcPr>
            <w:tcW w:w="1350" w:type="dxa"/>
          </w:tcPr>
          <w:p w:rsidR="00920BE8" w:rsidRPr="00C25D1A" w:rsidRDefault="00920BE8" w:rsidP="00920BE8">
            <w:pPr>
              <w:pStyle w:val="TableBodyinclColHeads"/>
              <w:rPr>
                <w:rFonts w:eastAsia="Calibri"/>
              </w:rPr>
            </w:pPr>
            <w:r w:rsidRPr="00C25D1A">
              <w:rPr>
                <w:rFonts w:eastAsia="Calibri"/>
              </w:rPr>
              <w:t>1.81</w:t>
            </w:r>
          </w:p>
        </w:tc>
        <w:tc>
          <w:tcPr>
            <w:tcW w:w="1530" w:type="dxa"/>
          </w:tcPr>
          <w:p w:rsidR="00920BE8" w:rsidRPr="00C25D1A" w:rsidRDefault="00920BE8" w:rsidP="00920BE8">
            <w:pPr>
              <w:pStyle w:val="TableBodyinclColHeads"/>
              <w:rPr>
                <w:rFonts w:eastAsia="Calibri"/>
              </w:rPr>
            </w:pPr>
            <w:r w:rsidRPr="00C25D1A">
              <w:rPr>
                <w:rFonts w:eastAsia="Calibri"/>
              </w:rPr>
              <w:t>0.85</w:t>
            </w:r>
            <w:r>
              <w:rPr>
                <w:rFonts w:eastAsia="Calibri"/>
              </w:rPr>
              <w:t>–</w:t>
            </w:r>
            <w:r w:rsidRPr="00C25D1A">
              <w:rPr>
                <w:rFonts w:eastAsia="Calibri"/>
              </w:rPr>
              <w:t>3.98</w:t>
            </w:r>
          </w:p>
        </w:tc>
      </w:tr>
      <w:tr w:rsidR="00920BE8" w:rsidRPr="00C25D1A" w:rsidTr="00920BE8">
        <w:tc>
          <w:tcPr>
            <w:tcW w:w="3708" w:type="dxa"/>
          </w:tcPr>
          <w:p w:rsidR="00920BE8" w:rsidRPr="00C25D1A" w:rsidRDefault="00920BE8" w:rsidP="00920BE8">
            <w:pPr>
              <w:pStyle w:val="TableBodyinclColHeads"/>
              <w:rPr>
                <w:rFonts w:eastAsia="Calibri"/>
              </w:rPr>
            </w:pPr>
            <w:r>
              <w:rPr>
                <w:rFonts w:eastAsia="Calibri"/>
              </w:rPr>
              <w:t xml:space="preserve">   </w:t>
            </w:r>
            <w:r w:rsidRPr="00C25D1A">
              <w:rPr>
                <w:rFonts w:eastAsia="Calibri"/>
              </w:rPr>
              <w:t>Average</w:t>
            </w:r>
          </w:p>
        </w:tc>
        <w:tc>
          <w:tcPr>
            <w:tcW w:w="1530" w:type="dxa"/>
          </w:tcPr>
          <w:p w:rsidR="00920BE8" w:rsidRPr="00C25D1A" w:rsidRDefault="00920BE8" w:rsidP="00920BE8">
            <w:pPr>
              <w:pStyle w:val="TableBodyinclColHeads"/>
              <w:rPr>
                <w:rFonts w:eastAsia="Calibri"/>
              </w:rPr>
            </w:pPr>
            <w:r w:rsidRPr="00C25D1A">
              <w:rPr>
                <w:rFonts w:eastAsia="Calibri"/>
              </w:rPr>
              <w:t>39</w:t>
            </w:r>
            <w:r>
              <w:rPr>
                <w:rFonts w:eastAsia="Calibri"/>
              </w:rPr>
              <w:t xml:space="preserve"> (</w:t>
            </w:r>
            <w:r w:rsidRPr="00C25D1A">
              <w:rPr>
                <w:rFonts w:eastAsia="Calibri"/>
              </w:rPr>
              <w:t>56.5)</w:t>
            </w:r>
          </w:p>
        </w:tc>
        <w:tc>
          <w:tcPr>
            <w:tcW w:w="1710" w:type="dxa"/>
          </w:tcPr>
          <w:p w:rsidR="00920BE8" w:rsidRPr="00C25D1A" w:rsidRDefault="00920BE8" w:rsidP="00920BE8">
            <w:pPr>
              <w:pStyle w:val="TableBodyinclColHeads"/>
              <w:rPr>
                <w:rFonts w:eastAsia="Calibri"/>
              </w:rPr>
            </w:pPr>
            <w:r w:rsidRPr="00C25D1A">
              <w:rPr>
                <w:rFonts w:eastAsia="Calibri"/>
              </w:rPr>
              <w:t>30</w:t>
            </w:r>
            <w:r>
              <w:rPr>
                <w:rFonts w:eastAsia="Calibri"/>
              </w:rPr>
              <w:t xml:space="preserve"> (</w:t>
            </w:r>
            <w:r w:rsidRPr="00C25D1A">
              <w:rPr>
                <w:rFonts w:eastAsia="Calibri"/>
              </w:rPr>
              <w:t>43.5)</w:t>
            </w:r>
          </w:p>
        </w:tc>
        <w:tc>
          <w:tcPr>
            <w:tcW w:w="1350" w:type="dxa"/>
          </w:tcPr>
          <w:p w:rsidR="00920BE8" w:rsidRPr="00C25D1A" w:rsidRDefault="00920BE8" w:rsidP="00920BE8">
            <w:pPr>
              <w:pStyle w:val="TableBodyinclColHeads"/>
              <w:rPr>
                <w:rFonts w:eastAsia="Calibri"/>
              </w:rPr>
            </w:pPr>
            <w:r w:rsidRPr="00C25D1A">
              <w:rPr>
                <w:rFonts w:eastAsia="Calibri"/>
              </w:rPr>
              <w:t>1.00</w:t>
            </w:r>
          </w:p>
        </w:tc>
        <w:tc>
          <w:tcPr>
            <w:tcW w:w="1530" w:type="dxa"/>
          </w:tcPr>
          <w:p w:rsidR="00920BE8" w:rsidRPr="00C25D1A" w:rsidRDefault="00920BE8" w:rsidP="00920BE8">
            <w:pPr>
              <w:pStyle w:val="TableBodyinclColHeads"/>
              <w:rPr>
                <w:rFonts w:eastAsia="Calibri"/>
              </w:rPr>
            </w:pPr>
          </w:p>
        </w:tc>
      </w:tr>
      <w:tr w:rsidR="00920BE8" w:rsidRPr="00C25D1A" w:rsidTr="00920BE8">
        <w:tc>
          <w:tcPr>
            <w:tcW w:w="3708" w:type="dxa"/>
          </w:tcPr>
          <w:p w:rsidR="00920BE8" w:rsidRPr="00C25D1A" w:rsidRDefault="00920BE8" w:rsidP="00920BE8">
            <w:pPr>
              <w:pStyle w:val="TableBodyinclColHeads"/>
              <w:rPr>
                <w:rFonts w:eastAsia="Calibri"/>
              </w:rPr>
            </w:pPr>
            <w:r>
              <w:rPr>
                <w:rFonts w:eastAsia="Calibri"/>
              </w:rPr>
              <w:t xml:space="preserve">   </w:t>
            </w:r>
            <w:r w:rsidRPr="00C25D1A">
              <w:rPr>
                <w:rFonts w:eastAsia="Calibri"/>
              </w:rPr>
              <w:t>Relaxed</w:t>
            </w:r>
          </w:p>
        </w:tc>
        <w:tc>
          <w:tcPr>
            <w:tcW w:w="1530" w:type="dxa"/>
          </w:tcPr>
          <w:p w:rsidR="00920BE8" w:rsidRPr="00C25D1A" w:rsidRDefault="00920BE8" w:rsidP="00920BE8">
            <w:pPr>
              <w:pStyle w:val="TableBodyinclColHeads"/>
              <w:rPr>
                <w:rFonts w:eastAsia="Calibri"/>
              </w:rPr>
            </w:pPr>
            <w:r w:rsidRPr="00C25D1A">
              <w:rPr>
                <w:rFonts w:eastAsia="Calibri"/>
              </w:rPr>
              <w:t>7</w:t>
            </w:r>
            <w:r>
              <w:rPr>
                <w:rFonts w:eastAsia="Calibri"/>
              </w:rPr>
              <w:t xml:space="preserve"> (</w:t>
            </w:r>
            <w:r w:rsidRPr="00C25D1A">
              <w:rPr>
                <w:rFonts w:eastAsia="Calibri"/>
              </w:rPr>
              <w:t>77.8)</w:t>
            </w:r>
          </w:p>
        </w:tc>
        <w:tc>
          <w:tcPr>
            <w:tcW w:w="1710" w:type="dxa"/>
          </w:tcPr>
          <w:p w:rsidR="00920BE8" w:rsidRPr="00C25D1A" w:rsidRDefault="00920BE8" w:rsidP="00920BE8">
            <w:pPr>
              <w:pStyle w:val="TableBodyinclColHeads"/>
              <w:rPr>
                <w:rFonts w:eastAsia="Calibri"/>
              </w:rPr>
            </w:pPr>
            <w:r w:rsidRPr="00C25D1A">
              <w:rPr>
                <w:rFonts w:eastAsia="Calibri"/>
              </w:rPr>
              <w:t>2</w:t>
            </w:r>
            <w:r>
              <w:rPr>
                <w:rFonts w:eastAsia="Calibri"/>
              </w:rPr>
              <w:t xml:space="preserve"> (</w:t>
            </w:r>
            <w:r w:rsidRPr="00C25D1A">
              <w:rPr>
                <w:rFonts w:eastAsia="Calibri"/>
              </w:rPr>
              <w:t>22.3)</w:t>
            </w:r>
          </w:p>
        </w:tc>
        <w:tc>
          <w:tcPr>
            <w:tcW w:w="1350" w:type="dxa"/>
          </w:tcPr>
          <w:p w:rsidR="00920BE8" w:rsidRPr="00C25D1A" w:rsidRDefault="00920BE8" w:rsidP="00920BE8">
            <w:pPr>
              <w:pStyle w:val="TableBodyinclColHeads"/>
              <w:rPr>
                <w:rFonts w:eastAsia="Calibri"/>
              </w:rPr>
            </w:pPr>
            <w:r w:rsidRPr="00C25D1A">
              <w:rPr>
                <w:rFonts w:eastAsia="Calibri"/>
              </w:rPr>
              <w:t>0.43</w:t>
            </w:r>
          </w:p>
        </w:tc>
        <w:tc>
          <w:tcPr>
            <w:tcW w:w="1530" w:type="dxa"/>
          </w:tcPr>
          <w:p w:rsidR="00920BE8" w:rsidRPr="00C25D1A" w:rsidRDefault="00920BE8" w:rsidP="00920BE8">
            <w:pPr>
              <w:pStyle w:val="TableBodyinclColHeads"/>
              <w:rPr>
                <w:rFonts w:eastAsia="Calibri"/>
              </w:rPr>
            </w:pPr>
            <w:r w:rsidRPr="00C25D1A">
              <w:rPr>
                <w:rFonts w:eastAsia="Calibri"/>
              </w:rPr>
              <w:t>0.08</w:t>
            </w:r>
            <w:r>
              <w:rPr>
                <w:rFonts w:eastAsia="Calibri"/>
              </w:rPr>
              <w:t>–</w:t>
            </w:r>
            <w:r w:rsidRPr="00C25D1A">
              <w:rPr>
                <w:rFonts w:eastAsia="Calibri"/>
              </w:rPr>
              <w:t>1.76</w:t>
            </w:r>
          </w:p>
        </w:tc>
      </w:tr>
      <w:tr w:rsidR="00920BE8" w:rsidRPr="00C25D1A" w:rsidTr="00920BE8">
        <w:tc>
          <w:tcPr>
            <w:tcW w:w="3708" w:type="dxa"/>
          </w:tcPr>
          <w:p w:rsidR="00920BE8" w:rsidRPr="00C25D1A" w:rsidRDefault="00920BE8" w:rsidP="00920BE8">
            <w:pPr>
              <w:pStyle w:val="TableBodyinclColHeads"/>
              <w:rPr>
                <w:rFonts w:eastAsia="Calibri"/>
              </w:rPr>
            </w:pPr>
            <w:r w:rsidRPr="00C25D1A">
              <w:rPr>
                <w:rFonts w:eastAsia="Calibri"/>
              </w:rPr>
              <w:t>Feeling towards family</w:t>
            </w:r>
          </w:p>
        </w:tc>
        <w:tc>
          <w:tcPr>
            <w:tcW w:w="1530" w:type="dxa"/>
          </w:tcPr>
          <w:p w:rsidR="00920BE8" w:rsidRPr="00C25D1A" w:rsidRDefault="00920BE8" w:rsidP="00920BE8">
            <w:pPr>
              <w:pStyle w:val="TableBodyinclColHeads"/>
              <w:rPr>
                <w:rFonts w:eastAsia="Calibri"/>
              </w:rPr>
            </w:pPr>
          </w:p>
        </w:tc>
        <w:tc>
          <w:tcPr>
            <w:tcW w:w="1710" w:type="dxa"/>
          </w:tcPr>
          <w:p w:rsidR="00920BE8" w:rsidRPr="00C25D1A" w:rsidRDefault="00920BE8" w:rsidP="00920BE8">
            <w:pPr>
              <w:pStyle w:val="TableBodyinclColHeads"/>
              <w:rPr>
                <w:rFonts w:eastAsia="Calibri"/>
              </w:rPr>
            </w:pPr>
          </w:p>
        </w:tc>
        <w:tc>
          <w:tcPr>
            <w:tcW w:w="1350" w:type="dxa"/>
          </w:tcPr>
          <w:p w:rsidR="00920BE8" w:rsidRPr="00C25D1A" w:rsidRDefault="00920BE8" w:rsidP="00920BE8">
            <w:pPr>
              <w:pStyle w:val="TableBodyinclColHeads"/>
              <w:rPr>
                <w:rFonts w:eastAsia="Calibri"/>
              </w:rPr>
            </w:pPr>
          </w:p>
        </w:tc>
        <w:tc>
          <w:tcPr>
            <w:tcW w:w="1530" w:type="dxa"/>
          </w:tcPr>
          <w:p w:rsidR="00920BE8" w:rsidRPr="00C25D1A" w:rsidRDefault="00920BE8" w:rsidP="00920BE8">
            <w:pPr>
              <w:pStyle w:val="TableBodyinclColHeads"/>
              <w:rPr>
                <w:rFonts w:eastAsia="Calibri"/>
              </w:rPr>
            </w:pPr>
          </w:p>
        </w:tc>
      </w:tr>
      <w:tr w:rsidR="00920BE8" w:rsidRPr="00C25D1A" w:rsidTr="00920BE8">
        <w:tc>
          <w:tcPr>
            <w:tcW w:w="3708" w:type="dxa"/>
          </w:tcPr>
          <w:p w:rsidR="00920BE8" w:rsidRPr="00C25D1A" w:rsidRDefault="00920BE8" w:rsidP="00920BE8">
            <w:pPr>
              <w:pStyle w:val="TableBodyinclColHeads"/>
              <w:rPr>
                <w:rFonts w:eastAsia="Calibri"/>
              </w:rPr>
            </w:pPr>
            <w:r>
              <w:rPr>
                <w:rFonts w:eastAsia="Calibri"/>
              </w:rPr>
              <w:t xml:space="preserve">   </w:t>
            </w:r>
            <w:r w:rsidRPr="00C25D1A">
              <w:rPr>
                <w:rFonts w:eastAsia="Calibri"/>
              </w:rPr>
              <w:t>Very good</w:t>
            </w:r>
          </w:p>
        </w:tc>
        <w:tc>
          <w:tcPr>
            <w:tcW w:w="1530" w:type="dxa"/>
          </w:tcPr>
          <w:p w:rsidR="00920BE8" w:rsidRPr="00C25D1A" w:rsidRDefault="00920BE8" w:rsidP="00920BE8">
            <w:pPr>
              <w:pStyle w:val="TableBodyinclColHeads"/>
              <w:rPr>
                <w:rFonts w:eastAsia="Calibri"/>
              </w:rPr>
            </w:pPr>
            <w:r w:rsidRPr="00C25D1A">
              <w:rPr>
                <w:rFonts w:eastAsia="Calibri"/>
              </w:rPr>
              <w:t>42</w:t>
            </w:r>
            <w:r>
              <w:rPr>
                <w:rFonts w:eastAsia="Calibri"/>
              </w:rPr>
              <w:t xml:space="preserve"> (</w:t>
            </w:r>
            <w:r w:rsidRPr="00C25D1A">
              <w:rPr>
                <w:rFonts w:eastAsia="Calibri"/>
              </w:rPr>
              <w:t>50.0)</w:t>
            </w:r>
          </w:p>
        </w:tc>
        <w:tc>
          <w:tcPr>
            <w:tcW w:w="1710" w:type="dxa"/>
          </w:tcPr>
          <w:p w:rsidR="00920BE8" w:rsidRPr="00C25D1A" w:rsidRDefault="00920BE8" w:rsidP="00920BE8">
            <w:pPr>
              <w:pStyle w:val="TableBodyinclColHeads"/>
              <w:rPr>
                <w:rFonts w:eastAsia="Calibri"/>
              </w:rPr>
            </w:pPr>
            <w:r w:rsidRPr="00C25D1A">
              <w:rPr>
                <w:rFonts w:eastAsia="Calibri"/>
              </w:rPr>
              <w:t>42</w:t>
            </w:r>
            <w:r>
              <w:rPr>
                <w:rFonts w:eastAsia="Calibri"/>
              </w:rPr>
              <w:t xml:space="preserve"> (</w:t>
            </w:r>
            <w:r w:rsidRPr="00C25D1A">
              <w:rPr>
                <w:rFonts w:eastAsia="Calibri"/>
              </w:rPr>
              <w:t>50.0)</w:t>
            </w:r>
          </w:p>
        </w:tc>
        <w:tc>
          <w:tcPr>
            <w:tcW w:w="1350" w:type="dxa"/>
          </w:tcPr>
          <w:p w:rsidR="00920BE8" w:rsidRPr="00C25D1A" w:rsidRDefault="00920BE8" w:rsidP="00920BE8">
            <w:pPr>
              <w:pStyle w:val="TableBodyinclColHeads"/>
              <w:rPr>
                <w:rFonts w:eastAsia="Calibri"/>
              </w:rPr>
            </w:pPr>
            <w:r w:rsidRPr="00C25D1A">
              <w:rPr>
                <w:rFonts w:eastAsia="Calibri"/>
              </w:rPr>
              <w:t>1.00</w:t>
            </w:r>
          </w:p>
        </w:tc>
        <w:tc>
          <w:tcPr>
            <w:tcW w:w="1530" w:type="dxa"/>
          </w:tcPr>
          <w:p w:rsidR="00920BE8" w:rsidRPr="00C25D1A" w:rsidRDefault="00920BE8" w:rsidP="00920BE8">
            <w:pPr>
              <w:pStyle w:val="TableBodyinclColHeads"/>
              <w:rPr>
                <w:rFonts w:eastAsia="Calibri"/>
              </w:rPr>
            </w:pPr>
          </w:p>
        </w:tc>
      </w:tr>
      <w:tr w:rsidR="00920BE8" w:rsidRPr="00C25D1A" w:rsidTr="00920BE8">
        <w:tc>
          <w:tcPr>
            <w:tcW w:w="3708" w:type="dxa"/>
          </w:tcPr>
          <w:p w:rsidR="00920BE8" w:rsidRPr="00C25D1A" w:rsidRDefault="00920BE8" w:rsidP="00920BE8">
            <w:pPr>
              <w:pStyle w:val="TableBodyinclColHeads"/>
              <w:rPr>
                <w:rFonts w:eastAsia="Calibri"/>
              </w:rPr>
            </w:pPr>
            <w:r>
              <w:rPr>
                <w:rFonts w:eastAsia="Calibri"/>
              </w:rPr>
              <w:t xml:space="preserve">   </w:t>
            </w:r>
            <w:r w:rsidRPr="00C25D1A">
              <w:rPr>
                <w:rFonts w:eastAsia="Calibri"/>
              </w:rPr>
              <w:t>Good</w:t>
            </w:r>
          </w:p>
        </w:tc>
        <w:tc>
          <w:tcPr>
            <w:tcW w:w="1530" w:type="dxa"/>
          </w:tcPr>
          <w:p w:rsidR="00920BE8" w:rsidRPr="00C25D1A" w:rsidRDefault="00920BE8" w:rsidP="00920BE8">
            <w:pPr>
              <w:pStyle w:val="TableBodyinclColHeads"/>
              <w:rPr>
                <w:rFonts w:eastAsia="Calibri"/>
              </w:rPr>
            </w:pPr>
            <w:r w:rsidRPr="00C25D1A">
              <w:rPr>
                <w:rFonts w:eastAsia="Calibri"/>
              </w:rPr>
              <w:t>21</w:t>
            </w:r>
            <w:r>
              <w:rPr>
                <w:rFonts w:eastAsia="Calibri"/>
              </w:rPr>
              <w:t xml:space="preserve"> (</w:t>
            </w:r>
            <w:r w:rsidRPr="00C25D1A">
              <w:rPr>
                <w:rFonts w:eastAsia="Calibri"/>
              </w:rPr>
              <w:t>60.0)</w:t>
            </w:r>
          </w:p>
        </w:tc>
        <w:tc>
          <w:tcPr>
            <w:tcW w:w="1710" w:type="dxa"/>
          </w:tcPr>
          <w:p w:rsidR="00920BE8" w:rsidRPr="00C25D1A" w:rsidRDefault="00920BE8" w:rsidP="00920BE8">
            <w:pPr>
              <w:pStyle w:val="TableBodyinclColHeads"/>
              <w:rPr>
                <w:rFonts w:eastAsia="Calibri"/>
              </w:rPr>
            </w:pPr>
            <w:r w:rsidRPr="00C25D1A">
              <w:rPr>
                <w:rFonts w:eastAsia="Calibri"/>
              </w:rPr>
              <w:t>14</w:t>
            </w:r>
            <w:r>
              <w:rPr>
                <w:rFonts w:eastAsia="Calibri"/>
              </w:rPr>
              <w:t xml:space="preserve"> (</w:t>
            </w:r>
            <w:r w:rsidRPr="00C25D1A">
              <w:rPr>
                <w:rFonts w:eastAsia="Calibri"/>
              </w:rPr>
              <w:t>40.0)</w:t>
            </w:r>
          </w:p>
        </w:tc>
        <w:tc>
          <w:tcPr>
            <w:tcW w:w="1350" w:type="dxa"/>
          </w:tcPr>
          <w:p w:rsidR="00920BE8" w:rsidRPr="00C25D1A" w:rsidRDefault="00920BE8" w:rsidP="00920BE8">
            <w:pPr>
              <w:pStyle w:val="TableBodyinclColHeads"/>
              <w:rPr>
                <w:rFonts w:eastAsia="Calibri"/>
              </w:rPr>
            </w:pPr>
            <w:r w:rsidRPr="00C25D1A">
              <w:rPr>
                <w:rFonts w:eastAsia="Calibri"/>
              </w:rPr>
              <w:t>0.67</w:t>
            </w:r>
          </w:p>
        </w:tc>
        <w:tc>
          <w:tcPr>
            <w:tcW w:w="1530" w:type="dxa"/>
          </w:tcPr>
          <w:p w:rsidR="00920BE8" w:rsidRPr="00C25D1A" w:rsidRDefault="00920BE8" w:rsidP="00920BE8">
            <w:pPr>
              <w:pStyle w:val="TableBodyinclColHeads"/>
              <w:rPr>
                <w:rFonts w:eastAsia="Calibri"/>
              </w:rPr>
            </w:pPr>
            <w:r w:rsidRPr="00C25D1A">
              <w:rPr>
                <w:rFonts w:eastAsia="Calibri"/>
              </w:rPr>
              <w:t>0.30</w:t>
            </w:r>
            <w:r>
              <w:rPr>
                <w:rFonts w:eastAsia="Calibri"/>
              </w:rPr>
              <w:t>–</w:t>
            </w:r>
            <w:r w:rsidRPr="00C25D1A">
              <w:rPr>
                <w:rFonts w:eastAsia="Calibri"/>
              </w:rPr>
              <w:t>1.47</w:t>
            </w:r>
          </w:p>
        </w:tc>
      </w:tr>
      <w:tr w:rsidR="00920BE8" w:rsidRPr="00C25D1A" w:rsidTr="00920BE8">
        <w:tc>
          <w:tcPr>
            <w:tcW w:w="3708" w:type="dxa"/>
          </w:tcPr>
          <w:p w:rsidR="00920BE8" w:rsidRPr="00C25D1A" w:rsidRDefault="00920BE8" w:rsidP="00920BE8">
            <w:pPr>
              <w:pStyle w:val="TableBodyinclColHeads"/>
              <w:rPr>
                <w:rFonts w:eastAsia="Calibri"/>
              </w:rPr>
            </w:pPr>
            <w:r>
              <w:rPr>
                <w:rFonts w:eastAsia="Calibri"/>
              </w:rPr>
              <w:t xml:space="preserve">   </w:t>
            </w:r>
            <w:r w:rsidRPr="00C25D1A">
              <w:rPr>
                <w:rFonts w:eastAsia="Calibri"/>
              </w:rPr>
              <w:t>Less than good</w:t>
            </w:r>
          </w:p>
        </w:tc>
        <w:tc>
          <w:tcPr>
            <w:tcW w:w="1530" w:type="dxa"/>
          </w:tcPr>
          <w:p w:rsidR="00920BE8" w:rsidRPr="00C25D1A" w:rsidRDefault="00920BE8" w:rsidP="00920BE8">
            <w:pPr>
              <w:pStyle w:val="TableBodyinclColHeads"/>
              <w:rPr>
                <w:rFonts w:eastAsia="Calibri"/>
              </w:rPr>
            </w:pPr>
            <w:r w:rsidRPr="00C25D1A">
              <w:rPr>
                <w:rFonts w:eastAsia="Calibri"/>
              </w:rPr>
              <w:t>0</w:t>
            </w:r>
            <w:r>
              <w:rPr>
                <w:rFonts w:eastAsia="Calibri"/>
              </w:rPr>
              <w:t xml:space="preserve"> (</w:t>
            </w:r>
            <w:r w:rsidRPr="00C25D1A">
              <w:rPr>
                <w:rFonts w:eastAsia="Calibri"/>
              </w:rPr>
              <w:t>0)</w:t>
            </w:r>
          </w:p>
        </w:tc>
        <w:tc>
          <w:tcPr>
            <w:tcW w:w="1710" w:type="dxa"/>
          </w:tcPr>
          <w:p w:rsidR="00920BE8" w:rsidRPr="00C25D1A" w:rsidRDefault="00920BE8" w:rsidP="00920BE8">
            <w:pPr>
              <w:pStyle w:val="TableBodyinclColHeads"/>
              <w:rPr>
                <w:rFonts w:eastAsia="Calibri"/>
              </w:rPr>
            </w:pPr>
            <w:r w:rsidRPr="00C25D1A">
              <w:rPr>
                <w:rFonts w:eastAsia="Calibri"/>
              </w:rPr>
              <w:t>0</w:t>
            </w:r>
            <w:r>
              <w:rPr>
                <w:rFonts w:eastAsia="Calibri"/>
              </w:rPr>
              <w:t xml:space="preserve"> (</w:t>
            </w:r>
            <w:r w:rsidRPr="00C25D1A">
              <w:rPr>
                <w:rFonts w:eastAsia="Calibri"/>
              </w:rPr>
              <w:t>0)</w:t>
            </w:r>
          </w:p>
        </w:tc>
        <w:tc>
          <w:tcPr>
            <w:tcW w:w="1350" w:type="dxa"/>
          </w:tcPr>
          <w:p w:rsidR="00920BE8" w:rsidRPr="00C25D1A" w:rsidRDefault="00920BE8" w:rsidP="00920BE8">
            <w:pPr>
              <w:pStyle w:val="TableBodyinclColHeads"/>
              <w:rPr>
                <w:rFonts w:eastAsia="Calibri"/>
              </w:rPr>
            </w:pPr>
          </w:p>
        </w:tc>
        <w:tc>
          <w:tcPr>
            <w:tcW w:w="1530" w:type="dxa"/>
          </w:tcPr>
          <w:p w:rsidR="00920BE8" w:rsidRPr="00C25D1A" w:rsidRDefault="00920BE8" w:rsidP="00920BE8">
            <w:pPr>
              <w:pStyle w:val="TableBodyinclColHeads"/>
              <w:rPr>
                <w:rFonts w:eastAsia="Calibri"/>
              </w:rPr>
            </w:pPr>
          </w:p>
        </w:tc>
      </w:tr>
      <w:tr w:rsidR="00920BE8" w:rsidRPr="00C25D1A" w:rsidTr="00920BE8">
        <w:tc>
          <w:tcPr>
            <w:tcW w:w="3708" w:type="dxa"/>
          </w:tcPr>
          <w:p w:rsidR="00920BE8" w:rsidRPr="00C25D1A" w:rsidRDefault="00920BE8" w:rsidP="00920BE8">
            <w:pPr>
              <w:pStyle w:val="TableBodyinclColHeads"/>
              <w:rPr>
                <w:rFonts w:eastAsia="Calibri"/>
              </w:rPr>
            </w:pPr>
            <w:r>
              <w:rPr>
                <w:rFonts w:eastAsia="Calibri"/>
              </w:rPr>
              <w:t>Family economic status</w:t>
            </w:r>
          </w:p>
        </w:tc>
        <w:tc>
          <w:tcPr>
            <w:tcW w:w="1530" w:type="dxa"/>
          </w:tcPr>
          <w:p w:rsidR="00920BE8" w:rsidRPr="00C25D1A" w:rsidRDefault="00920BE8" w:rsidP="00920BE8">
            <w:pPr>
              <w:pStyle w:val="TableBodyinclColHeads"/>
              <w:rPr>
                <w:rFonts w:eastAsia="Calibri"/>
              </w:rPr>
            </w:pPr>
          </w:p>
        </w:tc>
        <w:tc>
          <w:tcPr>
            <w:tcW w:w="1710" w:type="dxa"/>
          </w:tcPr>
          <w:p w:rsidR="00920BE8" w:rsidRPr="00C25D1A" w:rsidRDefault="00920BE8" w:rsidP="00920BE8">
            <w:pPr>
              <w:pStyle w:val="TableBodyinclColHeads"/>
              <w:rPr>
                <w:rFonts w:eastAsia="Calibri"/>
              </w:rPr>
            </w:pPr>
          </w:p>
        </w:tc>
        <w:tc>
          <w:tcPr>
            <w:tcW w:w="1350" w:type="dxa"/>
          </w:tcPr>
          <w:p w:rsidR="00920BE8" w:rsidRPr="00C25D1A" w:rsidRDefault="00920BE8" w:rsidP="00920BE8">
            <w:pPr>
              <w:pStyle w:val="TableBodyinclColHeads"/>
              <w:rPr>
                <w:rFonts w:eastAsia="Calibri"/>
              </w:rPr>
            </w:pPr>
          </w:p>
        </w:tc>
        <w:tc>
          <w:tcPr>
            <w:tcW w:w="1530" w:type="dxa"/>
          </w:tcPr>
          <w:p w:rsidR="00920BE8" w:rsidRPr="00C25D1A" w:rsidRDefault="00920BE8" w:rsidP="00920BE8">
            <w:pPr>
              <w:pStyle w:val="TableBodyinclColHeads"/>
              <w:rPr>
                <w:rFonts w:eastAsia="Calibri"/>
              </w:rPr>
            </w:pPr>
          </w:p>
        </w:tc>
      </w:tr>
      <w:tr w:rsidR="00920BE8" w:rsidRPr="00C25D1A" w:rsidTr="00920BE8">
        <w:tc>
          <w:tcPr>
            <w:tcW w:w="3708" w:type="dxa"/>
          </w:tcPr>
          <w:p w:rsidR="00920BE8" w:rsidRPr="00C25D1A" w:rsidRDefault="00920BE8" w:rsidP="00920BE8">
            <w:pPr>
              <w:pStyle w:val="TableBodyinclColHeads"/>
              <w:rPr>
                <w:rFonts w:eastAsia="Calibri"/>
              </w:rPr>
            </w:pPr>
            <w:r>
              <w:rPr>
                <w:rFonts w:eastAsia="Calibri"/>
              </w:rPr>
              <w:t xml:space="preserve">   </w:t>
            </w:r>
            <w:r w:rsidRPr="00C25D1A">
              <w:rPr>
                <w:rFonts w:eastAsia="Calibri"/>
              </w:rPr>
              <w:t>Poor</w:t>
            </w:r>
          </w:p>
        </w:tc>
        <w:tc>
          <w:tcPr>
            <w:tcW w:w="1530" w:type="dxa"/>
          </w:tcPr>
          <w:p w:rsidR="00920BE8" w:rsidRPr="00C25D1A" w:rsidRDefault="00920BE8" w:rsidP="00920BE8">
            <w:pPr>
              <w:pStyle w:val="TableBodyinclColHeads"/>
              <w:rPr>
                <w:rFonts w:eastAsia="Calibri"/>
              </w:rPr>
            </w:pPr>
            <w:r w:rsidRPr="00C25D1A">
              <w:rPr>
                <w:rFonts w:eastAsia="Calibri"/>
              </w:rPr>
              <w:t>1</w:t>
            </w:r>
            <w:r>
              <w:rPr>
                <w:rFonts w:eastAsia="Calibri"/>
              </w:rPr>
              <w:t xml:space="preserve"> (</w:t>
            </w:r>
            <w:r w:rsidRPr="00C25D1A">
              <w:rPr>
                <w:rFonts w:eastAsia="Calibri"/>
              </w:rPr>
              <w:t>100)</w:t>
            </w:r>
          </w:p>
        </w:tc>
        <w:tc>
          <w:tcPr>
            <w:tcW w:w="1710" w:type="dxa"/>
          </w:tcPr>
          <w:p w:rsidR="00920BE8" w:rsidRPr="00C25D1A" w:rsidRDefault="00920BE8" w:rsidP="00920BE8">
            <w:pPr>
              <w:pStyle w:val="TableBodyinclColHeads"/>
              <w:rPr>
                <w:rFonts w:eastAsia="Calibri"/>
              </w:rPr>
            </w:pPr>
            <w:r w:rsidRPr="00C25D1A">
              <w:rPr>
                <w:rFonts w:eastAsia="Calibri"/>
              </w:rPr>
              <w:t>0</w:t>
            </w:r>
            <w:r>
              <w:rPr>
                <w:rFonts w:eastAsia="Calibri"/>
              </w:rPr>
              <w:t xml:space="preserve"> (</w:t>
            </w:r>
            <w:r w:rsidRPr="00C25D1A">
              <w:rPr>
                <w:rFonts w:eastAsia="Calibri"/>
              </w:rPr>
              <w:t>0)</w:t>
            </w:r>
          </w:p>
        </w:tc>
        <w:tc>
          <w:tcPr>
            <w:tcW w:w="1350" w:type="dxa"/>
          </w:tcPr>
          <w:p w:rsidR="00920BE8" w:rsidRPr="00C25D1A" w:rsidRDefault="00920BE8" w:rsidP="00920BE8">
            <w:pPr>
              <w:pStyle w:val="TableBodyinclColHeads"/>
              <w:rPr>
                <w:rFonts w:eastAsia="Calibri"/>
              </w:rPr>
            </w:pPr>
            <w:r w:rsidRPr="00C25D1A">
              <w:rPr>
                <w:rFonts w:eastAsia="Calibri"/>
              </w:rPr>
              <w:t>0.38</w:t>
            </w:r>
          </w:p>
        </w:tc>
        <w:tc>
          <w:tcPr>
            <w:tcW w:w="1530" w:type="dxa"/>
          </w:tcPr>
          <w:p w:rsidR="00920BE8" w:rsidRPr="00C25D1A" w:rsidRDefault="00920BE8" w:rsidP="00920BE8">
            <w:pPr>
              <w:pStyle w:val="TableBodyinclColHeads"/>
              <w:rPr>
                <w:rFonts w:eastAsia="Calibri"/>
              </w:rPr>
            </w:pPr>
            <w:r w:rsidRPr="00C25D1A">
              <w:rPr>
                <w:rFonts w:eastAsia="Calibri"/>
              </w:rPr>
              <w:t>0.00</w:t>
            </w:r>
            <w:r>
              <w:rPr>
                <w:rFonts w:eastAsia="Calibri"/>
              </w:rPr>
              <w:t>–</w:t>
            </w:r>
            <w:r w:rsidRPr="00C25D1A">
              <w:rPr>
                <w:rFonts w:eastAsia="Calibri"/>
              </w:rPr>
              <w:t>45.12</w:t>
            </w:r>
          </w:p>
        </w:tc>
      </w:tr>
      <w:tr w:rsidR="00920BE8" w:rsidRPr="00C25D1A" w:rsidTr="00920BE8">
        <w:tc>
          <w:tcPr>
            <w:tcW w:w="3708" w:type="dxa"/>
          </w:tcPr>
          <w:p w:rsidR="00920BE8" w:rsidRPr="00C25D1A" w:rsidRDefault="00920BE8" w:rsidP="00920BE8">
            <w:pPr>
              <w:pStyle w:val="TableBodyinclColHeads"/>
              <w:rPr>
                <w:rFonts w:eastAsia="Calibri"/>
              </w:rPr>
            </w:pPr>
            <w:r>
              <w:rPr>
                <w:rFonts w:eastAsia="Calibri"/>
              </w:rPr>
              <w:t xml:space="preserve">   </w:t>
            </w:r>
            <w:r w:rsidRPr="00C25D1A">
              <w:rPr>
                <w:rFonts w:eastAsia="Calibri"/>
              </w:rPr>
              <w:t>Average</w:t>
            </w:r>
          </w:p>
        </w:tc>
        <w:tc>
          <w:tcPr>
            <w:tcW w:w="1530" w:type="dxa"/>
          </w:tcPr>
          <w:p w:rsidR="00920BE8" w:rsidRPr="00C25D1A" w:rsidRDefault="00920BE8" w:rsidP="00920BE8">
            <w:pPr>
              <w:pStyle w:val="TableBodyinclColHeads"/>
              <w:rPr>
                <w:rFonts w:eastAsia="Calibri"/>
              </w:rPr>
            </w:pPr>
            <w:r w:rsidRPr="00C25D1A">
              <w:rPr>
                <w:rFonts w:eastAsia="Calibri"/>
              </w:rPr>
              <w:t>58</w:t>
            </w:r>
            <w:r>
              <w:rPr>
                <w:rFonts w:eastAsia="Calibri"/>
              </w:rPr>
              <w:t xml:space="preserve"> (</w:t>
            </w:r>
            <w:r w:rsidRPr="00C25D1A">
              <w:rPr>
                <w:rFonts w:eastAsia="Calibri"/>
              </w:rPr>
              <w:t>53.2)</w:t>
            </w:r>
          </w:p>
        </w:tc>
        <w:tc>
          <w:tcPr>
            <w:tcW w:w="1710" w:type="dxa"/>
          </w:tcPr>
          <w:p w:rsidR="00920BE8" w:rsidRPr="00C25D1A" w:rsidRDefault="00920BE8" w:rsidP="00920BE8">
            <w:pPr>
              <w:pStyle w:val="TableBodyinclColHeads"/>
              <w:rPr>
                <w:rFonts w:eastAsia="Calibri"/>
              </w:rPr>
            </w:pPr>
            <w:r w:rsidRPr="00C25D1A">
              <w:rPr>
                <w:rFonts w:eastAsia="Calibri"/>
              </w:rPr>
              <w:t>51</w:t>
            </w:r>
            <w:r>
              <w:rPr>
                <w:rFonts w:eastAsia="Calibri"/>
              </w:rPr>
              <w:t xml:space="preserve"> (</w:t>
            </w:r>
            <w:r w:rsidRPr="00C25D1A">
              <w:rPr>
                <w:rFonts w:eastAsia="Calibri"/>
              </w:rPr>
              <w:t>46.8)</w:t>
            </w:r>
          </w:p>
        </w:tc>
        <w:tc>
          <w:tcPr>
            <w:tcW w:w="1350" w:type="dxa"/>
          </w:tcPr>
          <w:p w:rsidR="00920BE8" w:rsidRPr="00C25D1A" w:rsidRDefault="00920BE8" w:rsidP="00920BE8">
            <w:pPr>
              <w:pStyle w:val="TableBodyinclColHeads"/>
              <w:rPr>
                <w:rFonts w:eastAsia="Calibri"/>
              </w:rPr>
            </w:pPr>
          </w:p>
        </w:tc>
        <w:tc>
          <w:tcPr>
            <w:tcW w:w="1530" w:type="dxa"/>
          </w:tcPr>
          <w:p w:rsidR="00920BE8" w:rsidRPr="00C25D1A" w:rsidRDefault="00920BE8" w:rsidP="00920BE8">
            <w:pPr>
              <w:pStyle w:val="TableBodyinclColHeads"/>
              <w:rPr>
                <w:rFonts w:eastAsia="Calibri"/>
              </w:rPr>
            </w:pPr>
          </w:p>
        </w:tc>
      </w:tr>
      <w:tr w:rsidR="00920BE8" w:rsidRPr="00C25D1A" w:rsidTr="00920BE8">
        <w:tc>
          <w:tcPr>
            <w:tcW w:w="3708" w:type="dxa"/>
            <w:tcBorders>
              <w:bottom w:val="single" w:sz="4" w:space="0" w:color="auto"/>
            </w:tcBorders>
          </w:tcPr>
          <w:p w:rsidR="00920BE8" w:rsidRPr="00C25D1A" w:rsidRDefault="00920BE8" w:rsidP="00920BE8">
            <w:pPr>
              <w:pStyle w:val="TableBodyinclColHeads"/>
              <w:rPr>
                <w:rFonts w:eastAsia="Calibri"/>
              </w:rPr>
            </w:pPr>
            <w:r>
              <w:rPr>
                <w:rFonts w:eastAsia="Calibri"/>
              </w:rPr>
              <w:t xml:space="preserve">   </w:t>
            </w:r>
            <w:r w:rsidRPr="00C25D1A">
              <w:rPr>
                <w:rFonts w:eastAsia="Calibri"/>
              </w:rPr>
              <w:t>Rich</w:t>
            </w:r>
          </w:p>
        </w:tc>
        <w:tc>
          <w:tcPr>
            <w:tcW w:w="1530" w:type="dxa"/>
            <w:tcBorders>
              <w:bottom w:val="single" w:sz="4" w:space="0" w:color="auto"/>
            </w:tcBorders>
          </w:tcPr>
          <w:p w:rsidR="00920BE8" w:rsidRPr="00C25D1A" w:rsidRDefault="00920BE8" w:rsidP="00920BE8">
            <w:pPr>
              <w:pStyle w:val="TableBodyinclColHeads"/>
              <w:rPr>
                <w:rFonts w:eastAsia="Calibri"/>
              </w:rPr>
            </w:pPr>
            <w:r w:rsidRPr="00C25D1A">
              <w:rPr>
                <w:rFonts w:eastAsia="Calibri"/>
              </w:rPr>
              <w:t>4</w:t>
            </w:r>
            <w:r>
              <w:rPr>
                <w:rFonts w:eastAsia="Calibri"/>
              </w:rPr>
              <w:t xml:space="preserve"> (</w:t>
            </w:r>
            <w:r w:rsidRPr="00C25D1A">
              <w:rPr>
                <w:rFonts w:eastAsia="Calibri"/>
              </w:rPr>
              <w:t>44.4)</w:t>
            </w:r>
          </w:p>
        </w:tc>
        <w:tc>
          <w:tcPr>
            <w:tcW w:w="1710" w:type="dxa"/>
            <w:tcBorders>
              <w:bottom w:val="single" w:sz="4" w:space="0" w:color="auto"/>
            </w:tcBorders>
          </w:tcPr>
          <w:p w:rsidR="00920BE8" w:rsidRPr="00C25D1A" w:rsidRDefault="00920BE8" w:rsidP="00920BE8">
            <w:pPr>
              <w:pStyle w:val="TableBodyinclColHeads"/>
              <w:rPr>
                <w:rFonts w:eastAsia="Calibri"/>
              </w:rPr>
            </w:pPr>
            <w:r w:rsidRPr="00C25D1A">
              <w:rPr>
                <w:rFonts w:eastAsia="Calibri"/>
              </w:rPr>
              <w:t>5</w:t>
            </w:r>
            <w:r>
              <w:rPr>
                <w:rFonts w:eastAsia="Calibri"/>
              </w:rPr>
              <w:t xml:space="preserve"> (</w:t>
            </w:r>
            <w:r w:rsidRPr="00C25D1A">
              <w:rPr>
                <w:rFonts w:eastAsia="Calibri"/>
              </w:rPr>
              <w:t>55.6)</w:t>
            </w:r>
          </w:p>
        </w:tc>
        <w:tc>
          <w:tcPr>
            <w:tcW w:w="1350" w:type="dxa"/>
            <w:tcBorders>
              <w:bottom w:val="single" w:sz="4" w:space="0" w:color="auto"/>
            </w:tcBorders>
          </w:tcPr>
          <w:p w:rsidR="00920BE8" w:rsidRPr="00C25D1A" w:rsidRDefault="00920BE8" w:rsidP="00920BE8">
            <w:pPr>
              <w:pStyle w:val="TableBodyinclColHeads"/>
              <w:rPr>
                <w:rFonts w:eastAsia="Calibri"/>
              </w:rPr>
            </w:pPr>
            <w:r w:rsidRPr="00C25D1A">
              <w:rPr>
                <w:rFonts w:eastAsia="Calibri"/>
              </w:rPr>
              <w:t>1.39</w:t>
            </w:r>
          </w:p>
        </w:tc>
        <w:tc>
          <w:tcPr>
            <w:tcW w:w="1530" w:type="dxa"/>
            <w:tcBorders>
              <w:bottom w:val="single" w:sz="4" w:space="0" w:color="auto"/>
            </w:tcBorders>
          </w:tcPr>
          <w:p w:rsidR="00920BE8" w:rsidRPr="00C25D1A" w:rsidRDefault="00920BE8" w:rsidP="00920BE8">
            <w:pPr>
              <w:pStyle w:val="TableBodyinclColHeads"/>
              <w:rPr>
                <w:rFonts w:eastAsia="Calibri"/>
              </w:rPr>
            </w:pPr>
            <w:r w:rsidRPr="00C25D1A">
              <w:rPr>
                <w:rFonts w:eastAsia="Calibri"/>
              </w:rPr>
              <w:t>0.39</w:t>
            </w:r>
            <w:r>
              <w:rPr>
                <w:rFonts w:eastAsia="Calibri"/>
              </w:rPr>
              <w:t>–</w:t>
            </w:r>
            <w:r w:rsidRPr="00C25D1A">
              <w:rPr>
                <w:rFonts w:eastAsia="Calibri"/>
              </w:rPr>
              <w:t>5.19</w:t>
            </w:r>
          </w:p>
        </w:tc>
      </w:tr>
    </w:tbl>
    <w:p w:rsidR="00920BE8" w:rsidRPr="00C25D1A" w:rsidRDefault="00920BE8" w:rsidP="00920BE8">
      <w:pPr>
        <w:pStyle w:val="TableFootnotes"/>
        <w:rPr>
          <w:rFonts w:eastAsia="Calibri"/>
        </w:rPr>
      </w:pPr>
      <w:r>
        <w:rPr>
          <w:rFonts w:eastAsia="Calibri"/>
        </w:rPr>
        <w:t>*</w:t>
      </w:r>
      <w:r w:rsidRPr="00534835">
        <w:rPr>
          <w:rFonts w:eastAsia="Calibri"/>
          <w:i/>
        </w:rPr>
        <w:t>p</w:t>
      </w:r>
      <w:r w:rsidRPr="00C25D1A">
        <w:rPr>
          <w:rFonts w:eastAsia="Calibri"/>
        </w:rPr>
        <w:t>&lt;0.05</w:t>
      </w:r>
      <w:r>
        <w:rPr>
          <w:rFonts w:eastAsia="Calibri"/>
        </w:rPr>
        <w:t>.</w:t>
      </w:r>
      <w:r>
        <w:rPr>
          <w:rFonts w:eastAsia="Calibri"/>
        </w:rPr>
        <w:fldChar w:fldCharType="begin"/>
      </w:r>
      <w:r>
        <w:rPr>
          <w:rFonts w:eastAsia="Calibri"/>
        </w:rPr>
        <w:instrText xml:space="preserve"> ADDIN EN.REFLIST </w:instrText>
      </w:r>
      <w:r>
        <w:rPr>
          <w:rFonts w:eastAsia="Calibri"/>
        </w:rPr>
        <w:fldChar w:fldCharType="end"/>
      </w:r>
    </w:p>
    <w:p w:rsidR="006054D3" w:rsidRDefault="006054D3"/>
    <w:sectPr w:rsidR="006054D3" w:rsidSect="00920B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Trebuchet MS Bold">
    <w:panose1 w:val="020B0703020202020204"/>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514EE4"/>
    <w:multiLevelType w:val="singleLevel"/>
    <w:tmpl w:val="73981E4E"/>
    <w:lvl w:ilvl="0">
      <w:start w:val="1"/>
      <w:numFmt w:val="bullet"/>
      <w:pStyle w:val="Hyperlink"/>
      <w:lvlText w:val=""/>
      <w:lvlJc w:val="left"/>
      <w:pPr>
        <w:tabs>
          <w:tab w:val="num" w:pos="360"/>
        </w:tabs>
        <w:ind w:left="0" w:firstLine="0"/>
      </w:pPr>
      <w:rPr>
        <w:rFonts w:ascii="Symbol" w:hAnsi="Symbol" w:hint="default"/>
      </w:rPr>
    </w:lvl>
  </w:abstractNum>
  <w:abstractNum w:abstractNumId="1" w15:restartNumberingAfterBreak="0">
    <w:nsid w:val="1C9C3901"/>
    <w:multiLevelType w:val="hybridMultilevel"/>
    <w:tmpl w:val="9B323A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F22903"/>
    <w:multiLevelType w:val="singleLevel"/>
    <w:tmpl w:val="08D2D528"/>
    <w:lvl w:ilvl="0">
      <w:start w:val="1"/>
      <w:numFmt w:val="lowerRoman"/>
      <w:pStyle w:val="ListNumbered"/>
      <w:lvlText w:val="%1."/>
      <w:lvlJc w:val="right"/>
      <w:pPr>
        <w:tabs>
          <w:tab w:val="num" w:pos="648"/>
        </w:tabs>
        <w:ind w:left="0" w:firstLine="288"/>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BE8"/>
    <w:rsid w:val="006054D3"/>
    <w:rsid w:val="00920BE8"/>
    <w:rsid w:val="00FF41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1F56F4-16D8-4984-B580-D0F19A982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Same as Text)"/>
    <w:qFormat/>
    <w:rsid w:val="00920BE8"/>
    <w:pPr>
      <w:spacing w:after="0" w:line="240" w:lineRule="auto"/>
    </w:pPr>
    <w:rPr>
      <w:rFonts w:ascii="CG Times" w:eastAsia="Times New Roman" w:hAnsi="CG Times" w:cs="Times New Roman"/>
      <w:sz w:val="20"/>
      <w:szCs w:val="20"/>
      <w:lang w:val="en-US" w:eastAsia="en-GB"/>
    </w:rPr>
  </w:style>
  <w:style w:type="paragraph" w:styleId="Heading1">
    <w:name w:val="heading 1"/>
    <w:basedOn w:val="Articletitle"/>
    <w:next w:val="Text"/>
    <w:link w:val="Heading1Char"/>
    <w:qFormat/>
    <w:rsid w:val="00920BE8"/>
    <w:pPr>
      <w:spacing w:before="360" w:after="120"/>
      <w:outlineLvl w:val="0"/>
    </w:pPr>
    <w:rPr>
      <w:b/>
      <w:spacing w:val="0"/>
      <w:sz w:val="20"/>
    </w:rPr>
  </w:style>
  <w:style w:type="paragraph" w:styleId="Heading2">
    <w:name w:val="heading 2"/>
    <w:basedOn w:val="Heading1"/>
    <w:next w:val="Text"/>
    <w:link w:val="Heading2Char"/>
    <w:qFormat/>
    <w:rsid w:val="00920BE8"/>
    <w:pPr>
      <w:jc w:val="left"/>
      <w:outlineLvl w:val="1"/>
    </w:pPr>
    <w:rPr>
      <w:b w:val="0"/>
      <w:i/>
    </w:rPr>
  </w:style>
  <w:style w:type="paragraph" w:styleId="Heading3">
    <w:name w:val="heading 3"/>
    <w:aliases w:val="(DO NOT USE)"/>
    <w:basedOn w:val="Normal"/>
    <w:next w:val="Normal"/>
    <w:link w:val="Heading3Char"/>
    <w:qFormat/>
    <w:rsid w:val="00920BE8"/>
    <w:pPr>
      <w:keepNext/>
      <w:spacing w:before="240" w:after="60"/>
      <w:outlineLvl w:val="2"/>
    </w:pPr>
    <w:rPr>
      <w:rFonts w:ascii="Arial" w:hAnsi="Arial"/>
      <w:sz w:val="24"/>
    </w:rPr>
  </w:style>
  <w:style w:type="paragraph" w:styleId="Heading4">
    <w:name w:val="heading 4"/>
    <w:next w:val="Normal"/>
    <w:link w:val="Heading4Char"/>
    <w:rsid w:val="00920BE8"/>
    <w:pPr>
      <w:keepNext/>
      <w:pBdr>
        <w:top w:val="nil"/>
        <w:left w:val="nil"/>
        <w:bottom w:val="nil"/>
        <w:right w:val="nil"/>
        <w:between w:val="nil"/>
        <w:bar w:val="nil"/>
      </w:pBdr>
      <w:spacing w:before="240" w:after="60" w:line="240" w:lineRule="auto"/>
      <w:outlineLvl w:val="3"/>
    </w:pPr>
    <w:rPr>
      <w:rFonts w:ascii="Trebuchet MS Bold" w:eastAsia="Arial Unicode MS" w:hAnsi="Arial Unicode MS" w:cs="Arial Unicode MS"/>
      <w:color w:val="000000"/>
      <w:sz w:val="28"/>
      <w:szCs w:val="28"/>
      <w:u w:color="000000"/>
      <w:bdr w:val="nil"/>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title">
    <w:name w:val="Article title"/>
    <w:basedOn w:val="RunHeadTitle"/>
    <w:rsid w:val="00920BE8"/>
    <w:pPr>
      <w:spacing w:before="480" w:after="0"/>
    </w:pPr>
    <w:rPr>
      <w:i w:val="0"/>
      <w:spacing w:val="10"/>
      <w:sz w:val="28"/>
    </w:rPr>
  </w:style>
  <w:style w:type="paragraph" w:customStyle="1" w:styleId="RunHeadTitle">
    <w:name w:val="Run Head (Title)"/>
    <w:basedOn w:val="RunHeadAuthor"/>
    <w:next w:val="Normal"/>
    <w:rsid w:val="00920BE8"/>
  </w:style>
  <w:style w:type="paragraph" w:customStyle="1" w:styleId="RunHeadAuthor">
    <w:name w:val="Run Head (Author)"/>
    <w:basedOn w:val="Normal"/>
    <w:rsid w:val="00920BE8"/>
    <w:pPr>
      <w:suppressAutoHyphens/>
      <w:spacing w:after="240"/>
      <w:jc w:val="center"/>
    </w:pPr>
    <w:rPr>
      <w:i/>
      <w:sz w:val="24"/>
    </w:rPr>
  </w:style>
  <w:style w:type="paragraph" w:customStyle="1" w:styleId="Text">
    <w:name w:val="Text"/>
    <w:basedOn w:val="Copyright"/>
    <w:link w:val="TextChar"/>
    <w:rsid w:val="00920BE8"/>
    <w:pPr>
      <w:tabs>
        <w:tab w:val="left" w:pos="567"/>
      </w:tabs>
      <w:suppressAutoHyphens w:val="0"/>
      <w:jc w:val="both"/>
    </w:pPr>
    <w:rPr>
      <w:spacing w:val="-3"/>
      <w:sz w:val="20"/>
    </w:rPr>
  </w:style>
  <w:style w:type="paragraph" w:customStyle="1" w:styleId="Copyright">
    <w:name w:val="Copyright"/>
    <w:basedOn w:val="Normal"/>
    <w:link w:val="CopyrightChar"/>
    <w:rsid w:val="00920BE8"/>
    <w:pPr>
      <w:suppressAutoHyphens/>
    </w:pPr>
    <w:rPr>
      <w:sz w:val="18"/>
    </w:rPr>
  </w:style>
  <w:style w:type="character" w:customStyle="1" w:styleId="CopyrightChar">
    <w:name w:val="Copyright Char"/>
    <w:basedOn w:val="DefaultParagraphFont"/>
    <w:link w:val="Copyright"/>
    <w:rsid w:val="00920BE8"/>
    <w:rPr>
      <w:rFonts w:ascii="CG Times" w:eastAsia="Times New Roman" w:hAnsi="CG Times" w:cs="Times New Roman"/>
      <w:sz w:val="18"/>
      <w:szCs w:val="20"/>
      <w:lang w:val="en-US" w:eastAsia="en-GB"/>
    </w:rPr>
  </w:style>
  <w:style w:type="character" w:customStyle="1" w:styleId="TextChar">
    <w:name w:val="Text Char"/>
    <w:basedOn w:val="CopyrightChar"/>
    <w:link w:val="Text"/>
    <w:rsid w:val="00920BE8"/>
    <w:rPr>
      <w:rFonts w:ascii="CG Times" w:eastAsia="Times New Roman" w:hAnsi="CG Times" w:cs="Times New Roman"/>
      <w:spacing w:val="-3"/>
      <w:sz w:val="20"/>
      <w:szCs w:val="20"/>
      <w:lang w:val="en-US" w:eastAsia="en-GB"/>
    </w:rPr>
  </w:style>
  <w:style w:type="character" w:customStyle="1" w:styleId="Heading1Char">
    <w:name w:val="Heading 1 Char"/>
    <w:basedOn w:val="DefaultParagraphFont"/>
    <w:link w:val="Heading1"/>
    <w:rsid w:val="00920BE8"/>
    <w:rPr>
      <w:rFonts w:ascii="CG Times" w:eastAsia="Times New Roman" w:hAnsi="CG Times" w:cs="Times New Roman"/>
      <w:b/>
      <w:sz w:val="20"/>
      <w:szCs w:val="20"/>
      <w:lang w:val="en-US" w:eastAsia="en-GB"/>
    </w:rPr>
  </w:style>
  <w:style w:type="character" w:customStyle="1" w:styleId="Heading2Char">
    <w:name w:val="Heading 2 Char"/>
    <w:basedOn w:val="DefaultParagraphFont"/>
    <w:link w:val="Heading2"/>
    <w:rsid w:val="00920BE8"/>
    <w:rPr>
      <w:rFonts w:ascii="CG Times" w:eastAsia="Times New Roman" w:hAnsi="CG Times" w:cs="Times New Roman"/>
      <w:i/>
      <w:sz w:val="20"/>
      <w:szCs w:val="20"/>
      <w:lang w:val="en-US" w:eastAsia="en-GB"/>
    </w:rPr>
  </w:style>
  <w:style w:type="character" w:customStyle="1" w:styleId="Heading3Char">
    <w:name w:val="Heading 3 Char"/>
    <w:aliases w:val="(DO NOT USE) Char"/>
    <w:basedOn w:val="DefaultParagraphFont"/>
    <w:link w:val="Heading3"/>
    <w:rsid w:val="00920BE8"/>
    <w:rPr>
      <w:rFonts w:ascii="Arial" w:eastAsia="Times New Roman" w:hAnsi="Arial" w:cs="Times New Roman"/>
      <w:sz w:val="24"/>
      <w:szCs w:val="20"/>
      <w:lang w:val="en-US" w:eastAsia="en-GB"/>
    </w:rPr>
  </w:style>
  <w:style w:type="character" w:customStyle="1" w:styleId="Heading4Char">
    <w:name w:val="Heading 4 Char"/>
    <w:basedOn w:val="DefaultParagraphFont"/>
    <w:link w:val="Heading4"/>
    <w:rsid w:val="00920BE8"/>
    <w:rPr>
      <w:rFonts w:ascii="Trebuchet MS Bold" w:eastAsia="Arial Unicode MS" w:hAnsi="Arial Unicode MS" w:cs="Arial Unicode MS"/>
      <w:color w:val="000000"/>
      <w:sz w:val="28"/>
      <w:szCs w:val="28"/>
      <w:u w:color="000000"/>
      <w:bdr w:val="nil"/>
      <w:lang w:val="en-US" w:eastAsia="en-GB"/>
    </w:rPr>
  </w:style>
  <w:style w:type="paragraph" w:customStyle="1" w:styleId="Authorname">
    <w:name w:val="Author name"/>
    <w:basedOn w:val="Articletitle"/>
    <w:rsid w:val="00920BE8"/>
    <w:pPr>
      <w:spacing w:before="600" w:after="120"/>
    </w:pPr>
    <w:rPr>
      <w:sz w:val="20"/>
    </w:rPr>
  </w:style>
  <w:style w:type="paragraph" w:customStyle="1" w:styleId="Affiliation">
    <w:name w:val="Affiliation"/>
    <w:basedOn w:val="Authorname"/>
    <w:rsid w:val="00920BE8"/>
    <w:pPr>
      <w:spacing w:before="0"/>
    </w:pPr>
    <w:rPr>
      <w:i/>
      <w:spacing w:val="0"/>
    </w:rPr>
  </w:style>
  <w:style w:type="paragraph" w:styleId="BalloonText">
    <w:name w:val="Balloon Text"/>
    <w:basedOn w:val="Normal"/>
    <w:link w:val="BalloonTextChar"/>
    <w:uiPriority w:val="99"/>
    <w:semiHidden/>
    <w:unhideWhenUsed/>
    <w:rsid w:val="00920BE8"/>
    <w:rPr>
      <w:rFonts w:ascii="Tahoma" w:hAnsi="Tahoma" w:cs="Tahoma"/>
      <w:sz w:val="16"/>
      <w:szCs w:val="16"/>
    </w:rPr>
  </w:style>
  <w:style w:type="character" w:customStyle="1" w:styleId="BalloonTextChar">
    <w:name w:val="Balloon Text Char"/>
    <w:basedOn w:val="DefaultParagraphFont"/>
    <w:link w:val="BalloonText"/>
    <w:uiPriority w:val="99"/>
    <w:semiHidden/>
    <w:rsid w:val="00920BE8"/>
    <w:rPr>
      <w:rFonts w:ascii="Tahoma" w:eastAsia="Times New Roman" w:hAnsi="Tahoma" w:cs="Tahoma"/>
      <w:sz w:val="16"/>
      <w:szCs w:val="16"/>
      <w:lang w:val="en-US" w:eastAsia="en-GB"/>
    </w:rPr>
  </w:style>
  <w:style w:type="character" w:styleId="CommentReference">
    <w:name w:val="annotation reference"/>
    <w:uiPriority w:val="99"/>
    <w:semiHidden/>
    <w:unhideWhenUsed/>
    <w:rsid w:val="00920BE8"/>
    <w:rPr>
      <w:sz w:val="16"/>
      <w:szCs w:val="16"/>
    </w:rPr>
  </w:style>
  <w:style w:type="paragraph" w:styleId="CommentText">
    <w:name w:val="annotation text"/>
    <w:basedOn w:val="Normal"/>
    <w:link w:val="CommentTextChar"/>
    <w:uiPriority w:val="99"/>
    <w:semiHidden/>
    <w:unhideWhenUsed/>
    <w:rsid w:val="00920BE8"/>
  </w:style>
  <w:style w:type="character" w:customStyle="1" w:styleId="CommentTextChar">
    <w:name w:val="Comment Text Char"/>
    <w:basedOn w:val="DefaultParagraphFont"/>
    <w:link w:val="CommentText"/>
    <w:uiPriority w:val="99"/>
    <w:semiHidden/>
    <w:rsid w:val="00920BE8"/>
    <w:rPr>
      <w:rFonts w:ascii="CG Times" w:eastAsia="Times New Roman" w:hAnsi="CG Times" w:cs="Times New Roman"/>
      <w:sz w:val="20"/>
      <w:szCs w:val="20"/>
      <w:lang w:val="en-US" w:eastAsia="en-GB"/>
    </w:rPr>
  </w:style>
  <w:style w:type="character" w:customStyle="1" w:styleId="CommentSubjectChar">
    <w:name w:val="Comment Subject Char"/>
    <w:basedOn w:val="CommentTextChar"/>
    <w:link w:val="CommentSubject"/>
    <w:uiPriority w:val="99"/>
    <w:semiHidden/>
    <w:rsid w:val="00920BE8"/>
    <w:rPr>
      <w:rFonts w:ascii="CG Times" w:eastAsia="Times New Roman" w:hAnsi="CG Times" w:cs="Times New Roman"/>
      <w:b/>
      <w:bCs/>
      <w:sz w:val="20"/>
      <w:szCs w:val="20"/>
      <w:lang w:val="en-US" w:eastAsia="en-GB"/>
    </w:rPr>
  </w:style>
  <w:style w:type="paragraph" w:styleId="CommentSubject">
    <w:name w:val="annotation subject"/>
    <w:basedOn w:val="CommentText"/>
    <w:next w:val="CommentText"/>
    <w:link w:val="CommentSubjectChar"/>
    <w:uiPriority w:val="99"/>
    <w:semiHidden/>
    <w:unhideWhenUsed/>
    <w:rsid w:val="00920BE8"/>
    <w:rPr>
      <w:b/>
      <w:bCs/>
    </w:rPr>
  </w:style>
  <w:style w:type="paragraph" w:customStyle="1" w:styleId="Debateheadings">
    <w:name w:val="Debate headings"/>
    <w:basedOn w:val="Text"/>
    <w:rsid w:val="00920BE8"/>
    <w:pPr>
      <w:spacing w:before="480" w:after="480"/>
      <w:jc w:val="center"/>
    </w:pPr>
    <w:rPr>
      <w:i/>
      <w:sz w:val="24"/>
    </w:rPr>
  </w:style>
  <w:style w:type="paragraph" w:customStyle="1" w:styleId="FigureLegend">
    <w:name w:val="Figure Legend"/>
    <w:basedOn w:val="Text"/>
    <w:rsid w:val="00920BE8"/>
    <w:pPr>
      <w:tabs>
        <w:tab w:val="clear" w:pos="567"/>
      </w:tabs>
      <w:suppressAutoHyphens/>
      <w:spacing w:before="120" w:after="120"/>
      <w:jc w:val="center"/>
    </w:pPr>
    <w:rPr>
      <w:sz w:val="18"/>
    </w:rPr>
  </w:style>
  <w:style w:type="paragraph" w:styleId="Footer">
    <w:name w:val="footer"/>
    <w:basedOn w:val="Normal"/>
    <w:link w:val="FooterChar"/>
    <w:rsid w:val="00920BE8"/>
    <w:pPr>
      <w:tabs>
        <w:tab w:val="center" w:pos="4153"/>
        <w:tab w:val="right" w:pos="8306"/>
      </w:tabs>
    </w:pPr>
    <w:rPr>
      <w:rFonts w:eastAsia="Calibri"/>
    </w:rPr>
  </w:style>
  <w:style w:type="character" w:customStyle="1" w:styleId="FooterChar">
    <w:name w:val="Footer Char"/>
    <w:basedOn w:val="DefaultParagraphFont"/>
    <w:link w:val="Footer"/>
    <w:rsid w:val="00920BE8"/>
    <w:rPr>
      <w:rFonts w:ascii="CG Times" w:eastAsia="Calibri" w:hAnsi="CG Times" w:cs="Times New Roman"/>
      <w:sz w:val="20"/>
      <w:szCs w:val="20"/>
      <w:lang w:val="en-US" w:eastAsia="en-GB"/>
    </w:rPr>
  </w:style>
  <w:style w:type="paragraph" w:styleId="FootnoteText">
    <w:name w:val="footnote text"/>
    <w:basedOn w:val="Copyright"/>
    <w:link w:val="FootnoteTextChar"/>
    <w:semiHidden/>
    <w:rsid w:val="00920BE8"/>
    <w:pPr>
      <w:spacing w:before="180" w:after="180"/>
    </w:pPr>
  </w:style>
  <w:style w:type="character" w:customStyle="1" w:styleId="FootnoteTextChar">
    <w:name w:val="Footnote Text Char"/>
    <w:basedOn w:val="DefaultParagraphFont"/>
    <w:link w:val="FootnoteText"/>
    <w:semiHidden/>
    <w:rsid w:val="00920BE8"/>
    <w:rPr>
      <w:rFonts w:ascii="CG Times" w:eastAsia="Times New Roman" w:hAnsi="CG Times" w:cs="Times New Roman"/>
      <w:sz w:val="18"/>
      <w:szCs w:val="20"/>
      <w:lang w:val="en-US" w:eastAsia="en-GB"/>
    </w:rPr>
  </w:style>
  <w:style w:type="paragraph" w:styleId="Header">
    <w:name w:val="header"/>
    <w:basedOn w:val="Normal"/>
    <w:link w:val="HeaderChar"/>
    <w:uiPriority w:val="99"/>
    <w:unhideWhenUsed/>
    <w:rsid w:val="00920BE8"/>
    <w:pPr>
      <w:tabs>
        <w:tab w:val="center" w:pos="4513"/>
        <w:tab w:val="right" w:pos="9026"/>
      </w:tabs>
    </w:pPr>
  </w:style>
  <w:style w:type="character" w:customStyle="1" w:styleId="HeaderChar">
    <w:name w:val="Header Char"/>
    <w:basedOn w:val="DefaultParagraphFont"/>
    <w:link w:val="Header"/>
    <w:uiPriority w:val="99"/>
    <w:rsid w:val="00920BE8"/>
    <w:rPr>
      <w:rFonts w:ascii="CG Times" w:eastAsia="Times New Roman" w:hAnsi="CG Times" w:cs="Times New Roman"/>
      <w:sz w:val="20"/>
      <w:szCs w:val="20"/>
      <w:lang w:val="en-US" w:eastAsia="en-GB"/>
    </w:rPr>
  </w:style>
  <w:style w:type="character" w:customStyle="1" w:styleId="HTMLPreformattedChar">
    <w:name w:val="HTML Preformatted Char"/>
    <w:basedOn w:val="DefaultParagraphFont"/>
    <w:link w:val="HTMLPreformatted"/>
    <w:uiPriority w:val="99"/>
    <w:semiHidden/>
    <w:rsid w:val="00920BE8"/>
    <w:rPr>
      <w:rFonts w:ascii="Consolas" w:eastAsia="Times New Roman" w:hAnsi="Consolas" w:cs="Consolas"/>
      <w:sz w:val="20"/>
      <w:szCs w:val="20"/>
      <w:lang w:val="en-US" w:eastAsia="en-GB"/>
    </w:rPr>
  </w:style>
  <w:style w:type="paragraph" w:styleId="HTMLPreformatted">
    <w:name w:val="HTML Preformatted"/>
    <w:basedOn w:val="Normal"/>
    <w:link w:val="HTMLPreformattedChar"/>
    <w:uiPriority w:val="99"/>
    <w:semiHidden/>
    <w:unhideWhenUsed/>
    <w:rsid w:val="00920BE8"/>
    <w:rPr>
      <w:rFonts w:ascii="Consolas" w:hAnsi="Consolas" w:cs="Consolas"/>
    </w:rPr>
  </w:style>
  <w:style w:type="character" w:styleId="Hyperlink">
    <w:name w:val="Hyperlink"/>
    <w:uiPriority w:val="99"/>
    <w:unhideWhenUsed/>
    <w:rsid w:val="00920BE8"/>
    <w:rPr>
      <w:color w:val="0563C1"/>
      <w:u w:val="single"/>
    </w:rPr>
  </w:style>
  <w:style w:type="paragraph" w:customStyle="1" w:styleId="ListNumbered">
    <w:name w:val="List (Numbered)"/>
    <w:basedOn w:val="Normal"/>
    <w:rsid w:val="00920BE8"/>
  </w:style>
  <w:style w:type="paragraph" w:customStyle="1" w:styleId="ListBulleted">
    <w:name w:val="List (Bulleted)"/>
    <w:basedOn w:val="ListNumbered"/>
    <w:next w:val="Text"/>
    <w:rsid w:val="00920BE8"/>
    <w:pPr>
      <w:numPr>
        <w:numId w:val="2"/>
      </w:numPr>
    </w:pPr>
  </w:style>
  <w:style w:type="paragraph" w:customStyle="1" w:styleId="ListRomannumeral">
    <w:name w:val="List (Roman numeral)"/>
    <w:basedOn w:val="ListNumbered"/>
    <w:rsid w:val="00920BE8"/>
    <w:pPr>
      <w:numPr>
        <w:numId w:val="3"/>
      </w:numPr>
    </w:pPr>
  </w:style>
  <w:style w:type="paragraph" w:styleId="ListParagraph">
    <w:name w:val="List Paragraph"/>
    <w:basedOn w:val="Normal"/>
    <w:uiPriority w:val="34"/>
    <w:qFormat/>
    <w:rsid w:val="00920BE8"/>
    <w:pPr>
      <w:ind w:left="720"/>
      <w:contextualSpacing/>
    </w:pPr>
  </w:style>
  <w:style w:type="character" w:customStyle="1" w:styleId="PlainTextChar">
    <w:name w:val="Plain Text Char"/>
    <w:basedOn w:val="DefaultParagraphFont"/>
    <w:link w:val="PlainText"/>
    <w:uiPriority w:val="99"/>
    <w:semiHidden/>
    <w:rsid w:val="00920BE8"/>
    <w:rPr>
      <w:rFonts w:ascii="Times New Roman" w:eastAsia="Calibri" w:hAnsi="Times New Roman" w:cs="Times New Roman"/>
      <w:szCs w:val="21"/>
      <w:lang w:val="en-US"/>
    </w:rPr>
  </w:style>
  <w:style w:type="paragraph" w:styleId="PlainText">
    <w:name w:val="Plain Text"/>
    <w:basedOn w:val="Normal"/>
    <w:link w:val="PlainTextChar"/>
    <w:uiPriority w:val="99"/>
    <w:semiHidden/>
    <w:unhideWhenUsed/>
    <w:rsid w:val="00920BE8"/>
    <w:rPr>
      <w:rFonts w:ascii="Times New Roman" w:eastAsia="Calibri" w:hAnsi="Times New Roman"/>
      <w:sz w:val="22"/>
      <w:szCs w:val="21"/>
      <w:lang w:eastAsia="en-US"/>
    </w:rPr>
  </w:style>
  <w:style w:type="paragraph" w:customStyle="1" w:styleId="Quotation">
    <w:name w:val="Quotation"/>
    <w:basedOn w:val="Text"/>
    <w:rsid w:val="00920BE8"/>
    <w:pPr>
      <w:spacing w:before="120" w:after="120"/>
      <w:ind w:left="567" w:right="567"/>
    </w:pPr>
    <w:rPr>
      <w:sz w:val="18"/>
    </w:rPr>
  </w:style>
  <w:style w:type="paragraph" w:customStyle="1" w:styleId="ReferencesText">
    <w:name w:val="References Text"/>
    <w:basedOn w:val="Text"/>
    <w:rsid w:val="00920BE8"/>
    <w:pPr>
      <w:tabs>
        <w:tab w:val="clear" w:pos="567"/>
      </w:tabs>
      <w:suppressAutoHyphens/>
      <w:ind w:left="567" w:hanging="567"/>
    </w:pPr>
    <w:rPr>
      <w:sz w:val="18"/>
    </w:rPr>
  </w:style>
  <w:style w:type="paragraph" w:customStyle="1" w:styleId="ShortReportheading">
    <w:name w:val="Short Report heading"/>
    <w:basedOn w:val="Text"/>
    <w:rsid w:val="00920BE8"/>
    <w:pPr>
      <w:spacing w:before="480"/>
      <w:jc w:val="center"/>
    </w:pPr>
    <w:rPr>
      <w:b/>
      <w:sz w:val="24"/>
    </w:rPr>
  </w:style>
  <w:style w:type="paragraph" w:customStyle="1" w:styleId="Space">
    <w:name w:val="Space"/>
    <w:basedOn w:val="Text"/>
    <w:rsid w:val="00920BE8"/>
  </w:style>
  <w:style w:type="paragraph" w:customStyle="1" w:styleId="Summary">
    <w:name w:val="Summary"/>
    <w:basedOn w:val="Articletitle"/>
    <w:rsid w:val="00920BE8"/>
    <w:pPr>
      <w:spacing w:before="0"/>
      <w:ind w:left="397" w:right="397"/>
      <w:jc w:val="both"/>
    </w:pPr>
    <w:rPr>
      <w:spacing w:val="0"/>
      <w:sz w:val="20"/>
      <w:lang w:val="en-GB"/>
    </w:rPr>
  </w:style>
  <w:style w:type="paragraph" w:customStyle="1" w:styleId="TableLegendHead">
    <w:name w:val="Table Legend (Head)"/>
    <w:basedOn w:val="Text"/>
    <w:next w:val="Normal"/>
    <w:rsid w:val="00920BE8"/>
    <w:pPr>
      <w:tabs>
        <w:tab w:val="clear" w:pos="567"/>
      </w:tabs>
      <w:suppressAutoHyphens/>
      <w:spacing w:before="240"/>
      <w:jc w:val="left"/>
    </w:pPr>
  </w:style>
  <w:style w:type="paragraph" w:customStyle="1" w:styleId="TableBodyinclColHeads">
    <w:name w:val="Table Body (incl. Col Heads)"/>
    <w:basedOn w:val="TableLegendHead"/>
    <w:rsid w:val="00920BE8"/>
    <w:pPr>
      <w:suppressAutoHyphens w:val="0"/>
    </w:pPr>
    <w:rPr>
      <w:sz w:val="18"/>
    </w:rPr>
  </w:style>
  <w:style w:type="paragraph" w:customStyle="1" w:styleId="TableFootnotes">
    <w:name w:val="Table Footnotes"/>
    <w:basedOn w:val="TableBodyinclColHeads"/>
    <w:rsid w:val="00920BE8"/>
  </w:style>
  <w:style w:type="paragraph" w:customStyle="1" w:styleId="EndNoteBibliographyTitle">
    <w:name w:val="EndNote Bibliography Title"/>
    <w:basedOn w:val="Normal"/>
    <w:link w:val="EndNoteBibliographyTitleChar"/>
    <w:rsid w:val="00920BE8"/>
    <w:pPr>
      <w:jc w:val="center"/>
    </w:pPr>
    <w:rPr>
      <w:rFonts w:ascii="Calibri" w:hAnsi="Calibri"/>
      <w:noProof/>
      <w:spacing w:val="-3"/>
    </w:rPr>
  </w:style>
  <w:style w:type="character" w:customStyle="1" w:styleId="EndNoteBibliographyTitleChar">
    <w:name w:val="EndNote Bibliography Title Char"/>
    <w:basedOn w:val="TextChar"/>
    <w:link w:val="EndNoteBibliographyTitle"/>
    <w:rsid w:val="00920BE8"/>
    <w:rPr>
      <w:rFonts w:ascii="Calibri" w:eastAsia="Times New Roman" w:hAnsi="Calibri" w:cs="Times New Roman"/>
      <w:noProof/>
      <w:spacing w:val="-3"/>
      <w:sz w:val="20"/>
      <w:szCs w:val="20"/>
      <w:lang w:val="en-US" w:eastAsia="en-GB"/>
    </w:rPr>
  </w:style>
  <w:style w:type="paragraph" w:customStyle="1" w:styleId="EndNoteBibliography">
    <w:name w:val="EndNote Bibliography"/>
    <w:basedOn w:val="Normal"/>
    <w:link w:val="EndNoteBibliographyChar"/>
    <w:rsid w:val="00920BE8"/>
    <w:rPr>
      <w:rFonts w:ascii="Calibri" w:hAnsi="Calibri"/>
      <w:noProof/>
      <w:spacing w:val="-3"/>
    </w:rPr>
  </w:style>
  <w:style w:type="character" w:customStyle="1" w:styleId="EndNoteBibliographyChar">
    <w:name w:val="EndNote Bibliography Char"/>
    <w:basedOn w:val="TextChar"/>
    <w:link w:val="EndNoteBibliography"/>
    <w:rsid w:val="00920BE8"/>
    <w:rPr>
      <w:rFonts w:ascii="Calibri" w:eastAsia="Times New Roman" w:hAnsi="Calibri" w:cs="Times New Roman"/>
      <w:noProof/>
      <w:spacing w:val="-3"/>
      <w:sz w:val="20"/>
      <w:szCs w:val="2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11</Pages>
  <Words>4136</Words>
  <Characters>23580</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27661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Adanikin A.I.</dc:creator>
  <cp:keywords/>
  <dc:description/>
  <cp:lastModifiedBy>Adanikin A.I.</cp:lastModifiedBy>
  <cp:revision>1</cp:revision>
  <dcterms:created xsi:type="dcterms:W3CDTF">2016-10-17T15:14:00Z</dcterms:created>
  <dcterms:modified xsi:type="dcterms:W3CDTF">2016-10-17T15:42:00Z</dcterms:modified>
</cp:coreProperties>
</file>