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93C2F" w14:textId="063AD582" w:rsidR="00197291" w:rsidRPr="00E421F4" w:rsidRDefault="00197291" w:rsidP="00197291">
      <w:pPr>
        <w:spacing w:line="360" w:lineRule="auto"/>
        <w:rPr>
          <w:rFonts w:ascii="Garamond" w:hAnsi="Garamond"/>
          <w:b/>
        </w:rPr>
      </w:pPr>
      <w:r w:rsidRPr="00E421F4">
        <w:rPr>
          <w:rFonts w:ascii="Garamond" w:hAnsi="Garamond"/>
          <w:b/>
        </w:rPr>
        <w:t xml:space="preserve">Why Perceived Size Matters for Agency Termination </w:t>
      </w:r>
    </w:p>
    <w:p w14:paraId="18BEF1FD" w14:textId="77777777" w:rsidR="00BC5ACE" w:rsidRPr="00E421F4" w:rsidRDefault="00BC5ACE" w:rsidP="00BC5ACE">
      <w:pPr>
        <w:spacing w:line="360" w:lineRule="auto"/>
        <w:rPr>
          <w:rFonts w:ascii="Garamond" w:hAnsi="Garamond"/>
        </w:rPr>
      </w:pPr>
    </w:p>
    <w:p w14:paraId="70562AAF" w14:textId="77777777" w:rsidR="00BC5ACE" w:rsidRPr="00E421F4" w:rsidRDefault="00BC5ACE" w:rsidP="00BC5ACE">
      <w:pPr>
        <w:spacing w:line="360" w:lineRule="auto"/>
        <w:ind w:left="567"/>
        <w:rPr>
          <w:rFonts w:ascii="Garamond" w:hAnsi="Garamond"/>
        </w:rPr>
      </w:pPr>
      <w:r w:rsidRPr="00E421F4">
        <w:rPr>
          <w:rFonts w:ascii="Garamond" w:hAnsi="Garamond"/>
          <w:i/>
        </w:rPr>
        <w:t>[T]he single most important reason why bureaus so rarely die is that they are large, and all large organizations have high survival rates . . . size . . . is the number one determinant of survival.</w:t>
      </w:r>
      <w:r w:rsidRPr="00E421F4">
        <w:rPr>
          <w:rFonts w:ascii="Garamond" w:hAnsi="Garamond"/>
        </w:rPr>
        <w:t xml:space="preserve"> </w:t>
      </w:r>
    </w:p>
    <w:p w14:paraId="34B0691F" w14:textId="06F3DC9E" w:rsidR="00BC5ACE" w:rsidRPr="00E421F4" w:rsidRDefault="00BC5ACE" w:rsidP="00BC5ACE">
      <w:pPr>
        <w:spacing w:line="360" w:lineRule="auto"/>
        <w:ind w:left="567"/>
        <w:rPr>
          <w:rFonts w:ascii="Garamond" w:hAnsi="Garamond"/>
        </w:rPr>
      </w:pPr>
      <w:r w:rsidRPr="00E421F4">
        <w:rPr>
          <w:rFonts w:ascii="Garamond" w:hAnsi="Garamond"/>
        </w:rPr>
        <w:tab/>
      </w:r>
      <w:r w:rsidRPr="00E421F4">
        <w:rPr>
          <w:rFonts w:ascii="Garamond" w:hAnsi="Garamond"/>
        </w:rPr>
        <w:tab/>
      </w:r>
      <w:r w:rsidRPr="00E421F4">
        <w:rPr>
          <w:rFonts w:ascii="Garamond" w:hAnsi="Garamond"/>
        </w:rPr>
        <w:tab/>
      </w:r>
      <w:r w:rsidRPr="00E421F4">
        <w:rPr>
          <w:rFonts w:ascii="Garamond" w:hAnsi="Garamond"/>
        </w:rPr>
        <w:tab/>
      </w:r>
      <w:r w:rsidRPr="00E421F4">
        <w:rPr>
          <w:rFonts w:ascii="Garamond" w:hAnsi="Garamond"/>
        </w:rPr>
        <w:tab/>
      </w:r>
      <w:r w:rsidRPr="00E421F4">
        <w:rPr>
          <w:rFonts w:ascii="Garamond" w:hAnsi="Garamond"/>
        </w:rPr>
        <w:tab/>
      </w:r>
      <w:r w:rsidRPr="00E421F4">
        <w:rPr>
          <w:rFonts w:ascii="Garamond" w:hAnsi="Garamond"/>
        </w:rPr>
        <w:tab/>
        <w:t>Anthony Downs</w:t>
      </w:r>
      <w:r w:rsidR="00743A74" w:rsidRPr="00E421F4">
        <w:rPr>
          <w:rFonts w:ascii="Garamond" w:hAnsi="Garamond"/>
        </w:rPr>
        <w:t xml:space="preserve"> (1967, p. 23)</w:t>
      </w:r>
      <w:r w:rsidRPr="00E421F4">
        <w:rPr>
          <w:rFonts w:ascii="Garamond" w:hAnsi="Garamond"/>
        </w:rPr>
        <w:t xml:space="preserve"> </w:t>
      </w:r>
    </w:p>
    <w:p w14:paraId="6EBD9350" w14:textId="77777777" w:rsidR="00BC5ACE" w:rsidRPr="00E421F4" w:rsidRDefault="00BC5ACE" w:rsidP="00BC5ACE">
      <w:pPr>
        <w:spacing w:line="360" w:lineRule="auto"/>
        <w:rPr>
          <w:rFonts w:ascii="Garamond" w:hAnsi="Garamond"/>
        </w:rPr>
      </w:pPr>
    </w:p>
    <w:p w14:paraId="79C96815" w14:textId="7BAFE2F5" w:rsidR="00BC5ACE" w:rsidRPr="00E421F4" w:rsidRDefault="00BC5ACE" w:rsidP="00BC5ACE">
      <w:pPr>
        <w:spacing w:line="360" w:lineRule="auto"/>
        <w:rPr>
          <w:rFonts w:ascii="Garamond" w:hAnsi="Garamond"/>
        </w:rPr>
      </w:pPr>
      <w:r w:rsidRPr="00E421F4">
        <w:rPr>
          <w:rFonts w:ascii="Garamond" w:hAnsi="Garamond"/>
        </w:rPr>
        <w:t>The question of whether, how and under what circumstances public organizations die has troubled administrative scholars for more than half a century</w:t>
      </w:r>
      <w:r w:rsidR="00743A74" w:rsidRPr="00E421F4">
        <w:rPr>
          <w:rFonts w:ascii="Garamond" w:hAnsi="Garamond"/>
        </w:rPr>
        <w:t xml:space="preserve"> (</w:t>
      </w:r>
      <w:proofErr w:type="spellStart"/>
      <w:r w:rsidR="00743A74" w:rsidRPr="00E421F4">
        <w:rPr>
          <w:rFonts w:ascii="Garamond" w:hAnsi="Garamond"/>
        </w:rPr>
        <w:t>Boin</w:t>
      </w:r>
      <w:proofErr w:type="spellEnd"/>
      <w:r w:rsidR="00743A74" w:rsidRPr="00E421F4">
        <w:rPr>
          <w:rFonts w:ascii="Garamond" w:hAnsi="Garamond"/>
        </w:rPr>
        <w:t xml:space="preserve">, </w:t>
      </w:r>
      <w:proofErr w:type="spellStart"/>
      <w:r w:rsidR="00743A74" w:rsidRPr="00E421F4">
        <w:rPr>
          <w:rFonts w:ascii="Garamond" w:hAnsi="Garamond"/>
        </w:rPr>
        <w:t>Kuipers</w:t>
      </w:r>
      <w:proofErr w:type="spellEnd"/>
      <w:r w:rsidR="00743A74" w:rsidRPr="00E421F4">
        <w:rPr>
          <w:rFonts w:ascii="Garamond" w:hAnsi="Garamond"/>
        </w:rPr>
        <w:t xml:space="preserve">, &amp; </w:t>
      </w:r>
      <w:proofErr w:type="spellStart"/>
      <w:r w:rsidR="00743A74" w:rsidRPr="00E421F4">
        <w:rPr>
          <w:rFonts w:ascii="Garamond" w:hAnsi="Garamond"/>
        </w:rPr>
        <w:t>Steenbergen</w:t>
      </w:r>
      <w:proofErr w:type="spellEnd"/>
      <w:r w:rsidR="00743A74" w:rsidRPr="00E421F4">
        <w:rPr>
          <w:rFonts w:ascii="Garamond" w:hAnsi="Garamond"/>
        </w:rPr>
        <w:t>, 2010)</w:t>
      </w:r>
      <w:r w:rsidRPr="00E421F4">
        <w:rPr>
          <w:rFonts w:ascii="Garamond" w:hAnsi="Garamond"/>
        </w:rPr>
        <w:t>. Early scholarship assumed government organizations were effectively immortal, on the grounds that government agencies are large</w:t>
      </w:r>
      <w:r w:rsidR="00D6691A" w:rsidRPr="00E421F4">
        <w:rPr>
          <w:rFonts w:ascii="Garamond" w:hAnsi="Garamond"/>
        </w:rPr>
        <w:t>,</w:t>
      </w:r>
      <w:r w:rsidRPr="00E421F4">
        <w:rPr>
          <w:rFonts w:ascii="Garamond" w:hAnsi="Garamond"/>
        </w:rPr>
        <w:t xml:space="preserve"> and large organizations do not die</w:t>
      </w:r>
      <w:r w:rsidR="00743A74" w:rsidRPr="00E421F4">
        <w:rPr>
          <w:rFonts w:ascii="Garamond" w:hAnsi="Garamond"/>
        </w:rPr>
        <w:t xml:space="preserve"> (Downs, 1967; Simon, 1950)</w:t>
      </w:r>
      <w:r w:rsidRPr="00E421F4">
        <w:rPr>
          <w:rFonts w:ascii="Garamond" w:hAnsi="Garamond"/>
        </w:rPr>
        <w:t xml:space="preserve">. This view stoked </w:t>
      </w:r>
      <w:r w:rsidR="00CF0EA0" w:rsidRPr="00E421F4">
        <w:rPr>
          <w:rFonts w:ascii="Garamond" w:hAnsi="Garamond"/>
        </w:rPr>
        <w:t xml:space="preserve">fears </w:t>
      </w:r>
      <w:r w:rsidRPr="00E421F4">
        <w:rPr>
          <w:rFonts w:ascii="Garamond" w:hAnsi="Garamond"/>
        </w:rPr>
        <w:t xml:space="preserve">of </w:t>
      </w:r>
      <w:r w:rsidR="00CF0EA0" w:rsidRPr="00E421F4">
        <w:rPr>
          <w:rFonts w:ascii="Garamond" w:hAnsi="Garamond"/>
        </w:rPr>
        <w:t xml:space="preserve">inevitable and </w:t>
      </w:r>
      <w:r w:rsidRPr="00E421F4">
        <w:rPr>
          <w:rFonts w:ascii="Garamond" w:hAnsi="Garamond"/>
        </w:rPr>
        <w:t xml:space="preserve">untrammelled bureaucratic growth </w:t>
      </w:r>
      <w:r w:rsidR="00743A74" w:rsidRPr="00E421F4">
        <w:rPr>
          <w:rFonts w:ascii="Garamond" w:hAnsi="Garamond"/>
        </w:rPr>
        <w:t>(</w:t>
      </w:r>
      <w:proofErr w:type="spellStart"/>
      <w:r w:rsidR="00743A74" w:rsidRPr="00E421F4">
        <w:rPr>
          <w:rFonts w:ascii="Garamond" w:hAnsi="Garamond"/>
        </w:rPr>
        <w:t>Lowi</w:t>
      </w:r>
      <w:proofErr w:type="spellEnd"/>
      <w:r w:rsidR="00743A74" w:rsidRPr="00E421F4">
        <w:rPr>
          <w:rFonts w:ascii="Garamond" w:hAnsi="Garamond"/>
        </w:rPr>
        <w:t xml:space="preserve"> 1969)</w:t>
      </w:r>
      <w:r w:rsidRPr="00E421F4">
        <w:rPr>
          <w:rFonts w:ascii="Garamond" w:hAnsi="Garamond"/>
        </w:rPr>
        <w:t xml:space="preserve">, and </w:t>
      </w:r>
      <w:r w:rsidR="00DF1286">
        <w:rPr>
          <w:rFonts w:ascii="Garamond" w:hAnsi="Garamond"/>
        </w:rPr>
        <w:t>underpinned</w:t>
      </w:r>
      <w:r w:rsidR="00DF1286" w:rsidRPr="00E421F4">
        <w:rPr>
          <w:rFonts w:ascii="Garamond" w:hAnsi="Garamond"/>
        </w:rPr>
        <w:t xml:space="preserve"> </w:t>
      </w:r>
      <w:r w:rsidRPr="00E421F4">
        <w:rPr>
          <w:rFonts w:ascii="Garamond" w:hAnsi="Garamond"/>
        </w:rPr>
        <w:t xml:space="preserve">political campaigns against big government, which found their </w:t>
      </w:r>
      <w:proofErr w:type="gramStart"/>
      <w:r w:rsidRPr="00E421F4">
        <w:rPr>
          <w:rFonts w:ascii="Garamond" w:hAnsi="Garamond"/>
        </w:rPr>
        <w:t>expression</w:t>
      </w:r>
      <w:proofErr w:type="gramEnd"/>
      <w:r w:rsidRPr="00E421F4">
        <w:rPr>
          <w:rFonts w:ascii="Garamond" w:hAnsi="Garamond"/>
        </w:rPr>
        <w:t xml:space="preserve"> in the new public management </w:t>
      </w:r>
      <w:r w:rsidR="00850D69" w:rsidRPr="00E421F4">
        <w:rPr>
          <w:rFonts w:ascii="Garamond" w:hAnsi="Garamond"/>
        </w:rPr>
        <w:t xml:space="preserve">(NPM) </w:t>
      </w:r>
      <w:r w:rsidRPr="00E421F4">
        <w:rPr>
          <w:rFonts w:ascii="Garamond" w:hAnsi="Garamond"/>
        </w:rPr>
        <w:t>and its programs of termination and/or privatisation of large and inefficient government operations</w:t>
      </w:r>
      <w:r w:rsidR="00743A74" w:rsidRPr="00E421F4">
        <w:rPr>
          <w:rFonts w:ascii="Garamond" w:hAnsi="Garamond"/>
        </w:rPr>
        <w:t xml:space="preserve"> (Hood, 1991)</w:t>
      </w:r>
      <w:r w:rsidRPr="00E421F4">
        <w:rPr>
          <w:rFonts w:ascii="Garamond" w:hAnsi="Garamond"/>
        </w:rPr>
        <w:t xml:space="preserve">. These belt-tightening efforts have continued into the </w:t>
      </w:r>
      <w:r w:rsidR="00A0747F" w:rsidRPr="00E421F4">
        <w:rPr>
          <w:rFonts w:ascii="Garamond" w:hAnsi="Garamond"/>
        </w:rPr>
        <w:t xml:space="preserve">so-called </w:t>
      </w:r>
      <w:r w:rsidRPr="00E421F4">
        <w:rPr>
          <w:rFonts w:ascii="Garamond" w:hAnsi="Garamond"/>
        </w:rPr>
        <w:t xml:space="preserve">“post-NPM era”, </w:t>
      </w:r>
      <w:r w:rsidR="00850D69" w:rsidRPr="00E421F4">
        <w:rPr>
          <w:rFonts w:ascii="Garamond" w:hAnsi="Garamond"/>
        </w:rPr>
        <w:t xml:space="preserve">with austerity programs </w:t>
      </w:r>
      <w:r w:rsidRPr="00E421F4">
        <w:rPr>
          <w:rFonts w:ascii="Garamond" w:hAnsi="Garamond"/>
        </w:rPr>
        <w:t>spurring new efforts to downsize, merge and terminate public sector organizations</w:t>
      </w:r>
      <w:r w:rsidR="00743A74" w:rsidRPr="00E421F4">
        <w:rPr>
          <w:rFonts w:ascii="Garamond" w:hAnsi="Garamond"/>
        </w:rPr>
        <w:t xml:space="preserve"> (Flinders, </w:t>
      </w:r>
      <w:proofErr w:type="spellStart"/>
      <w:r w:rsidR="00743A74" w:rsidRPr="00E421F4">
        <w:rPr>
          <w:rFonts w:ascii="Garamond" w:hAnsi="Garamond"/>
        </w:rPr>
        <w:t>Dommett</w:t>
      </w:r>
      <w:proofErr w:type="spellEnd"/>
      <w:r w:rsidR="00743A74" w:rsidRPr="00E421F4">
        <w:rPr>
          <w:rFonts w:ascii="Garamond" w:hAnsi="Garamond"/>
        </w:rPr>
        <w:t xml:space="preserve">, &amp; </w:t>
      </w:r>
      <w:proofErr w:type="spellStart"/>
      <w:r w:rsidR="00743A74" w:rsidRPr="00E421F4">
        <w:rPr>
          <w:rFonts w:ascii="Garamond" w:hAnsi="Garamond"/>
        </w:rPr>
        <w:t>Tonkiss</w:t>
      </w:r>
      <w:proofErr w:type="spellEnd"/>
      <w:r w:rsidR="00743A74" w:rsidRPr="00E421F4">
        <w:rPr>
          <w:rFonts w:ascii="Garamond" w:hAnsi="Garamond"/>
        </w:rPr>
        <w:t xml:space="preserve">, 2014; Flinders &amp; </w:t>
      </w:r>
      <w:proofErr w:type="spellStart"/>
      <w:r w:rsidR="00743A74" w:rsidRPr="00E421F4">
        <w:rPr>
          <w:rFonts w:ascii="Garamond" w:hAnsi="Garamond"/>
        </w:rPr>
        <w:t>Skelcher</w:t>
      </w:r>
      <w:proofErr w:type="spellEnd"/>
      <w:r w:rsidR="00743A74" w:rsidRPr="00E421F4">
        <w:rPr>
          <w:rFonts w:ascii="Garamond" w:hAnsi="Garamond"/>
        </w:rPr>
        <w:t>, 2012</w:t>
      </w:r>
      <w:r w:rsidR="001A3FE5" w:rsidRPr="00E421F4">
        <w:rPr>
          <w:rFonts w:ascii="Garamond" w:hAnsi="Garamond"/>
        </w:rPr>
        <w:t xml:space="preserve">; </w:t>
      </w:r>
      <w:r w:rsidR="009D375D">
        <w:rPr>
          <w:rFonts w:ascii="Garamond" w:hAnsi="Garamond"/>
        </w:rPr>
        <w:t xml:space="preserve">Howard 2015; </w:t>
      </w:r>
      <w:r w:rsidR="00AC4E4E">
        <w:rPr>
          <w:rFonts w:ascii="Garamond" w:hAnsi="Garamond"/>
        </w:rPr>
        <w:t xml:space="preserve">Wood 2015; </w:t>
      </w:r>
      <w:r w:rsidR="001A3FE5" w:rsidRPr="00E421F4">
        <w:rPr>
          <w:rFonts w:ascii="Garamond" w:hAnsi="Garamond"/>
        </w:rPr>
        <w:t>Lodge and Hood 2012</w:t>
      </w:r>
      <w:r w:rsidR="00743A74" w:rsidRPr="00E421F4">
        <w:rPr>
          <w:rFonts w:ascii="Garamond" w:hAnsi="Garamond"/>
        </w:rPr>
        <w:t>)</w:t>
      </w:r>
      <w:r w:rsidRPr="00E421F4">
        <w:rPr>
          <w:rFonts w:ascii="Garamond" w:hAnsi="Garamond"/>
        </w:rPr>
        <w:t>. Throughout this period scholars have undertaken increasingly sophisticated</w:t>
      </w:r>
      <w:r w:rsidR="00B0583B" w:rsidRPr="00E421F4">
        <w:rPr>
          <w:rFonts w:ascii="Garamond" w:hAnsi="Garamond"/>
        </w:rPr>
        <w:t xml:space="preserve"> empirical </w:t>
      </w:r>
      <w:r w:rsidR="00B067D9" w:rsidRPr="00E421F4">
        <w:rPr>
          <w:rFonts w:ascii="Garamond" w:hAnsi="Garamond"/>
        </w:rPr>
        <w:t xml:space="preserve">studies </w:t>
      </w:r>
      <w:r w:rsidRPr="00E421F4">
        <w:rPr>
          <w:rFonts w:ascii="Garamond" w:hAnsi="Garamond"/>
        </w:rPr>
        <w:t xml:space="preserve">to determine the conditions that increase the </w:t>
      </w:r>
      <w:r w:rsidR="00537508" w:rsidRPr="00E421F4">
        <w:rPr>
          <w:rFonts w:ascii="Garamond" w:hAnsi="Garamond"/>
        </w:rPr>
        <w:t>probability</w:t>
      </w:r>
      <w:r w:rsidRPr="00E421F4">
        <w:rPr>
          <w:rFonts w:ascii="Garamond" w:hAnsi="Garamond"/>
        </w:rPr>
        <w:t xml:space="preserve"> of agency termination. </w:t>
      </w:r>
      <w:r w:rsidR="00924184" w:rsidRPr="00E421F4">
        <w:rPr>
          <w:rFonts w:ascii="Garamond" w:hAnsi="Garamond"/>
        </w:rPr>
        <w:t>The o</w:t>
      </w:r>
      <w:r w:rsidR="00B067D9" w:rsidRPr="00E421F4">
        <w:rPr>
          <w:rFonts w:ascii="Garamond" w:hAnsi="Garamond"/>
        </w:rPr>
        <w:t>bjective s</w:t>
      </w:r>
      <w:r w:rsidRPr="00E421F4">
        <w:rPr>
          <w:rFonts w:ascii="Garamond" w:hAnsi="Garamond"/>
        </w:rPr>
        <w:t>ize</w:t>
      </w:r>
      <w:r w:rsidR="00924184" w:rsidRPr="00E421F4">
        <w:rPr>
          <w:rFonts w:ascii="Garamond" w:hAnsi="Garamond"/>
        </w:rPr>
        <w:t xml:space="preserve"> of an agency</w:t>
      </w:r>
      <w:r w:rsidRPr="00E421F4">
        <w:rPr>
          <w:rFonts w:ascii="Garamond" w:hAnsi="Garamond"/>
        </w:rPr>
        <w:t xml:space="preserve">, defined in relation to </w:t>
      </w:r>
      <w:r w:rsidR="00924184" w:rsidRPr="00E421F4">
        <w:rPr>
          <w:rFonts w:ascii="Garamond" w:hAnsi="Garamond"/>
        </w:rPr>
        <w:t xml:space="preserve">its </w:t>
      </w:r>
      <w:r w:rsidRPr="00E421F4">
        <w:rPr>
          <w:rFonts w:ascii="Garamond" w:hAnsi="Garamond"/>
        </w:rPr>
        <w:t xml:space="preserve">budget, is sometimes included as a variable in these studies, with most finding </w:t>
      </w:r>
      <w:r w:rsidR="00B0583B" w:rsidRPr="00E421F4">
        <w:rPr>
          <w:rFonts w:ascii="Garamond" w:hAnsi="Garamond"/>
        </w:rPr>
        <w:t>size</w:t>
      </w:r>
      <w:r w:rsidRPr="00E421F4">
        <w:rPr>
          <w:rFonts w:ascii="Garamond" w:hAnsi="Garamond"/>
        </w:rPr>
        <w:t xml:space="preserve"> has a </w:t>
      </w:r>
      <w:r w:rsidR="00267A42" w:rsidRPr="00E421F4">
        <w:rPr>
          <w:rFonts w:ascii="Garamond" w:hAnsi="Garamond"/>
        </w:rPr>
        <w:t xml:space="preserve">very </w:t>
      </w:r>
      <w:r w:rsidRPr="00E421F4">
        <w:rPr>
          <w:rFonts w:ascii="Garamond" w:hAnsi="Garamond"/>
        </w:rPr>
        <w:t>small positive effect on survival</w:t>
      </w:r>
      <w:r w:rsidR="00850D69" w:rsidRPr="00E421F4">
        <w:rPr>
          <w:rFonts w:ascii="Garamond" w:hAnsi="Garamond"/>
        </w:rPr>
        <w:t xml:space="preserve"> </w:t>
      </w:r>
      <w:r w:rsidR="00743A74" w:rsidRPr="00E421F4">
        <w:rPr>
          <w:rFonts w:ascii="Garamond" w:hAnsi="Garamond"/>
        </w:rPr>
        <w:t xml:space="preserve">(Berry, Burden, &amp; Howell, 2010; </w:t>
      </w:r>
      <w:proofErr w:type="spellStart"/>
      <w:r w:rsidR="00743A74" w:rsidRPr="00E421F4">
        <w:rPr>
          <w:rFonts w:ascii="Garamond" w:hAnsi="Garamond"/>
        </w:rPr>
        <w:t>Boin</w:t>
      </w:r>
      <w:proofErr w:type="spellEnd"/>
      <w:r w:rsidR="00743A74" w:rsidRPr="00E421F4">
        <w:rPr>
          <w:rFonts w:ascii="Garamond" w:hAnsi="Garamond"/>
        </w:rPr>
        <w:t xml:space="preserve"> et al., 2010; Carpenter &amp; Lewis, 2004; Lewis, 2002)</w:t>
      </w:r>
      <w:r w:rsidRPr="00E421F4">
        <w:rPr>
          <w:rFonts w:ascii="Garamond" w:hAnsi="Garamond"/>
        </w:rPr>
        <w:t>.</w:t>
      </w:r>
      <w:r w:rsidRPr="00E421F4">
        <w:rPr>
          <w:rFonts w:ascii="Garamond" w:hAnsi="Garamond"/>
        </w:rPr>
        <w:tab/>
      </w:r>
    </w:p>
    <w:p w14:paraId="3EAAEFEE" w14:textId="34AADC8A" w:rsidR="00BC5ACE" w:rsidRPr="00E421F4" w:rsidRDefault="00BC5ACE" w:rsidP="00BC5ACE">
      <w:pPr>
        <w:spacing w:line="360" w:lineRule="auto"/>
        <w:rPr>
          <w:rFonts w:ascii="Garamond" w:hAnsi="Garamond"/>
        </w:rPr>
      </w:pPr>
      <w:r w:rsidRPr="00E421F4">
        <w:rPr>
          <w:rFonts w:ascii="Garamond" w:hAnsi="Garamond"/>
        </w:rPr>
        <w:tab/>
        <w:t xml:space="preserve">The modest size effect suggests the </w:t>
      </w:r>
      <w:r w:rsidR="00784EF6" w:rsidRPr="00E421F4">
        <w:rPr>
          <w:rFonts w:ascii="Garamond" w:hAnsi="Garamond"/>
        </w:rPr>
        <w:t>traditional</w:t>
      </w:r>
      <w:r w:rsidRPr="00E421F4">
        <w:rPr>
          <w:rFonts w:ascii="Garamond" w:hAnsi="Garamond"/>
        </w:rPr>
        <w:t xml:space="preserve"> assumption that big agencies do not die </w:t>
      </w:r>
      <w:r w:rsidR="00B2460E" w:rsidRPr="00E421F4">
        <w:rPr>
          <w:rFonts w:ascii="Garamond" w:hAnsi="Garamond"/>
        </w:rPr>
        <w:t>should</w:t>
      </w:r>
      <w:r w:rsidRPr="00E421F4">
        <w:rPr>
          <w:rFonts w:ascii="Garamond" w:hAnsi="Garamond"/>
        </w:rPr>
        <w:t xml:space="preserve"> be revaluated. In particular, we need a better understanding of the mechanisms through which agency size </w:t>
      </w:r>
      <w:r w:rsidR="00924184" w:rsidRPr="00E421F4">
        <w:rPr>
          <w:rFonts w:ascii="Garamond" w:hAnsi="Garamond"/>
        </w:rPr>
        <w:t xml:space="preserve">affects </w:t>
      </w:r>
      <w:r w:rsidRPr="00E421F4">
        <w:rPr>
          <w:rFonts w:ascii="Garamond" w:hAnsi="Garamond"/>
        </w:rPr>
        <w:t>survival</w:t>
      </w:r>
      <w:r w:rsidR="00924184" w:rsidRPr="00E421F4">
        <w:rPr>
          <w:rFonts w:ascii="Garamond" w:hAnsi="Garamond"/>
        </w:rPr>
        <w:t xml:space="preserve"> chances</w:t>
      </w:r>
      <w:r w:rsidRPr="00E421F4">
        <w:rPr>
          <w:rFonts w:ascii="Garamond" w:hAnsi="Garamond"/>
        </w:rPr>
        <w:t xml:space="preserve">. </w:t>
      </w:r>
      <w:r w:rsidR="0027650D" w:rsidRPr="00E421F4">
        <w:rPr>
          <w:rFonts w:ascii="Garamond" w:hAnsi="Garamond"/>
        </w:rPr>
        <w:t>In this article we unpack these mechanisms by investigating the trajectory of one agency - the Australian Agency for International Development (</w:t>
      </w:r>
      <w:proofErr w:type="spellStart"/>
      <w:r w:rsidR="0027650D" w:rsidRPr="00E421F4">
        <w:rPr>
          <w:rFonts w:ascii="Garamond" w:hAnsi="Garamond"/>
        </w:rPr>
        <w:t>AusAID</w:t>
      </w:r>
      <w:proofErr w:type="spellEnd"/>
      <w:r w:rsidR="0027650D" w:rsidRPr="00E421F4">
        <w:rPr>
          <w:rFonts w:ascii="Garamond" w:hAnsi="Garamond"/>
        </w:rPr>
        <w:t>) - over four decades.</w:t>
      </w:r>
      <w:r w:rsidRPr="00E421F4">
        <w:rPr>
          <w:rFonts w:ascii="Garamond" w:hAnsi="Garamond"/>
        </w:rPr>
        <w:t xml:space="preserve"> </w:t>
      </w:r>
      <w:r w:rsidR="0027650D" w:rsidRPr="00E421F4">
        <w:rPr>
          <w:rFonts w:ascii="Garamond" w:hAnsi="Garamond"/>
        </w:rPr>
        <w:t xml:space="preserve">The case is significant because </w:t>
      </w:r>
      <w:r w:rsidR="00850D69" w:rsidRPr="00E421F4">
        <w:rPr>
          <w:rFonts w:ascii="Garamond" w:hAnsi="Garamond"/>
        </w:rPr>
        <w:t>this agency</w:t>
      </w:r>
      <w:r w:rsidR="00D6691A" w:rsidRPr="00E421F4">
        <w:rPr>
          <w:rFonts w:ascii="Garamond" w:hAnsi="Garamond"/>
        </w:rPr>
        <w:t xml:space="preserve"> </w:t>
      </w:r>
      <w:r w:rsidRPr="00E421F4">
        <w:rPr>
          <w:rFonts w:ascii="Garamond" w:hAnsi="Garamond"/>
        </w:rPr>
        <w:t xml:space="preserve">faced a succession of abolition attempts, including </w:t>
      </w:r>
      <w:r w:rsidR="00CA31CA" w:rsidRPr="00E421F4">
        <w:rPr>
          <w:rFonts w:ascii="Garamond" w:hAnsi="Garamond"/>
        </w:rPr>
        <w:t xml:space="preserve">a </w:t>
      </w:r>
      <w:r w:rsidR="00014B29" w:rsidRPr="00E421F4">
        <w:rPr>
          <w:rFonts w:ascii="Garamond" w:hAnsi="Garamond"/>
        </w:rPr>
        <w:t>partial termination in 1976</w:t>
      </w:r>
      <w:r w:rsidR="00CA31CA" w:rsidRPr="00E421F4">
        <w:rPr>
          <w:rFonts w:ascii="Garamond" w:hAnsi="Garamond"/>
        </w:rPr>
        <w:t>, followed</w:t>
      </w:r>
      <w:r w:rsidR="00014B29" w:rsidRPr="00E421F4">
        <w:rPr>
          <w:rFonts w:ascii="Garamond" w:hAnsi="Garamond"/>
        </w:rPr>
        <w:t xml:space="preserve"> </w:t>
      </w:r>
      <w:r w:rsidR="00CA31CA" w:rsidRPr="00E421F4">
        <w:rPr>
          <w:rFonts w:ascii="Garamond" w:hAnsi="Garamond"/>
        </w:rPr>
        <w:t>by</w:t>
      </w:r>
      <w:r w:rsidR="00E64E84" w:rsidRPr="00E421F4">
        <w:rPr>
          <w:rFonts w:ascii="Garamond" w:hAnsi="Garamond"/>
        </w:rPr>
        <w:t xml:space="preserve"> </w:t>
      </w:r>
      <w:r w:rsidR="00014B29" w:rsidRPr="00E421F4">
        <w:rPr>
          <w:rFonts w:ascii="Garamond" w:hAnsi="Garamond"/>
        </w:rPr>
        <w:t xml:space="preserve">re-establishment </w:t>
      </w:r>
      <w:r w:rsidR="00CA31CA" w:rsidRPr="00E421F4">
        <w:rPr>
          <w:rFonts w:ascii="Garamond" w:hAnsi="Garamond"/>
        </w:rPr>
        <w:t xml:space="preserve">and consolidation </w:t>
      </w:r>
      <w:r w:rsidR="00014B29" w:rsidRPr="00E421F4">
        <w:rPr>
          <w:rFonts w:ascii="Garamond" w:hAnsi="Garamond"/>
        </w:rPr>
        <w:t>throughout the 1990s and 2000s, before being fully terminated in 2013</w:t>
      </w:r>
      <w:r w:rsidRPr="00E421F4">
        <w:rPr>
          <w:rFonts w:ascii="Garamond" w:hAnsi="Garamond"/>
        </w:rPr>
        <w:t>.</w:t>
      </w:r>
      <w:r w:rsidR="00767167" w:rsidRPr="00E421F4">
        <w:rPr>
          <w:rFonts w:ascii="Garamond" w:hAnsi="Garamond"/>
        </w:rPr>
        <w:t xml:space="preserve"> </w:t>
      </w:r>
      <w:r w:rsidR="00DF1286">
        <w:rPr>
          <w:rFonts w:ascii="Garamond" w:hAnsi="Garamond"/>
        </w:rPr>
        <w:t xml:space="preserve">To do so we </w:t>
      </w:r>
      <w:r w:rsidR="00AD1B1F" w:rsidRPr="00E421F4">
        <w:rPr>
          <w:rFonts w:ascii="Garamond" w:hAnsi="Garamond"/>
          <w:lang w:val="en-US"/>
        </w:rPr>
        <w:t xml:space="preserve">adopt Kaufman’s (1976: 28) definition of organizational death in the public sector. For Kaufman, an organization is defined as a group of public officials surrounded by an ‘uninterruptedly maintained’ boundary, which distinguishes insiders from outsiders. Termination occurs when this boundary </w:t>
      </w:r>
      <w:r w:rsidR="00D31094" w:rsidRPr="00E421F4">
        <w:rPr>
          <w:rFonts w:ascii="Garamond" w:hAnsi="Garamond"/>
          <w:lang w:val="en-US"/>
        </w:rPr>
        <w:t>is no longer perceptible.</w:t>
      </w:r>
      <w:r w:rsidR="00AD1B1F" w:rsidRPr="00E421F4">
        <w:rPr>
          <w:rFonts w:ascii="Garamond" w:hAnsi="Garamond"/>
          <w:sz w:val="20"/>
          <w:szCs w:val="20"/>
          <w:lang w:val="en-US"/>
        </w:rPr>
        <w:t xml:space="preserve"> </w:t>
      </w:r>
      <w:r w:rsidR="00CA31CA" w:rsidRPr="00E421F4">
        <w:rPr>
          <w:rFonts w:ascii="Garamond" w:hAnsi="Garamond"/>
        </w:rPr>
        <w:t>Crucially</w:t>
      </w:r>
      <w:r w:rsidR="0027650D" w:rsidRPr="00E421F4">
        <w:rPr>
          <w:rFonts w:ascii="Garamond" w:hAnsi="Garamond"/>
        </w:rPr>
        <w:t xml:space="preserve">, </w:t>
      </w:r>
      <w:r w:rsidR="00AD1B1F" w:rsidRPr="00E421F4">
        <w:rPr>
          <w:rFonts w:ascii="Garamond" w:hAnsi="Garamond"/>
        </w:rPr>
        <w:t xml:space="preserve">in our empirical case </w:t>
      </w:r>
      <w:r w:rsidR="0027650D" w:rsidRPr="00E421F4">
        <w:rPr>
          <w:rFonts w:ascii="Garamond" w:hAnsi="Garamond"/>
        </w:rPr>
        <w:t xml:space="preserve">each attempt at termination was justified on the grounds that </w:t>
      </w:r>
      <w:r w:rsidR="00CA31CA" w:rsidRPr="00E421F4">
        <w:rPr>
          <w:rFonts w:ascii="Garamond" w:hAnsi="Garamond"/>
        </w:rPr>
        <w:t>the agency</w:t>
      </w:r>
      <w:r w:rsidR="0027650D" w:rsidRPr="00E421F4">
        <w:rPr>
          <w:rFonts w:ascii="Garamond" w:hAnsi="Garamond"/>
        </w:rPr>
        <w:t xml:space="preserve"> had grown</w:t>
      </w:r>
      <w:r w:rsidR="0027650D" w:rsidRPr="00E421F4">
        <w:rPr>
          <w:rFonts w:ascii="Garamond" w:hAnsi="Garamond"/>
          <w:i/>
        </w:rPr>
        <w:t xml:space="preserve"> too large</w:t>
      </w:r>
      <w:r w:rsidR="0027650D" w:rsidRPr="00E421F4">
        <w:rPr>
          <w:rFonts w:ascii="Garamond" w:hAnsi="Garamond"/>
        </w:rPr>
        <w:t xml:space="preserve">. </w:t>
      </w:r>
      <w:r w:rsidRPr="00E421F4">
        <w:rPr>
          <w:rFonts w:ascii="Garamond" w:hAnsi="Garamond"/>
        </w:rPr>
        <w:t xml:space="preserve">By investigating </w:t>
      </w:r>
      <w:r w:rsidRPr="00E421F4">
        <w:rPr>
          <w:rFonts w:ascii="Garamond" w:hAnsi="Garamond"/>
        </w:rPr>
        <w:lastRenderedPageBreak/>
        <w:t xml:space="preserve">the multiple lives and deaths of </w:t>
      </w:r>
      <w:r w:rsidR="007B4B58" w:rsidRPr="00E421F4">
        <w:rPr>
          <w:rFonts w:ascii="Garamond" w:hAnsi="Garamond"/>
        </w:rPr>
        <w:t>one</w:t>
      </w:r>
      <w:r w:rsidRPr="00E421F4">
        <w:rPr>
          <w:rFonts w:ascii="Garamond" w:hAnsi="Garamond"/>
        </w:rPr>
        <w:t xml:space="preserve"> agency over time we are able to show that </w:t>
      </w:r>
      <w:r w:rsidR="002D5C54" w:rsidRPr="00E421F4">
        <w:rPr>
          <w:rFonts w:ascii="Garamond" w:hAnsi="Garamond"/>
        </w:rPr>
        <w:t xml:space="preserve">in addition to </w:t>
      </w:r>
      <w:r w:rsidR="002D5C54" w:rsidRPr="00E421F4">
        <w:rPr>
          <w:rFonts w:ascii="Garamond" w:hAnsi="Garamond"/>
          <w:i/>
        </w:rPr>
        <w:t>objective size</w:t>
      </w:r>
      <w:r w:rsidR="002D5C54" w:rsidRPr="00E421F4">
        <w:rPr>
          <w:rFonts w:ascii="Garamond" w:hAnsi="Garamond"/>
        </w:rPr>
        <w:t xml:space="preserve"> (budget, number of staff etc.), </w:t>
      </w:r>
      <w:r w:rsidR="003C1E4E" w:rsidRPr="00E421F4">
        <w:rPr>
          <w:rFonts w:ascii="Garamond" w:hAnsi="Garamond"/>
          <w:i/>
        </w:rPr>
        <w:t xml:space="preserve">perceived </w:t>
      </w:r>
      <w:r w:rsidRPr="00E421F4">
        <w:rPr>
          <w:rFonts w:ascii="Garamond" w:hAnsi="Garamond"/>
          <w:i/>
        </w:rPr>
        <w:t>size</w:t>
      </w:r>
      <w:r w:rsidRPr="00E421F4">
        <w:rPr>
          <w:rFonts w:ascii="Garamond" w:hAnsi="Garamond"/>
        </w:rPr>
        <w:t xml:space="preserve"> (</w:t>
      </w:r>
      <w:r w:rsidR="003C1E4E" w:rsidRPr="00E421F4">
        <w:rPr>
          <w:rFonts w:ascii="Garamond" w:hAnsi="Garamond"/>
        </w:rPr>
        <w:t xml:space="preserve">the </w:t>
      </w:r>
      <w:r w:rsidR="00B067D9" w:rsidRPr="00E421F4">
        <w:rPr>
          <w:rFonts w:ascii="Garamond" w:hAnsi="Garamond"/>
        </w:rPr>
        <w:t xml:space="preserve">meanings and </w:t>
      </w:r>
      <w:r w:rsidR="003C1E4E" w:rsidRPr="00E421F4">
        <w:rPr>
          <w:rFonts w:ascii="Garamond" w:hAnsi="Garamond"/>
        </w:rPr>
        <w:t>beliefs of external stakeholders in relation to the size of the agency</w:t>
      </w:r>
      <w:r w:rsidRPr="00E421F4">
        <w:rPr>
          <w:rFonts w:ascii="Garamond" w:hAnsi="Garamond"/>
        </w:rPr>
        <w:t xml:space="preserve">) </w:t>
      </w:r>
      <w:r w:rsidR="002D5C54" w:rsidRPr="00E421F4">
        <w:rPr>
          <w:rFonts w:ascii="Garamond" w:hAnsi="Garamond"/>
        </w:rPr>
        <w:t xml:space="preserve">also </w:t>
      </w:r>
      <w:r w:rsidRPr="00E421F4">
        <w:rPr>
          <w:rFonts w:ascii="Garamond" w:hAnsi="Garamond"/>
        </w:rPr>
        <w:t xml:space="preserve">matters </w:t>
      </w:r>
      <w:r w:rsidR="00EC3536" w:rsidRPr="00E421F4">
        <w:rPr>
          <w:rFonts w:ascii="Garamond" w:hAnsi="Garamond"/>
        </w:rPr>
        <w:t>when</w:t>
      </w:r>
      <w:r w:rsidRPr="00E421F4">
        <w:rPr>
          <w:rFonts w:ascii="Garamond" w:hAnsi="Garamond"/>
        </w:rPr>
        <w:t xml:space="preserve"> explaining termination. In short, the meaning of “size” is locally and temporally contingent, susceptible to both synchronic and diachronic reinterpretation</w:t>
      </w:r>
      <w:r w:rsidR="00743A74" w:rsidRPr="00E421F4">
        <w:rPr>
          <w:rFonts w:ascii="Garamond" w:hAnsi="Garamond"/>
        </w:rPr>
        <w:t xml:space="preserve"> (cf. </w:t>
      </w:r>
      <w:proofErr w:type="spellStart"/>
      <w:r w:rsidR="00743A74" w:rsidRPr="00E421F4">
        <w:rPr>
          <w:rFonts w:ascii="Garamond" w:hAnsi="Garamond"/>
        </w:rPr>
        <w:t>Elston</w:t>
      </w:r>
      <w:proofErr w:type="spellEnd"/>
      <w:r w:rsidR="00743A74" w:rsidRPr="00E421F4">
        <w:rPr>
          <w:rFonts w:ascii="Garamond" w:hAnsi="Garamond"/>
        </w:rPr>
        <w:t>, 2014</w:t>
      </w:r>
      <w:r w:rsidR="00B067D9" w:rsidRPr="00E421F4">
        <w:rPr>
          <w:rFonts w:ascii="Garamond" w:hAnsi="Garamond"/>
        </w:rPr>
        <w:t xml:space="preserve">; </w:t>
      </w:r>
      <w:proofErr w:type="spellStart"/>
      <w:r w:rsidR="00B067D9" w:rsidRPr="00E421F4">
        <w:rPr>
          <w:rFonts w:ascii="Garamond" w:hAnsi="Garamond"/>
        </w:rPr>
        <w:t>Papanastasiou</w:t>
      </w:r>
      <w:proofErr w:type="spellEnd"/>
      <w:r w:rsidR="00B067D9" w:rsidRPr="00E421F4">
        <w:rPr>
          <w:rFonts w:ascii="Garamond" w:hAnsi="Garamond"/>
        </w:rPr>
        <w:t xml:space="preserve"> 2016</w:t>
      </w:r>
      <w:r w:rsidR="000F4F38" w:rsidRPr="00E421F4">
        <w:rPr>
          <w:rFonts w:ascii="Garamond" w:hAnsi="Garamond"/>
        </w:rPr>
        <w:t xml:space="preserve">; </w:t>
      </w:r>
      <w:proofErr w:type="spellStart"/>
      <w:r w:rsidR="000F4F38" w:rsidRPr="00E421F4">
        <w:rPr>
          <w:rFonts w:ascii="Garamond" w:hAnsi="Garamond"/>
        </w:rPr>
        <w:t>Smullen</w:t>
      </w:r>
      <w:proofErr w:type="spellEnd"/>
      <w:r w:rsidR="000F4F38" w:rsidRPr="00E421F4">
        <w:rPr>
          <w:rFonts w:ascii="Garamond" w:hAnsi="Garamond"/>
        </w:rPr>
        <w:t xml:space="preserve"> 2010</w:t>
      </w:r>
      <w:r w:rsidR="00743A74" w:rsidRPr="00E421F4">
        <w:rPr>
          <w:rFonts w:ascii="Garamond" w:hAnsi="Garamond"/>
        </w:rPr>
        <w:t>)</w:t>
      </w:r>
      <w:r w:rsidRPr="00E421F4">
        <w:rPr>
          <w:rFonts w:ascii="Garamond" w:hAnsi="Garamond"/>
        </w:rPr>
        <w:t>. In substantiating these claims this article makes three contributions:</w:t>
      </w:r>
    </w:p>
    <w:p w14:paraId="3EC35281" w14:textId="6121FC74" w:rsidR="00BC5ACE" w:rsidRPr="00E421F4" w:rsidRDefault="00BC5ACE" w:rsidP="00BC5ACE">
      <w:pPr>
        <w:pStyle w:val="ListParagraph"/>
        <w:numPr>
          <w:ilvl w:val="0"/>
          <w:numId w:val="1"/>
        </w:numPr>
        <w:spacing w:line="360" w:lineRule="auto"/>
        <w:rPr>
          <w:rFonts w:ascii="Garamond" w:hAnsi="Garamond"/>
        </w:rPr>
      </w:pPr>
      <w:r w:rsidRPr="00E421F4">
        <w:rPr>
          <w:rFonts w:ascii="Garamond" w:hAnsi="Garamond"/>
          <w:i/>
        </w:rPr>
        <w:t>Theoretically</w:t>
      </w:r>
      <w:r w:rsidRPr="00E421F4">
        <w:rPr>
          <w:rFonts w:ascii="Garamond" w:hAnsi="Garamond"/>
        </w:rPr>
        <w:t xml:space="preserve">: it problematizes one of public administration’s longest standing assumptions </w:t>
      </w:r>
      <w:r w:rsidR="0027650D" w:rsidRPr="00E421F4">
        <w:rPr>
          <w:rFonts w:ascii="Garamond" w:hAnsi="Garamond"/>
        </w:rPr>
        <w:t>–</w:t>
      </w:r>
      <w:r w:rsidRPr="00E421F4">
        <w:rPr>
          <w:rFonts w:ascii="Garamond" w:hAnsi="Garamond"/>
        </w:rPr>
        <w:t xml:space="preserve"> </w:t>
      </w:r>
      <w:r w:rsidR="0027650D" w:rsidRPr="00E421F4">
        <w:rPr>
          <w:rFonts w:ascii="Garamond" w:hAnsi="Garamond"/>
        </w:rPr>
        <w:t>the bigger the agency the lower the risk of termination</w:t>
      </w:r>
      <w:r w:rsidRPr="00E421F4">
        <w:rPr>
          <w:rFonts w:ascii="Garamond" w:hAnsi="Garamond"/>
        </w:rPr>
        <w:t xml:space="preserve"> </w:t>
      </w:r>
      <w:r w:rsidR="0027650D" w:rsidRPr="00E421F4">
        <w:rPr>
          <w:rFonts w:ascii="Garamond" w:hAnsi="Garamond"/>
        </w:rPr>
        <w:t>–</w:t>
      </w:r>
      <w:r w:rsidRPr="00E421F4">
        <w:rPr>
          <w:rFonts w:ascii="Garamond" w:hAnsi="Garamond"/>
        </w:rPr>
        <w:t xml:space="preserve"> by developing </w:t>
      </w:r>
      <w:r w:rsidR="00784EF6" w:rsidRPr="00E421F4">
        <w:rPr>
          <w:rFonts w:ascii="Garamond" w:hAnsi="Garamond"/>
        </w:rPr>
        <w:t xml:space="preserve">the </w:t>
      </w:r>
      <w:r w:rsidRPr="00E421F4">
        <w:rPr>
          <w:rFonts w:ascii="Garamond" w:hAnsi="Garamond"/>
        </w:rPr>
        <w:t xml:space="preserve">concept of </w:t>
      </w:r>
      <w:r w:rsidR="003C1E4E" w:rsidRPr="00E421F4">
        <w:rPr>
          <w:rFonts w:ascii="Garamond" w:hAnsi="Garamond"/>
          <w:i/>
        </w:rPr>
        <w:t xml:space="preserve">perceived </w:t>
      </w:r>
      <w:r w:rsidR="00EC3536" w:rsidRPr="00E421F4">
        <w:rPr>
          <w:rFonts w:ascii="Garamond" w:hAnsi="Garamond"/>
          <w:i/>
        </w:rPr>
        <w:t>size</w:t>
      </w:r>
      <w:r w:rsidR="00D822CB" w:rsidRPr="00E421F4">
        <w:rPr>
          <w:rFonts w:ascii="Garamond" w:hAnsi="Garamond"/>
        </w:rPr>
        <w:t xml:space="preserve">. In doing so we also add to recent work on the importance of organizational adaptation (e.g. </w:t>
      </w:r>
      <w:proofErr w:type="spellStart"/>
      <w:r w:rsidR="00D822CB" w:rsidRPr="00E421F4">
        <w:rPr>
          <w:rFonts w:ascii="Garamond" w:hAnsi="Garamond"/>
        </w:rPr>
        <w:t>Boin</w:t>
      </w:r>
      <w:proofErr w:type="spellEnd"/>
      <w:r w:rsidR="00D822CB" w:rsidRPr="00E421F4">
        <w:rPr>
          <w:rFonts w:ascii="Garamond" w:hAnsi="Garamond"/>
        </w:rPr>
        <w:t xml:space="preserve"> et al., 2010) and reputation (Boon and </w:t>
      </w:r>
      <w:proofErr w:type="spellStart"/>
      <w:r w:rsidR="00D822CB" w:rsidRPr="00E421F4">
        <w:rPr>
          <w:rFonts w:ascii="Garamond" w:hAnsi="Garamond"/>
        </w:rPr>
        <w:t>Verhoest</w:t>
      </w:r>
      <w:proofErr w:type="spellEnd"/>
      <w:r w:rsidR="00D822CB" w:rsidRPr="00E421F4">
        <w:rPr>
          <w:rFonts w:ascii="Garamond" w:hAnsi="Garamond"/>
        </w:rPr>
        <w:t xml:space="preserve"> 2014; Carpenter 2001, 2014; </w:t>
      </w:r>
      <w:proofErr w:type="spellStart"/>
      <w:r w:rsidR="00D822CB" w:rsidRPr="00E421F4">
        <w:rPr>
          <w:rFonts w:ascii="Garamond" w:hAnsi="Garamond"/>
        </w:rPr>
        <w:t>Maor</w:t>
      </w:r>
      <w:proofErr w:type="spellEnd"/>
      <w:r w:rsidR="00D822CB" w:rsidRPr="00E421F4">
        <w:rPr>
          <w:rFonts w:ascii="Garamond" w:hAnsi="Garamond"/>
        </w:rPr>
        <w:t xml:space="preserve"> 2011)</w:t>
      </w:r>
      <w:r w:rsidR="00EC3536" w:rsidRPr="00E421F4">
        <w:rPr>
          <w:rFonts w:ascii="Garamond" w:hAnsi="Garamond"/>
        </w:rPr>
        <w:t>;</w:t>
      </w:r>
    </w:p>
    <w:p w14:paraId="6640FEEB" w14:textId="295E85C3" w:rsidR="00BC5ACE" w:rsidRPr="00E421F4" w:rsidRDefault="00BC5ACE" w:rsidP="00BC5ACE">
      <w:pPr>
        <w:pStyle w:val="ListParagraph"/>
        <w:numPr>
          <w:ilvl w:val="0"/>
          <w:numId w:val="1"/>
        </w:numPr>
        <w:spacing w:line="360" w:lineRule="auto"/>
        <w:rPr>
          <w:rFonts w:ascii="Garamond" w:hAnsi="Garamond"/>
        </w:rPr>
      </w:pPr>
      <w:r w:rsidRPr="00E421F4">
        <w:rPr>
          <w:rFonts w:ascii="Garamond" w:hAnsi="Garamond"/>
          <w:i/>
        </w:rPr>
        <w:t xml:space="preserve">Methodologically: </w:t>
      </w:r>
      <w:r w:rsidRPr="00E421F4">
        <w:rPr>
          <w:rFonts w:ascii="Garamond" w:hAnsi="Garamond"/>
        </w:rPr>
        <w:t xml:space="preserve">it </w:t>
      </w:r>
      <w:r w:rsidR="00B33D5F" w:rsidRPr="00E421F4">
        <w:rPr>
          <w:rFonts w:ascii="Garamond" w:hAnsi="Garamond"/>
        </w:rPr>
        <w:t>extends the small but growing body of interpretive scholarship on agencies (</w:t>
      </w:r>
      <w:r w:rsidR="0027650D" w:rsidRPr="00E421F4">
        <w:rPr>
          <w:rFonts w:ascii="Garamond" w:hAnsi="Garamond"/>
        </w:rPr>
        <w:t xml:space="preserve">e.g. </w:t>
      </w:r>
      <w:proofErr w:type="spellStart"/>
      <w:r w:rsidR="00B33D5F" w:rsidRPr="00E421F4">
        <w:rPr>
          <w:rFonts w:ascii="Garamond" w:hAnsi="Garamond"/>
        </w:rPr>
        <w:t>Smullen</w:t>
      </w:r>
      <w:proofErr w:type="spellEnd"/>
      <w:r w:rsidR="00E64E84" w:rsidRPr="00E421F4">
        <w:rPr>
          <w:rFonts w:ascii="Garamond" w:hAnsi="Garamond"/>
        </w:rPr>
        <w:t xml:space="preserve"> 201</w:t>
      </w:r>
      <w:r w:rsidR="00401B02" w:rsidRPr="00E421F4">
        <w:rPr>
          <w:rFonts w:ascii="Garamond" w:hAnsi="Garamond"/>
        </w:rPr>
        <w:t>0</w:t>
      </w:r>
      <w:r w:rsidR="00CA31CA" w:rsidRPr="00E421F4">
        <w:rPr>
          <w:rFonts w:ascii="Garamond" w:hAnsi="Garamond"/>
        </w:rPr>
        <w:t>;</w:t>
      </w:r>
      <w:r w:rsidR="00B33D5F" w:rsidRPr="00E421F4">
        <w:rPr>
          <w:rFonts w:ascii="Garamond" w:hAnsi="Garamond"/>
        </w:rPr>
        <w:t xml:space="preserve"> </w:t>
      </w:r>
      <w:proofErr w:type="spellStart"/>
      <w:r w:rsidR="00B33D5F" w:rsidRPr="00E421F4">
        <w:rPr>
          <w:rFonts w:ascii="Garamond" w:hAnsi="Garamond"/>
        </w:rPr>
        <w:t>Elston</w:t>
      </w:r>
      <w:proofErr w:type="spellEnd"/>
      <w:r w:rsidR="00E64E84" w:rsidRPr="00E421F4">
        <w:rPr>
          <w:rFonts w:ascii="Garamond" w:hAnsi="Garamond"/>
        </w:rPr>
        <w:t xml:space="preserve"> 2014</w:t>
      </w:r>
      <w:r w:rsidR="00B33D5F" w:rsidRPr="00E421F4">
        <w:rPr>
          <w:rFonts w:ascii="Garamond" w:hAnsi="Garamond"/>
        </w:rPr>
        <w:t>)</w:t>
      </w:r>
      <w:r w:rsidR="00CA31CA" w:rsidRPr="00E421F4">
        <w:rPr>
          <w:rFonts w:ascii="Garamond" w:hAnsi="Garamond"/>
        </w:rPr>
        <w:t>. T</w:t>
      </w:r>
      <w:r w:rsidR="00B33D5F" w:rsidRPr="00E421F4">
        <w:rPr>
          <w:rFonts w:ascii="Garamond" w:hAnsi="Garamond"/>
        </w:rPr>
        <w:t xml:space="preserve">hese studies address how </w:t>
      </w:r>
      <w:r w:rsidR="00784EF6" w:rsidRPr="00E421F4">
        <w:rPr>
          <w:rFonts w:ascii="Garamond" w:hAnsi="Garamond"/>
        </w:rPr>
        <w:t xml:space="preserve">discursive, historical and geo-spatial contexts shape stakeholders’ attitudes towards </w:t>
      </w:r>
      <w:r w:rsidR="00B33D5F" w:rsidRPr="00E421F4">
        <w:rPr>
          <w:rFonts w:ascii="Garamond" w:hAnsi="Garamond"/>
        </w:rPr>
        <w:t>agencies</w:t>
      </w:r>
      <w:r w:rsidR="00CA31CA" w:rsidRPr="00E421F4">
        <w:rPr>
          <w:rFonts w:ascii="Garamond" w:hAnsi="Garamond"/>
        </w:rPr>
        <w:t xml:space="preserve">. We add an </w:t>
      </w:r>
      <w:r w:rsidR="00B33D5F" w:rsidRPr="00E421F4">
        <w:rPr>
          <w:rFonts w:ascii="Garamond" w:hAnsi="Garamond"/>
        </w:rPr>
        <w:t>explicit</w:t>
      </w:r>
      <w:r w:rsidR="00CA31CA" w:rsidRPr="00E421F4">
        <w:rPr>
          <w:rFonts w:ascii="Garamond" w:hAnsi="Garamond"/>
        </w:rPr>
        <w:t xml:space="preserve"> focus </w:t>
      </w:r>
      <w:r w:rsidR="00B33D5F" w:rsidRPr="00E421F4">
        <w:rPr>
          <w:rFonts w:ascii="Garamond" w:hAnsi="Garamond"/>
        </w:rPr>
        <w:t xml:space="preserve">on </w:t>
      </w:r>
      <w:r w:rsidR="00784EF6" w:rsidRPr="00E421F4">
        <w:rPr>
          <w:rFonts w:ascii="Garamond" w:hAnsi="Garamond"/>
        </w:rPr>
        <w:t xml:space="preserve">how beliefs about organizational </w:t>
      </w:r>
      <w:r w:rsidR="00B33D5F" w:rsidRPr="00E421F4">
        <w:rPr>
          <w:rFonts w:ascii="Garamond" w:hAnsi="Garamond"/>
        </w:rPr>
        <w:t xml:space="preserve">size </w:t>
      </w:r>
      <w:r w:rsidR="00B067D9" w:rsidRPr="00E421F4">
        <w:rPr>
          <w:rFonts w:ascii="Garamond" w:hAnsi="Garamond"/>
        </w:rPr>
        <w:t>influence termination</w:t>
      </w:r>
      <w:r w:rsidR="00EC3536" w:rsidRPr="00E421F4">
        <w:rPr>
          <w:rFonts w:ascii="Garamond" w:hAnsi="Garamond"/>
        </w:rPr>
        <w:t>; and</w:t>
      </w:r>
    </w:p>
    <w:p w14:paraId="0C97085F" w14:textId="03F77C74" w:rsidR="00501283" w:rsidRPr="00E421F4" w:rsidRDefault="00BC5ACE" w:rsidP="00BC5ACE">
      <w:pPr>
        <w:pStyle w:val="ListParagraph"/>
        <w:numPr>
          <w:ilvl w:val="0"/>
          <w:numId w:val="1"/>
        </w:numPr>
        <w:spacing w:line="360" w:lineRule="auto"/>
        <w:rPr>
          <w:rFonts w:ascii="Garamond" w:hAnsi="Garamond"/>
        </w:rPr>
      </w:pPr>
      <w:r w:rsidRPr="00E421F4">
        <w:rPr>
          <w:rFonts w:ascii="Garamond" w:hAnsi="Garamond"/>
          <w:i/>
        </w:rPr>
        <w:t>Empirically:</w:t>
      </w:r>
      <w:r w:rsidRPr="00E421F4">
        <w:rPr>
          <w:rFonts w:ascii="Garamond" w:hAnsi="Garamond"/>
        </w:rPr>
        <w:t xml:space="preserve"> </w:t>
      </w:r>
      <w:r w:rsidR="00502DD6" w:rsidRPr="00E421F4">
        <w:rPr>
          <w:rFonts w:ascii="Garamond" w:hAnsi="Garamond"/>
        </w:rPr>
        <w:t xml:space="preserve">to show how </w:t>
      </w:r>
      <w:r w:rsidR="00784EF6" w:rsidRPr="00E421F4">
        <w:rPr>
          <w:rFonts w:ascii="Garamond" w:hAnsi="Garamond"/>
        </w:rPr>
        <w:t>perceived</w:t>
      </w:r>
      <w:r w:rsidR="00C1242F" w:rsidRPr="00E421F4">
        <w:rPr>
          <w:rFonts w:ascii="Garamond" w:hAnsi="Garamond"/>
        </w:rPr>
        <w:t xml:space="preserve"> </w:t>
      </w:r>
      <w:r w:rsidR="00502DD6" w:rsidRPr="00E421F4">
        <w:rPr>
          <w:rFonts w:ascii="Garamond" w:hAnsi="Garamond"/>
        </w:rPr>
        <w:t xml:space="preserve">size has </w:t>
      </w:r>
      <w:r w:rsidR="006B77E5" w:rsidRPr="00E421F4">
        <w:rPr>
          <w:rFonts w:ascii="Garamond" w:hAnsi="Garamond"/>
        </w:rPr>
        <w:t>a</w:t>
      </w:r>
      <w:r w:rsidR="00625A26" w:rsidRPr="00E421F4">
        <w:rPr>
          <w:rFonts w:ascii="Garamond" w:hAnsi="Garamond"/>
        </w:rPr>
        <w:t>ffected termination</w:t>
      </w:r>
      <w:r w:rsidR="006B77E5" w:rsidRPr="00E421F4">
        <w:rPr>
          <w:rFonts w:ascii="Garamond" w:hAnsi="Garamond"/>
        </w:rPr>
        <w:t xml:space="preserve"> risk</w:t>
      </w:r>
      <w:r w:rsidR="00625A26" w:rsidRPr="00E421F4">
        <w:rPr>
          <w:rFonts w:ascii="Garamond" w:hAnsi="Garamond"/>
        </w:rPr>
        <w:t xml:space="preserve"> over time</w:t>
      </w:r>
      <w:r w:rsidR="00784EF6" w:rsidRPr="00E421F4">
        <w:rPr>
          <w:rFonts w:ascii="Garamond" w:hAnsi="Garamond"/>
        </w:rPr>
        <w:t>,</w:t>
      </w:r>
      <w:r w:rsidR="00625A26" w:rsidRPr="00E421F4">
        <w:rPr>
          <w:rFonts w:ascii="Garamond" w:hAnsi="Garamond"/>
        </w:rPr>
        <w:t xml:space="preserve"> we provide</w:t>
      </w:r>
      <w:r w:rsidRPr="00E421F4">
        <w:rPr>
          <w:rFonts w:ascii="Garamond" w:hAnsi="Garamond"/>
        </w:rPr>
        <w:t xml:space="preserve"> an in-depth historical case study that draws on more than 50 interviews with ministers and senior officials, </w:t>
      </w:r>
      <w:r w:rsidR="000F4F38" w:rsidRPr="00E421F4">
        <w:rPr>
          <w:rFonts w:ascii="Garamond" w:hAnsi="Garamond"/>
        </w:rPr>
        <w:t xml:space="preserve">as well as </w:t>
      </w:r>
      <w:r w:rsidRPr="00E421F4">
        <w:rPr>
          <w:rFonts w:ascii="Garamond" w:hAnsi="Garamond"/>
        </w:rPr>
        <w:t>archival and public source material.</w:t>
      </w:r>
      <w:r w:rsidR="00501283" w:rsidRPr="00E421F4">
        <w:rPr>
          <w:rFonts w:ascii="Garamond" w:hAnsi="Garamond"/>
        </w:rPr>
        <w:tab/>
      </w:r>
    </w:p>
    <w:p w14:paraId="36159947" w14:textId="5B0341ED" w:rsidR="00BC5ACE" w:rsidRPr="00E421F4" w:rsidRDefault="00501283" w:rsidP="00BC5ACE">
      <w:pPr>
        <w:spacing w:line="360" w:lineRule="auto"/>
        <w:rPr>
          <w:rFonts w:ascii="Garamond" w:hAnsi="Garamond"/>
        </w:rPr>
      </w:pPr>
      <w:r w:rsidRPr="00E421F4">
        <w:rPr>
          <w:rFonts w:ascii="Garamond" w:hAnsi="Garamond"/>
        </w:rPr>
        <w:tab/>
      </w:r>
      <w:r w:rsidR="00BC5ACE" w:rsidRPr="00E421F4">
        <w:rPr>
          <w:rFonts w:ascii="Garamond" w:hAnsi="Garamond"/>
        </w:rPr>
        <w:t xml:space="preserve">To </w:t>
      </w:r>
      <w:r w:rsidR="00DF1286">
        <w:rPr>
          <w:rFonts w:ascii="Garamond" w:hAnsi="Garamond"/>
        </w:rPr>
        <w:t>substantiate</w:t>
      </w:r>
      <w:r w:rsidR="00DF1286" w:rsidRPr="00E421F4">
        <w:rPr>
          <w:rFonts w:ascii="Garamond" w:hAnsi="Garamond"/>
        </w:rPr>
        <w:t xml:space="preserve"> </w:t>
      </w:r>
      <w:r w:rsidR="00692952" w:rsidRPr="00E421F4">
        <w:rPr>
          <w:rFonts w:ascii="Garamond" w:hAnsi="Garamond"/>
        </w:rPr>
        <w:t>th</w:t>
      </w:r>
      <w:r w:rsidR="00DF1286">
        <w:rPr>
          <w:rFonts w:ascii="Garamond" w:hAnsi="Garamond"/>
        </w:rPr>
        <w:t>e</w:t>
      </w:r>
      <w:r w:rsidR="00692952" w:rsidRPr="00E421F4">
        <w:rPr>
          <w:rFonts w:ascii="Garamond" w:hAnsi="Garamond"/>
        </w:rPr>
        <w:t>s</w:t>
      </w:r>
      <w:r w:rsidR="00DF1286">
        <w:rPr>
          <w:rFonts w:ascii="Garamond" w:hAnsi="Garamond"/>
        </w:rPr>
        <w:t>e</w:t>
      </w:r>
      <w:r w:rsidR="00692952" w:rsidRPr="00E421F4">
        <w:rPr>
          <w:rFonts w:ascii="Garamond" w:hAnsi="Garamond"/>
        </w:rPr>
        <w:t xml:space="preserve"> </w:t>
      </w:r>
      <w:r w:rsidR="00DF1286">
        <w:rPr>
          <w:rFonts w:ascii="Garamond" w:hAnsi="Garamond"/>
        </w:rPr>
        <w:t>claims</w:t>
      </w:r>
      <w:r w:rsidR="00DF1286" w:rsidRPr="00E421F4">
        <w:rPr>
          <w:rFonts w:ascii="Garamond" w:hAnsi="Garamond"/>
        </w:rPr>
        <w:t xml:space="preserve"> </w:t>
      </w:r>
      <w:r w:rsidR="00692952" w:rsidRPr="00E421F4">
        <w:rPr>
          <w:rFonts w:ascii="Garamond" w:hAnsi="Garamond"/>
        </w:rPr>
        <w:t>we f</w:t>
      </w:r>
      <w:r w:rsidR="00BC5ACE" w:rsidRPr="00E421F4">
        <w:rPr>
          <w:rFonts w:ascii="Garamond" w:hAnsi="Garamond"/>
        </w:rPr>
        <w:t>irst</w:t>
      </w:r>
      <w:r w:rsidR="006F1FA9" w:rsidRPr="00E421F4">
        <w:rPr>
          <w:rFonts w:ascii="Garamond" w:hAnsi="Garamond"/>
        </w:rPr>
        <w:t xml:space="preserve"> </w:t>
      </w:r>
      <w:r w:rsidR="00BC5ACE" w:rsidRPr="00E421F4">
        <w:rPr>
          <w:rFonts w:ascii="Garamond" w:hAnsi="Garamond"/>
        </w:rPr>
        <w:t>review existing work on organizational termination</w:t>
      </w:r>
      <w:r w:rsidR="00924184" w:rsidRPr="00E421F4">
        <w:rPr>
          <w:rFonts w:ascii="Garamond" w:hAnsi="Garamond"/>
        </w:rPr>
        <w:t>, paying particular attention to the impact of agency size,</w:t>
      </w:r>
      <w:r w:rsidR="00BC5ACE" w:rsidRPr="00E421F4">
        <w:rPr>
          <w:rFonts w:ascii="Garamond" w:hAnsi="Garamond"/>
        </w:rPr>
        <w:t xml:space="preserve"> to both situate our argument and highlight the importance of our case. Then we introduce recent </w:t>
      </w:r>
      <w:r w:rsidR="0027650D" w:rsidRPr="00E421F4">
        <w:rPr>
          <w:rFonts w:ascii="Garamond" w:hAnsi="Garamond"/>
        </w:rPr>
        <w:t xml:space="preserve">interpretive work on agencies to demonstrate what this approach adds to the study of </w:t>
      </w:r>
      <w:r w:rsidR="00BC5ACE" w:rsidRPr="00E421F4">
        <w:rPr>
          <w:rFonts w:ascii="Garamond" w:hAnsi="Garamond"/>
        </w:rPr>
        <w:t xml:space="preserve">agency </w:t>
      </w:r>
      <w:r w:rsidR="0027650D" w:rsidRPr="00E421F4">
        <w:rPr>
          <w:rFonts w:ascii="Garamond" w:hAnsi="Garamond"/>
        </w:rPr>
        <w:t>termination</w:t>
      </w:r>
      <w:r w:rsidR="00BC5ACE" w:rsidRPr="00E421F4">
        <w:rPr>
          <w:rFonts w:ascii="Garamond" w:hAnsi="Garamond"/>
        </w:rPr>
        <w:t>. Third</w:t>
      </w:r>
      <w:r w:rsidR="00C9402D" w:rsidRPr="00E421F4">
        <w:rPr>
          <w:rFonts w:ascii="Garamond" w:hAnsi="Garamond"/>
        </w:rPr>
        <w:t>,</w:t>
      </w:r>
      <w:r w:rsidR="00BC5ACE" w:rsidRPr="00E421F4">
        <w:rPr>
          <w:rFonts w:ascii="Garamond" w:hAnsi="Garamond"/>
        </w:rPr>
        <w:t xml:space="preserve"> we provide a discussion of the data we collected to undertake this analysis. In the fourth section we present the findings of this research by focusing on </w:t>
      </w:r>
      <w:r w:rsidR="00F80DB6" w:rsidRPr="00E421F4">
        <w:rPr>
          <w:rFonts w:ascii="Garamond" w:hAnsi="Garamond"/>
        </w:rPr>
        <w:t>six</w:t>
      </w:r>
      <w:r w:rsidR="00BC5ACE" w:rsidRPr="00E421F4">
        <w:rPr>
          <w:rFonts w:ascii="Garamond" w:hAnsi="Garamond"/>
        </w:rPr>
        <w:t xml:space="preserve"> distinct periods in the “life cycle” of </w:t>
      </w:r>
      <w:proofErr w:type="spellStart"/>
      <w:r w:rsidR="00BC5ACE" w:rsidRPr="00E421F4">
        <w:rPr>
          <w:rFonts w:ascii="Garamond" w:hAnsi="Garamond"/>
        </w:rPr>
        <w:t>AusAID</w:t>
      </w:r>
      <w:proofErr w:type="spellEnd"/>
      <w:r w:rsidR="00BC5ACE" w:rsidRPr="00E421F4">
        <w:rPr>
          <w:rFonts w:ascii="Garamond" w:hAnsi="Garamond"/>
        </w:rPr>
        <w:t>: inception; infanticide; recovery; consolidation;</w:t>
      </w:r>
      <w:r w:rsidR="00A61DA0" w:rsidRPr="00E421F4">
        <w:rPr>
          <w:rFonts w:ascii="Garamond" w:hAnsi="Garamond"/>
        </w:rPr>
        <w:t xml:space="preserve"> expansion</w:t>
      </w:r>
      <w:r w:rsidR="00BC5ACE" w:rsidRPr="00E421F4">
        <w:rPr>
          <w:rFonts w:ascii="Garamond" w:hAnsi="Garamond"/>
        </w:rPr>
        <w:t xml:space="preserve"> </w:t>
      </w:r>
      <w:r w:rsidR="00B067D9" w:rsidRPr="00E421F4">
        <w:rPr>
          <w:rFonts w:ascii="Garamond" w:hAnsi="Garamond"/>
        </w:rPr>
        <w:t xml:space="preserve">and </w:t>
      </w:r>
      <w:r w:rsidR="00BC5ACE" w:rsidRPr="00E421F4">
        <w:rPr>
          <w:rFonts w:ascii="Garamond" w:hAnsi="Garamond"/>
        </w:rPr>
        <w:t xml:space="preserve">termination. In the conclusion we return to the implications of our approach and findings for theories of organizational termination. </w:t>
      </w:r>
    </w:p>
    <w:p w14:paraId="75A614E0" w14:textId="77777777" w:rsidR="00BC5ACE" w:rsidRPr="00E421F4" w:rsidRDefault="00BC5ACE" w:rsidP="00BC5ACE">
      <w:pPr>
        <w:spacing w:line="360" w:lineRule="auto"/>
        <w:rPr>
          <w:rFonts w:ascii="Garamond" w:hAnsi="Garamond"/>
        </w:rPr>
      </w:pPr>
    </w:p>
    <w:p w14:paraId="3EE9DB80" w14:textId="65E8C45E" w:rsidR="00A253CE" w:rsidRPr="00E421F4" w:rsidRDefault="00924184" w:rsidP="00BC5ACE">
      <w:pPr>
        <w:spacing w:line="360" w:lineRule="auto"/>
        <w:rPr>
          <w:rFonts w:ascii="Garamond" w:hAnsi="Garamond"/>
          <w:u w:val="single"/>
        </w:rPr>
      </w:pPr>
      <w:r w:rsidRPr="00E421F4">
        <w:rPr>
          <w:rFonts w:ascii="Garamond" w:hAnsi="Garamond"/>
          <w:u w:val="single"/>
        </w:rPr>
        <w:t>A</w:t>
      </w:r>
      <w:r w:rsidR="00BC5ACE" w:rsidRPr="00E421F4">
        <w:rPr>
          <w:rFonts w:ascii="Garamond" w:hAnsi="Garamond"/>
          <w:u w:val="single"/>
        </w:rPr>
        <w:t xml:space="preserve">gency </w:t>
      </w:r>
      <w:r w:rsidRPr="00E421F4">
        <w:rPr>
          <w:rFonts w:ascii="Garamond" w:hAnsi="Garamond"/>
          <w:u w:val="single"/>
        </w:rPr>
        <w:t xml:space="preserve">termination and the role of size: </w:t>
      </w:r>
      <w:r w:rsidR="00BC5ACE" w:rsidRPr="00E421F4">
        <w:rPr>
          <w:rFonts w:ascii="Garamond" w:hAnsi="Garamond"/>
          <w:u w:val="single"/>
        </w:rPr>
        <w:t>existing research</w:t>
      </w:r>
    </w:p>
    <w:p w14:paraId="1E538AB4" w14:textId="2DC245DB" w:rsidR="009B498C" w:rsidRPr="00E421F4" w:rsidRDefault="00924184" w:rsidP="00DB376C">
      <w:pPr>
        <w:spacing w:line="360" w:lineRule="auto"/>
        <w:rPr>
          <w:rFonts w:ascii="Garamond" w:hAnsi="Garamond"/>
        </w:rPr>
      </w:pPr>
      <w:r w:rsidRPr="00E421F4">
        <w:rPr>
          <w:rFonts w:ascii="Garamond" w:hAnsi="Garamond"/>
        </w:rPr>
        <w:tab/>
        <w:t xml:space="preserve">Scholars have been studying the factors that influence organizational survival in the public sector for more than half a century. Agency size was a key variable in early research on termination, but it receives less attention in recent work. </w:t>
      </w:r>
      <w:r w:rsidR="00B24C8F" w:rsidRPr="00E421F4">
        <w:rPr>
          <w:rFonts w:ascii="Garamond" w:hAnsi="Garamond"/>
        </w:rPr>
        <w:t xml:space="preserve">Existing research into the relationship between size and agency survival </w:t>
      </w:r>
      <w:r w:rsidR="00334009" w:rsidRPr="00E421F4">
        <w:rPr>
          <w:rFonts w:ascii="Garamond" w:hAnsi="Garamond"/>
        </w:rPr>
        <w:t>is</w:t>
      </w:r>
      <w:r w:rsidR="00B24C8F" w:rsidRPr="00E421F4">
        <w:rPr>
          <w:rFonts w:ascii="Garamond" w:hAnsi="Garamond"/>
        </w:rPr>
        <w:t xml:space="preserve"> </w:t>
      </w:r>
      <w:r w:rsidR="00B067D9" w:rsidRPr="00E421F4">
        <w:rPr>
          <w:rFonts w:ascii="Garamond" w:hAnsi="Garamond"/>
        </w:rPr>
        <w:t xml:space="preserve">defined by its focus on </w:t>
      </w:r>
      <w:r w:rsidR="00EC3536" w:rsidRPr="00E421F4">
        <w:rPr>
          <w:rFonts w:ascii="Garamond" w:hAnsi="Garamond"/>
        </w:rPr>
        <w:t>organizational</w:t>
      </w:r>
      <w:r w:rsidR="00B067D9" w:rsidRPr="00E421F4">
        <w:rPr>
          <w:rFonts w:ascii="Garamond" w:hAnsi="Garamond"/>
        </w:rPr>
        <w:t xml:space="preserve"> budget – what we call </w:t>
      </w:r>
      <w:r w:rsidR="00B067D9" w:rsidRPr="00E421F4">
        <w:rPr>
          <w:rFonts w:ascii="Garamond" w:hAnsi="Garamond"/>
          <w:i/>
        </w:rPr>
        <w:t>objective size.</w:t>
      </w:r>
      <w:r w:rsidR="009A3670" w:rsidRPr="00E421F4">
        <w:rPr>
          <w:rFonts w:ascii="Garamond" w:hAnsi="Garamond"/>
          <w:i/>
        </w:rPr>
        <w:t xml:space="preserve"> </w:t>
      </w:r>
      <w:r w:rsidR="00334009" w:rsidRPr="00E421F4">
        <w:rPr>
          <w:rFonts w:ascii="Garamond" w:hAnsi="Garamond"/>
        </w:rPr>
        <w:t>H</w:t>
      </w:r>
      <w:r w:rsidR="00BC5ACE" w:rsidRPr="00E421F4">
        <w:rPr>
          <w:rFonts w:ascii="Garamond" w:hAnsi="Garamond"/>
        </w:rPr>
        <w:t>erbert Simon</w:t>
      </w:r>
      <w:r w:rsidR="00334009" w:rsidRPr="00E421F4">
        <w:rPr>
          <w:rFonts w:ascii="Garamond" w:hAnsi="Garamond"/>
        </w:rPr>
        <w:t>’s pioneering contribution</w:t>
      </w:r>
      <w:r w:rsidR="00BC5ACE" w:rsidRPr="00E421F4">
        <w:rPr>
          <w:rFonts w:ascii="Garamond" w:hAnsi="Garamond"/>
        </w:rPr>
        <w:t xml:space="preserve"> </w:t>
      </w:r>
      <w:r w:rsidR="00743A74" w:rsidRPr="00E421F4">
        <w:rPr>
          <w:rFonts w:ascii="Garamond" w:hAnsi="Garamond"/>
        </w:rPr>
        <w:t>(1950</w:t>
      </w:r>
      <w:r w:rsidR="00700A31" w:rsidRPr="00E421F4">
        <w:rPr>
          <w:rFonts w:ascii="Garamond" w:hAnsi="Garamond"/>
        </w:rPr>
        <w:t>: 117-8</w:t>
      </w:r>
      <w:r w:rsidR="00743A74" w:rsidRPr="00E421F4">
        <w:rPr>
          <w:rFonts w:ascii="Garamond" w:hAnsi="Garamond"/>
        </w:rPr>
        <w:t>)</w:t>
      </w:r>
      <w:r w:rsidR="00BC5ACE" w:rsidRPr="00E421F4">
        <w:rPr>
          <w:rFonts w:ascii="Garamond" w:hAnsi="Garamond"/>
        </w:rPr>
        <w:t xml:space="preserve"> </w:t>
      </w:r>
      <w:r w:rsidR="00334009" w:rsidRPr="00E421F4">
        <w:rPr>
          <w:rFonts w:ascii="Garamond" w:hAnsi="Garamond"/>
        </w:rPr>
        <w:t>suggest</w:t>
      </w:r>
      <w:r w:rsidR="004179A9" w:rsidRPr="00E421F4">
        <w:rPr>
          <w:rFonts w:ascii="Garamond" w:hAnsi="Garamond"/>
        </w:rPr>
        <w:t>ed</w:t>
      </w:r>
      <w:r w:rsidR="00700A31" w:rsidRPr="00E421F4">
        <w:rPr>
          <w:rFonts w:ascii="Garamond" w:hAnsi="Garamond"/>
        </w:rPr>
        <w:t xml:space="preserve"> </w:t>
      </w:r>
      <w:r w:rsidR="009A3670" w:rsidRPr="00E421F4">
        <w:rPr>
          <w:rFonts w:ascii="Garamond" w:hAnsi="Garamond"/>
        </w:rPr>
        <w:t xml:space="preserve">that </w:t>
      </w:r>
      <w:r w:rsidR="00334009" w:rsidRPr="00E421F4">
        <w:rPr>
          <w:rFonts w:ascii="Garamond" w:hAnsi="Garamond"/>
        </w:rPr>
        <w:t xml:space="preserve">large </w:t>
      </w:r>
      <w:r w:rsidR="00334009" w:rsidRPr="00E421F4">
        <w:rPr>
          <w:rFonts w:ascii="Garamond" w:hAnsi="Garamond"/>
        </w:rPr>
        <w:lastRenderedPageBreak/>
        <w:t xml:space="preserve">organizations are much more likely to </w:t>
      </w:r>
      <w:r w:rsidR="004179A9" w:rsidRPr="00E421F4">
        <w:rPr>
          <w:rFonts w:ascii="Garamond" w:hAnsi="Garamond"/>
        </w:rPr>
        <w:t>survive, and knowledge of this would motivate</w:t>
      </w:r>
      <w:r w:rsidR="00700A31" w:rsidRPr="00E421F4">
        <w:rPr>
          <w:rFonts w:ascii="Garamond" w:hAnsi="Garamond"/>
        </w:rPr>
        <w:t xml:space="preserve"> </w:t>
      </w:r>
      <w:r w:rsidR="00334009" w:rsidRPr="00E421F4">
        <w:rPr>
          <w:rFonts w:ascii="Garamond" w:hAnsi="Garamond"/>
        </w:rPr>
        <w:t xml:space="preserve">leaders </w:t>
      </w:r>
      <w:r w:rsidR="00700A31" w:rsidRPr="00E421F4">
        <w:rPr>
          <w:rFonts w:ascii="Garamond" w:hAnsi="Garamond"/>
        </w:rPr>
        <w:t>to</w:t>
      </w:r>
      <w:r w:rsidR="00334009" w:rsidRPr="00E421F4">
        <w:rPr>
          <w:rFonts w:ascii="Garamond" w:hAnsi="Garamond"/>
        </w:rPr>
        <w:t xml:space="preserve"> </w:t>
      </w:r>
      <w:r w:rsidR="00700A31" w:rsidRPr="00E421F4">
        <w:rPr>
          <w:rFonts w:ascii="Garamond" w:hAnsi="Garamond"/>
        </w:rPr>
        <w:t xml:space="preserve">grow their organizations. </w:t>
      </w:r>
      <w:r w:rsidR="009A3670" w:rsidRPr="00E421F4">
        <w:rPr>
          <w:rFonts w:ascii="Garamond" w:hAnsi="Garamond"/>
        </w:rPr>
        <w:t xml:space="preserve">Later, </w:t>
      </w:r>
      <w:r w:rsidR="00BC5ACE" w:rsidRPr="00E421F4">
        <w:rPr>
          <w:rFonts w:ascii="Garamond" w:hAnsi="Garamond"/>
        </w:rPr>
        <w:t xml:space="preserve">Anthony Downs </w:t>
      </w:r>
      <w:r w:rsidR="00743A74" w:rsidRPr="00E421F4">
        <w:rPr>
          <w:rFonts w:ascii="Garamond" w:hAnsi="Garamond"/>
        </w:rPr>
        <w:t>(1967)</w:t>
      </w:r>
      <w:r w:rsidR="004B0DD5" w:rsidRPr="00E421F4">
        <w:rPr>
          <w:rFonts w:ascii="Garamond" w:hAnsi="Garamond"/>
        </w:rPr>
        <w:t xml:space="preserve"> </w:t>
      </w:r>
      <w:r w:rsidR="004179A9" w:rsidRPr="00E421F4">
        <w:rPr>
          <w:rFonts w:ascii="Garamond" w:hAnsi="Garamond"/>
        </w:rPr>
        <w:t>agreed</w:t>
      </w:r>
      <w:r w:rsidR="00334009" w:rsidRPr="00E421F4">
        <w:rPr>
          <w:rFonts w:ascii="Garamond" w:hAnsi="Garamond"/>
        </w:rPr>
        <w:t xml:space="preserve"> that “large organizations have a better chance of survival than smaller ones” and </w:t>
      </w:r>
      <w:r w:rsidR="004179A9" w:rsidRPr="00E421F4">
        <w:rPr>
          <w:rFonts w:ascii="Garamond" w:hAnsi="Garamond"/>
        </w:rPr>
        <w:t>noted</w:t>
      </w:r>
      <w:r w:rsidR="003A3C33" w:rsidRPr="00E421F4">
        <w:rPr>
          <w:rFonts w:ascii="Garamond" w:hAnsi="Garamond"/>
        </w:rPr>
        <w:t xml:space="preserve"> that expansion </w:t>
      </w:r>
      <w:r w:rsidR="004179A9" w:rsidRPr="00E421F4">
        <w:rPr>
          <w:rFonts w:ascii="Garamond" w:hAnsi="Garamond"/>
        </w:rPr>
        <w:t>i</w:t>
      </w:r>
      <w:r w:rsidR="003A3C33" w:rsidRPr="00E421F4">
        <w:rPr>
          <w:rFonts w:ascii="Garamond" w:hAnsi="Garamond"/>
        </w:rPr>
        <w:t xml:space="preserve">s </w:t>
      </w:r>
      <w:r w:rsidR="00334009" w:rsidRPr="00E421F4">
        <w:rPr>
          <w:rFonts w:ascii="Garamond" w:hAnsi="Garamond"/>
        </w:rPr>
        <w:t xml:space="preserve">also </w:t>
      </w:r>
      <w:r w:rsidR="003A3C33" w:rsidRPr="00E421F4">
        <w:rPr>
          <w:rFonts w:ascii="Garamond" w:hAnsi="Garamond"/>
        </w:rPr>
        <w:t xml:space="preserve">desired because it </w:t>
      </w:r>
      <w:r w:rsidR="004179A9" w:rsidRPr="00E421F4">
        <w:rPr>
          <w:rFonts w:ascii="Garamond" w:hAnsi="Garamond"/>
        </w:rPr>
        <w:t>reduces</w:t>
      </w:r>
      <w:r w:rsidR="003A3C33" w:rsidRPr="00E421F4">
        <w:rPr>
          <w:rFonts w:ascii="Garamond" w:hAnsi="Garamond"/>
        </w:rPr>
        <w:t xml:space="preserve"> internal</w:t>
      </w:r>
      <w:r w:rsidR="00334009" w:rsidRPr="00E421F4">
        <w:rPr>
          <w:rFonts w:ascii="Garamond" w:hAnsi="Garamond"/>
        </w:rPr>
        <w:t xml:space="preserve"> conflicts over resources, thereby securing greater stability</w:t>
      </w:r>
      <w:r w:rsidR="00EC3536" w:rsidRPr="00E421F4">
        <w:rPr>
          <w:rFonts w:ascii="Garamond" w:hAnsi="Garamond"/>
        </w:rPr>
        <w:t xml:space="preserve">. Expansion is also said to improve </w:t>
      </w:r>
      <w:r w:rsidR="00334009" w:rsidRPr="00E421F4">
        <w:rPr>
          <w:rFonts w:ascii="Garamond" w:hAnsi="Garamond"/>
        </w:rPr>
        <w:t xml:space="preserve">organizational </w:t>
      </w:r>
      <w:r w:rsidR="003A3C33" w:rsidRPr="00E421F4">
        <w:rPr>
          <w:rFonts w:ascii="Garamond" w:hAnsi="Garamond"/>
        </w:rPr>
        <w:t xml:space="preserve">performance through </w:t>
      </w:r>
      <w:r w:rsidR="00334009" w:rsidRPr="00E421F4">
        <w:rPr>
          <w:rFonts w:ascii="Garamond" w:hAnsi="Garamond"/>
        </w:rPr>
        <w:t xml:space="preserve">greater </w:t>
      </w:r>
      <w:r w:rsidR="003A3C33" w:rsidRPr="00E421F4">
        <w:rPr>
          <w:rFonts w:ascii="Garamond" w:hAnsi="Garamond"/>
        </w:rPr>
        <w:t>special</w:t>
      </w:r>
      <w:r w:rsidR="00334009" w:rsidRPr="00E421F4">
        <w:rPr>
          <w:rFonts w:ascii="Garamond" w:hAnsi="Garamond"/>
        </w:rPr>
        <w:t xml:space="preserve">ization and economies of scale </w:t>
      </w:r>
      <w:r w:rsidR="003A3C33" w:rsidRPr="00E421F4">
        <w:rPr>
          <w:rFonts w:ascii="Garamond" w:hAnsi="Garamond"/>
        </w:rPr>
        <w:t>(Down</w:t>
      </w:r>
      <w:r w:rsidR="00074EF4" w:rsidRPr="00E421F4">
        <w:rPr>
          <w:rFonts w:ascii="Garamond" w:hAnsi="Garamond"/>
        </w:rPr>
        <w:t>s</w:t>
      </w:r>
      <w:r w:rsidR="003A3C33" w:rsidRPr="00E421F4">
        <w:rPr>
          <w:rFonts w:ascii="Garamond" w:hAnsi="Garamond"/>
        </w:rPr>
        <w:t xml:space="preserve"> 1967: 17). </w:t>
      </w:r>
      <w:r w:rsidR="009B498C" w:rsidRPr="00E421F4">
        <w:rPr>
          <w:rFonts w:ascii="Garamond" w:hAnsi="Garamond"/>
        </w:rPr>
        <w:t xml:space="preserve">Furthermore, </w:t>
      </w:r>
      <w:r w:rsidR="003A3C33" w:rsidRPr="00E421F4">
        <w:rPr>
          <w:rFonts w:ascii="Garamond" w:hAnsi="Garamond"/>
        </w:rPr>
        <w:t>large bureaus tend to have more clients who benefit from payments and services handled by the agency</w:t>
      </w:r>
      <w:r w:rsidR="00B0583B" w:rsidRPr="00E421F4">
        <w:rPr>
          <w:rFonts w:ascii="Garamond" w:hAnsi="Garamond"/>
        </w:rPr>
        <w:t>, and</w:t>
      </w:r>
      <w:r w:rsidR="003A3C33" w:rsidRPr="00E421F4">
        <w:rPr>
          <w:rFonts w:ascii="Garamond" w:hAnsi="Garamond"/>
        </w:rPr>
        <w:t xml:space="preserve"> these clients are likely to mobilise in opposition to termination (</w:t>
      </w:r>
      <w:r w:rsidR="009B498C" w:rsidRPr="00E421F4">
        <w:rPr>
          <w:rFonts w:ascii="Garamond" w:hAnsi="Garamond"/>
        </w:rPr>
        <w:t>Down</w:t>
      </w:r>
      <w:r w:rsidR="00CE4F7B" w:rsidRPr="00E421F4">
        <w:rPr>
          <w:rFonts w:ascii="Garamond" w:hAnsi="Garamond"/>
        </w:rPr>
        <w:t xml:space="preserve">s 1967: 22-23). Herbert Kaufman </w:t>
      </w:r>
      <w:r w:rsidR="004179A9" w:rsidRPr="00E421F4">
        <w:rPr>
          <w:rFonts w:ascii="Garamond" w:hAnsi="Garamond"/>
        </w:rPr>
        <w:t>(1976: 10) made</w:t>
      </w:r>
      <w:r w:rsidR="00334009" w:rsidRPr="00E421F4">
        <w:rPr>
          <w:rFonts w:ascii="Garamond" w:hAnsi="Garamond"/>
        </w:rPr>
        <w:t xml:space="preserve"> a similar observation </w:t>
      </w:r>
      <w:r w:rsidR="004B0DD5" w:rsidRPr="00E421F4">
        <w:rPr>
          <w:rFonts w:ascii="Garamond" w:hAnsi="Garamond"/>
        </w:rPr>
        <w:t xml:space="preserve">in his classic study of agency termination </w:t>
      </w:r>
      <w:r w:rsidR="00334009" w:rsidRPr="00E421F4">
        <w:rPr>
          <w:rFonts w:ascii="Garamond" w:hAnsi="Garamond"/>
        </w:rPr>
        <w:t xml:space="preserve">when he </w:t>
      </w:r>
      <w:r w:rsidR="004179A9" w:rsidRPr="00E421F4">
        <w:rPr>
          <w:rFonts w:ascii="Garamond" w:hAnsi="Garamond"/>
        </w:rPr>
        <w:t>noted</w:t>
      </w:r>
      <w:r w:rsidR="00CE4F7B" w:rsidRPr="00E421F4">
        <w:rPr>
          <w:rFonts w:ascii="Garamond" w:hAnsi="Garamond"/>
        </w:rPr>
        <w:t xml:space="preserve"> that agencies’ “clienteles are commonly among their most ardent defenders”. </w:t>
      </w:r>
    </w:p>
    <w:p w14:paraId="15E609C3" w14:textId="10FEB821" w:rsidR="005F3AF1" w:rsidRPr="00E421F4" w:rsidRDefault="004179A9" w:rsidP="0008340A">
      <w:pPr>
        <w:spacing w:line="360" w:lineRule="auto"/>
        <w:ind w:firstLine="720"/>
        <w:rPr>
          <w:rFonts w:ascii="Garamond" w:hAnsi="Garamond"/>
        </w:rPr>
      </w:pPr>
      <w:r w:rsidRPr="00E421F4">
        <w:rPr>
          <w:rFonts w:ascii="Garamond" w:hAnsi="Garamond"/>
        </w:rPr>
        <w:t xml:space="preserve">More recently, </w:t>
      </w:r>
      <w:r w:rsidR="00CE4F7B" w:rsidRPr="00E421F4">
        <w:rPr>
          <w:rFonts w:ascii="Garamond" w:hAnsi="Garamond"/>
        </w:rPr>
        <w:t>Patrick Dunleavy</w:t>
      </w:r>
      <w:r w:rsidRPr="00E421F4">
        <w:rPr>
          <w:rFonts w:ascii="Garamond" w:hAnsi="Garamond"/>
        </w:rPr>
        <w:t xml:space="preserve"> </w:t>
      </w:r>
      <w:r w:rsidR="00CE4F7B" w:rsidRPr="00E421F4">
        <w:rPr>
          <w:rFonts w:ascii="Garamond" w:hAnsi="Garamond"/>
        </w:rPr>
        <w:t>(1985)</w:t>
      </w:r>
      <w:r w:rsidRPr="00E421F4">
        <w:rPr>
          <w:rFonts w:ascii="Garamond" w:hAnsi="Garamond"/>
        </w:rPr>
        <w:t xml:space="preserve"> provided further theoretical elaboration of</w:t>
      </w:r>
      <w:r w:rsidR="006F1FA9" w:rsidRPr="00E421F4">
        <w:rPr>
          <w:rFonts w:ascii="Garamond" w:hAnsi="Garamond"/>
        </w:rPr>
        <w:t xml:space="preserve"> the</w:t>
      </w:r>
      <w:r w:rsidRPr="00E421F4">
        <w:rPr>
          <w:rFonts w:ascii="Garamond" w:hAnsi="Garamond"/>
        </w:rPr>
        <w:t xml:space="preserve"> consequences of </w:t>
      </w:r>
      <w:r w:rsidR="00EC3536" w:rsidRPr="00E421F4">
        <w:rPr>
          <w:rFonts w:ascii="Garamond" w:hAnsi="Garamond"/>
        </w:rPr>
        <w:t xml:space="preserve">budget </w:t>
      </w:r>
      <w:r w:rsidRPr="00E421F4">
        <w:rPr>
          <w:rFonts w:ascii="Garamond" w:hAnsi="Garamond"/>
        </w:rPr>
        <w:t xml:space="preserve">growth </w:t>
      </w:r>
      <w:r w:rsidR="00924184" w:rsidRPr="00E421F4">
        <w:rPr>
          <w:rFonts w:ascii="Garamond" w:hAnsi="Garamond"/>
        </w:rPr>
        <w:t>for</w:t>
      </w:r>
      <w:r w:rsidRPr="00E421F4">
        <w:rPr>
          <w:rFonts w:ascii="Garamond" w:hAnsi="Garamond"/>
        </w:rPr>
        <w:t xml:space="preserve"> public agencies. </w:t>
      </w:r>
      <w:r w:rsidR="009A3670" w:rsidRPr="00E421F4">
        <w:rPr>
          <w:rFonts w:ascii="Garamond" w:hAnsi="Garamond"/>
        </w:rPr>
        <w:t>He</w:t>
      </w:r>
      <w:r w:rsidRPr="00E421F4">
        <w:rPr>
          <w:rFonts w:ascii="Garamond" w:hAnsi="Garamond"/>
        </w:rPr>
        <w:t xml:space="preserve"> suggested organizational budgets should be conceptually divided into </w:t>
      </w:r>
      <w:r w:rsidR="00CE4F7B" w:rsidRPr="00E421F4">
        <w:rPr>
          <w:rFonts w:ascii="Garamond" w:hAnsi="Garamond"/>
        </w:rPr>
        <w:t>at least three components: t</w:t>
      </w:r>
      <w:r w:rsidR="009B498C" w:rsidRPr="00E421F4">
        <w:rPr>
          <w:rFonts w:ascii="Garamond" w:hAnsi="Garamond"/>
        </w:rPr>
        <w:t xml:space="preserve">he </w:t>
      </w:r>
      <w:r w:rsidR="009B498C" w:rsidRPr="00E421F4">
        <w:rPr>
          <w:rFonts w:ascii="Garamond" w:hAnsi="Garamond"/>
          <w:i/>
        </w:rPr>
        <w:t>program</w:t>
      </w:r>
      <w:r w:rsidR="00A76CE6" w:rsidRPr="00E421F4">
        <w:rPr>
          <w:rFonts w:ascii="Garamond" w:hAnsi="Garamond"/>
          <w:i/>
        </w:rPr>
        <w:t>me</w:t>
      </w:r>
      <w:r w:rsidR="009B498C" w:rsidRPr="00E421F4">
        <w:rPr>
          <w:rFonts w:ascii="Garamond" w:hAnsi="Garamond"/>
          <w:i/>
        </w:rPr>
        <w:t xml:space="preserve"> budget</w:t>
      </w:r>
      <w:r w:rsidR="00CE4F7B" w:rsidRPr="00E421F4">
        <w:rPr>
          <w:rFonts w:ascii="Garamond" w:hAnsi="Garamond"/>
          <w:i/>
        </w:rPr>
        <w:t xml:space="preserve">, </w:t>
      </w:r>
      <w:r w:rsidR="00CE4F7B" w:rsidRPr="00E421F4">
        <w:rPr>
          <w:rFonts w:ascii="Garamond" w:hAnsi="Garamond"/>
        </w:rPr>
        <w:t>which</w:t>
      </w:r>
      <w:r w:rsidR="009B498C" w:rsidRPr="00E421F4">
        <w:rPr>
          <w:rFonts w:ascii="Garamond" w:hAnsi="Garamond"/>
        </w:rPr>
        <w:t xml:space="preserve"> reflects the total funds allocated to the program</w:t>
      </w:r>
      <w:r w:rsidR="00A76CE6" w:rsidRPr="00E421F4">
        <w:rPr>
          <w:rFonts w:ascii="Garamond" w:hAnsi="Garamond"/>
        </w:rPr>
        <w:t>me</w:t>
      </w:r>
      <w:r w:rsidR="009B498C" w:rsidRPr="00E421F4">
        <w:rPr>
          <w:rFonts w:ascii="Garamond" w:hAnsi="Garamond"/>
        </w:rPr>
        <w:t xml:space="preserve"> or portfolio that the agency is responsible for</w:t>
      </w:r>
      <w:r w:rsidR="00CE4F7B" w:rsidRPr="00E421F4">
        <w:rPr>
          <w:rFonts w:ascii="Garamond" w:hAnsi="Garamond"/>
        </w:rPr>
        <w:t>, the</w:t>
      </w:r>
      <w:r w:rsidR="009B498C" w:rsidRPr="00E421F4">
        <w:rPr>
          <w:rFonts w:ascii="Garamond" w:hAnsi="Garamond"/>
        </w:rPr>
        <w:t xml:space="preserve"> </w:t>
      </w:r>
      <w:r w:rsidR="009B498C" w:rsidRPr="00E421F4">
        <w:rPr>
          <w:rFonts w:ascii="Garamond" w:hAnsi="Garamond"/>
          <w:i/>
        </w:rPr>
        <w:t>bureau budget</w:t>
      </w:r>
      <w:r w:rsidR="00CE4F7B" w:rsidRPr="00E421F4">
        <w:rPr>
          <w:rFonts w:ascii="Garamond" w:hAnsi="Garamond"/>
          <w:i/>
        </w:rPr>
        <w:t xml:space="preserve">, </w:t>
      </w:r>
      <w:r w:rsidR="00CE4F7B" w:rsidRPr="00E421F4">
        <w:rPr>
          <w:rFonts w:ascii="Garamond" w:hAnsi="Garamond"/>
        </w:rPr>
        <w:t>which</w:t>
      </w:r>
      <w:r w:rsidR="009B498C" w:rsidRPr="00E421F4">
        <w:rPr>
          <w:rFonts w:ascii="Garamond" w:hAnsi="Garamond"/>
        </w:rPr>
        <w:t xml:space="preserve"> covers those funds spent by the organization</w:t>
      </w:r>
      <w:r w:rsidR="00CE4F7B" w:rsidRPr="00E421F4">
        <w:rPr>
          <w:rFonts w:ascii="Garamond" w:hAnsi="Garamond"/>
        </w:rPr>
        <w:t xml:space="preserve">, and the </w:t>
      </w:r>
      <w:r w:rsidR="009B498C" w:rsidRPr="00E421F4">
        <w:rPr>
          <w:rFonts w:ascii="Garamond" w:hAnsi="Garamond"/>
          <w:i/>
        </w:rPr>
        <w:t>core budget</w:t>
      </w:r>
      <w:r w:rsidR="00CE4F7B" w:rsidRPr="00E421F4">
        <w:rPr>
          <w:rFonts w:ascii="Garamond" w:hAnsi="Garamond"/>
          <w:i/>
        </w:rPr>
        <w:t xml:space="preserve">, </w:t>
      </w:r>
      <w:r w:rsidR="00CE4F7B" w:rsidRPr="00E421F4">
        <w:rPr>
          <w:rFonts w:ascii="Garamond" w:hAnsi="Garamond"/>
        </w:rPr>
        <w:t>which</w:t>
      </w:r>
      <w:r w:rsidR="00CE4F7B" w:rsidRPr="00E421F4">
        <w:rPr>
          <w:rFonts w:ascii="Garamond" w:hAnsi="Garamond"/>
          <w:i/>
        </w:rPr>
        <w:t xml:space="preserve"> </w:t>
      </w:r>
      <w:r w:rsidR="009B498C" w:rsidRPr="00E421F4">
        <w:rPr>
          <w:rFonts w:ascii="Garamond" w:hAnsi="Garamond"/>
        </w:rPr>
        <w:t xml:space="preserve">is spent directly on the organization itself – staff, buildings, vehicle fleets, computing facilities and the like. </w:t>
      </w:r>
      <w:r w:rsidR="00CE4F7B" w:rsidRPr="00E421F4">
        <w:rPr>
          <w:rFonts w:ascii="Garamond" w:hAnsi="Garamond"/>
        </w:rPr>
        <w:t xml:space="preserve">According to Dunleavy, </w:t>
      </w:r>
      <w:r w:rsidR="005F3AF1" w:rsidRPr="00E421F4">
        <w:rPr>
          <w:rFonts w:ascii="Garamond" w:hAnsi="Garamond"/>
        </w:rPr>
        <w:t>core budgets do little to increase survival chances because they do not benefit external stakeholders</w:t>
      </w:r>
      <w:r w:rsidR="00767167" w:rsidRPr="00E421F4">
        <w:rPr>
          <w:rFonts w:ascii="Garamond" w:hAnsi="Garamond"/>
        </w:rPr>
        <w:t xml:space="preserve"> and may be seen as a </w:t>
      </w:r>
      <w:r w:rsidR="004551FD" w:rsidRPr="00E421F4">
        <w:rPr>
          <w:rFonts w:ascii="Garamond" w:hAnsi="Garamond"/>
        </w:rPr>
        <w:t>measure</w:t>
      </w:r>
      <w:r w:rsidR="00767167" w:rsidRPr="00E421F4">
        <w:rPr>
          <w:rFonts w:ascii="Garamond" w:hAnsi="Garamond"/>
        </w:rPr>
        <w:t xml:space="preserve"> of </w:t>
      </w:r>
      <w:r w:rsidR="004551FD" w:rsidRPr="00E421F4">
        <w:rPr>
          <w:rFonts w:ascii="Garamond" w:hAnsi="Garamond"/>
        </w:rPr>
        <w:t>organizational inefficiency</w:t>
      </w:r>
      <w:r w:rsidR="00767167" w:rsidRPr="00E421F4">
        <w:rPr>
          <w:rFonts w:ascii="Garamond" w:hAnsi="Garamond"/>
        </w:rPr>
        <w:t>. A</w:t>
      </w:r>
      <w:r w:rsidR="005F3AF1" w:rsidRPr="00E421F4">
        <w:rPr>
          <w:rFonts w:ascii="Garamond" w:hAnsi="Garamond"/>
        </w:rPr>
        <w:t xml:space="preserve"> large programme budget </w:t>
      </w:r>
      <w:r w:rsidR="004551FD" w:rsidRPr="00E421F4">
        <w:rPr>
          <w:rFonts w:ascii="Garamond" w:hAnsi="Garamond"/>
        </w:rPr>
        <w:t>with a</w:t>
      </w:r>
      <w:r w:rsidR="00767167" w:rsidRPr="00E421F4">
        <w:rPr>
          <w:rFonts w:ascii="Garamond" w:hAnsi="Garamond"/>
        </w:rPr>
        <w:t xml:space="preserve"> small core budget is more likely to please stakeholders and </w:t>
      </w:r>
      <w:r w:rsidR="004551FD" w:rsidRPr="00E421F4">
        <w:rPr>
          <w:rFonts w:ascii="Garamond" w:hAnsi="Garamond"/>
        </w:rPr>
        <w:t xml:space="preserve">mollify </w:t>
      </w:r>
      <w:r w:rsidR="00767167" w:rsidRPr="00E421F4">
        <w:rPr>
          <w:rFonts w:ascii="Garamond" w:hAnsi="Garamond"/>
        </w:rPr>
        <w:t xml:space="preserve">critics (Dunleavy 1985: 307). </w:t>
      </w:r>
    </w:p>
    <w:p w14:paraId="1615BB27" w14:textId="2704FA6A" w:rsidR="000801EE" w:rsidRPr="00E421F4" w:rsidRDefault="00D3060C" w:rsidP="000D62B5">
      <w:pPr>
        <w:spacing w:line="360" w:lineRule="auto"/>
        <w:rPr>
          <w:rFonts w:ascii="Garamond" w:hAnsi="Garamond"/>
        </w:rPr>
      </w:pPr>
      <w:r w:rsidRPr="00E421F4">
        <w:rPr>
          <w:rFonts w:ascii="Garamond" w:hAnsi="Garamond"/>
        </w:rPr>
        <w:tab/>
      </w:r>
      <w:r w:rsidR="00063649" w:rsidRPr="00E421F4">
        <w:rPr>
          <w:rFonts w:ascii="Garamond" w:hAnsi="Garamond"/>
        </w:rPr>
        <w:t>Simon’s, Down</w:t>
      </w:r>
      <w:r w:rsidR="005B0EB5" w:rsidRPr="00E421F4">
        <w:rPr>
          <w:rFonts w:ascii="Garamond" w:hAnsi="Garamond"/>
        </w:rPr>
        <w:t>s</w:t>
      </w:r>
      <w:r w:rsidR="00063649" w:rsidRPr="00E421F4">
        <w:rPr>
          <w:rFonts w:ascii="Garamond" w:hAnsi="Garamond"/>
        </w:rPr>
        <w:t>’s</w:t>
      </w:r>
      <w:r w:rsidR="0099477F" w:rsidRPr="00E421F4">
        <w:rPr>
          <w:rFonts w:ascii="Garamond" w:hAnsi="Garamond"/>
        </w:rPr>
        <w:t xml:space="preserve"> and Dunleavy’s</w:t>
      </w:r>
      <w:r w:rsidR="005B0EB5" w:rsidRPr="00E421F4">
        <w:rPr>
          <w:rFonts w:ascii="Garamond" w:hAnsi="Garamond"/>
        </w:rPr>
        <w:t xml:space="preserve"> arguments about </w:t>
      </w:r>
      <w:r w:rsidR="000D62B5" w:rsidRPr="00E421F4">
        <w:rPr>
          <w:rFonts w:ascii="Garamond" w:hAnsi="Garamond"/>
        </w:rPr>
        <w:t>organizational</w:t>
      </w:r>
      <w:r w:rsidR="005B0EB5" w:rsidRPr="00E421F4">
        <w:rPr>
          <w:rFonts w:ascii="Garamond" w:hAnsi="Garamond"/>
        </w:rPr>
        <w:t xml:space="preserve"> survival are based on theoretical assumptions, not empirical research.</w:t>
      </w:r>
      <w:r w:rsidR="009A3670" w:rsidRPr="00E421F4">
        <w:rPr>
          <w:rFonts w:ascii="Garamond" w:hAnsi="Garamond"/>
        </w:rPr>
        <w:t xml:space="preserve"> </w:t>
      </w:r>
      <w:r w:rsidR="006F1FA9" w:rsidRPr="00E421F4">
        <w:rPr>
          <w:rFonts w:ascii="Garamond" w:hAnsi="Garamond"/>
        </w:rPr>
        <w:t xml:space="preserve">This </w:t>
      </w:r>
      <w:r w:rsidR="009A3670" w:rsidRPr="00E421F4">
        <w:rPr>
          <w:rFonts w:ascii="Garamond" w:hAnsi="Garamond"/>
        </w:rPr>
        <w:t xml:space="preserve">empirical gap has recently been </w:t>
      </w:r>
      <w:r w:rsidR="000801EE" w:rsidRPr="00E421F4">
        <w:rPr>
          <w:rFonts w:ascii="Garamond" w:hAnsi="Garamond"/>
        </w:rPr>
        <w:t xml:space="preserve">addressed in two literatures: one </w:t>
      </w:r>
      <w:r w:rsidR="00924184" w:rsidRPr="00E421F4">
        <w:rPr>
          <w:rFonts w:ascii="Garamond" w:hAnsi="Garamond"/>
        </w:rPr>
        <w:t>that employs</w:t>
      </w:r>
      <w:r w:rsidR="009A3670" w:rsidRPr="00E421F4">
        <w:rPr>
          <w:rFonts w:ascii="Garamond" w:hAnsi="Garamond"/>
        </w:rPr>
        <w:t xml:space="preserve"> quantitative survival or hazard analys</w:t>
      </w:r>
      <w:r w:rsidR="006F1FA9" w:rsidRPr="00E421F4">
        <w:rPr>
          <w:rFonts w:ascii="Garamond" w:hAnsi="Garamond"/>
        </w:rPr>
        <w:t>e</w:t>
      </w:r>
      <w:r w:rsidR="009A3670" w:rsidRPr="00E421F4">
        <w:rPr>
          <w:rFonts w:ascii="Garamond" w:hAnsi="Garamond"/>
        </w:rPr>
        <w:t>s</w:t>
      </w:r>
      <w:r w:rsidR="000801EE" w:rsidRPr="00E421F4">
        <w:rPr>
          <w:rFonts w:ascii="Garamond" w:hAnsi="Garamond"/>
        </w:rPr>
        <w:t xml:space="preserve"> to study termination of US federal bodies, and a second </w:t>
      </w:r>
      <w:r w:rsidR="00924184" w:rsidRPr="00E421F4">
        <w:rPr>
          <w:rFonts w:ascii="Garamond" w:hAnsi="Garamond"/>
        </w:rPr>
        <w:t xml:space="preserve">that </w:t>
      </w:r>
      <w:r w:rsidR="000801EE" w:rsidRPr="00E421F4">
        <w:rPr>
          <w:rFonts w:ascii="Garamond" w:hAnsi="Garamond"/>
        </w:rPr>
        <w:t>address</w:t>
      </w:r>
      <w:r w:rsidR="00924184" w:rsidRPr="00E421F4">
        <w:rPr>
          <w:rFonts w:ascii="Garamond" w:hAnsi="Garamond"/>
        </w:rPr>
        <w:t>es</w:t>
      </w:r>
      <w:r w:rsidR="000801EE" w:rsidRPr="00E421F4">
        <w:rPr>
          <w:rFonts w:ascii="Garamond" w:hAnsi="Garamond"/>
        </w:rPr>
        <w:t xml:space="preserve"> ‘de-</w:t>
      </w:r>
      <w:proofErr w:type="spellStart"/>
      <w:r w:rsidR="000801EE" w:rsidRPr="00E421F4">
        <w:rPr>
          <w:rFonts w:ascii="Garamond" w:hAnsi="Garamond"/>
        </w:rPr>
        <w:t>agencification</w:t>
      </w:r>
      <w:proofErr w:type="spellEnd"/>
      <w:r w:rsidR="000801EE" w:rsidRPr="00E421F4">
        <w:rPr>
          <w:rFonts w:ascii="Garamond" w:hAnsi="Garamond"/>
        </w:rPr>
        <w:t xml:space="preserve">’ trends in Europe and Australia through qualitative methods. </w:t>
      </w:r>
      <w:r w:rsidR="00924184" w:rsidRPr="00E421F4">
        <w:rPr>
          <w:rFonts w:ascii="Garamond" w:hAnsi="Garamond"/>
        </w:rPr>
        <w:t>As we shall see</w:t>
      </w:r>
      <w:r w:rsidR="000801EE" w:rsidRPr="00E421F4">
        <w:rPr>
          <w:rFonts w:ascii="Garamond" w:hAnsi="Garamond"/>
        </w:rPr>
        <w:t>, this</w:t>
      </w:r>
      <w:r w:rsidR="00541A78" w:rsidRPr="00E421F4">
        <w:rPr>
          <w:rFonts w:ascii="Garamond" w:hAnsi="Garamond"/>
        </w:rPr>
        <w:t xml:space="preserve"> empirical</w:t>
      </w:r>
      <w:r w:rsidR="000801EE" w:rsidRPr="00E421F4">
        <w:rPr>
          <w:rFonts w:ascii="Garamond" w:hAnsi="Garamond"/>
        </w:rPr>
        <w:t xml:space="preserve"> literature has not uncovered a clear relationship </w:t>
      </w:r>
      <w:r w:rsidR="00B0583B" w:rsidRPr="00E421F4">
        <w:rPr>
          <w:rFonts w:ascii="Garamond" w:hAnsi="Garamond"/>
        </w:rPr>
        <w:t>between size and termination</w:t>
      </w:r>
      <w:r w:rsidR="000801EE" w:rsidRPr="00E421F4">
        <w:rPr>
          <w:rFonts w:ascii="Garamond" w:hAnsi="Garamond"/>
        </w:rPr>
        <w:t>.</w:t>
      </w:r>
    </w:p>
    <w:p w14:paraId="000C3B10" w14:textId="7533084E" w:rsidR="000801EE" w:rsidRPr="00E421F4" w:rsidRDefault="000801EE" w:rsidP="000D62B5">
      <w:pPr>
        <w:spacing w:line="360" w:lineRule="auto"/>
        <w:rPr>
          <w:rFonts w:ascii="Garamond" w:hAnsi="Garamond"/>
        </w:rPr>
      </w:pPr>
      <w:r w:rsidRPr="00E421F4">
        <w:rPr>
          <w:rFonts w:ascii="Garamond" w:hAnsi="Garamond"/>
        </w:rPr>
        <w:tab/>
        <w:t xml:space="preserve">Survival or hazard analyses </w:t>
      </w:r>
      <w:r w:rsidR="009A3670" w:rsidRPr="00E421F4">
        <w:rPr>
          <w:rFonts w:ascii="Garamond" w:hAnsi="Garamond"/>
        </w:rPr>
        <w:t xml:space="preserve">measure the length of time from organizational birth to death and attempt to isolate the factors that </w:t>
      </w:r>
      <w:r w:rsidR="00B0583B" w:rsidRPr="00E421F4">
        <w:rPr>
          <w:rFonts w:ascii="Garamond" w:hAnsi="Garamond"/>
        </w:rPr>
        <w:t>a</w:t>
      </w:r>
      <w:r w:rsidR="009A3670" w:rsidRPr="00E421F4">
        <w:rPr>
          <w:rFonts w:ascii="Garamond" w:hAnsi="Garamond"/>
        </w:rPr>
        <w:t xml:space="preserve">ffect termination risk at different ages (e.g. Berry et al., 2010; </w:t>
      </w:r>
      <w:proofErr w:type="spellStart"/>
      <w:r w:rsidR="009A3670" w:rsidRPr="00E421F4">
        <w:rPr>
          <w:rFonts w:ascii="Garamond" w:hAnsi="Garamond"/>
        </w:rPr>
        <w:t>Boin</w:t>
      </w:r>
      <w:proofErr w:type="spellEnd"/>
      <w:r w:rsidR="009A3670" w:rsidRPr="00E421F4">
        <w:rPr>
          <w:rFonts w:ascii="Garamond" w:hAnsi="Garamond"/>
        </w:rPr>
        <w:t xml:space="preserve"> et al., 2010; Carpenter &amp; Lewis, 2004; Lewis, 2002). </w:t>
      </w:r>
      <w:r w:rsidR="00D3060C" w:rsidRPr="00E421F4">
        <w:rPr>
          <w:rFonts w:ascii="Garamond" w:hAnsi="Garamond"/>
        </w:rPr>
        <w:t>According to survival analyses</w:t>
      </w:r>
      <w:r w:rsidRPr="00E421F4">
        <w:rPr>
          <w:rFonts w:ascii="Garamond" w:hAnsi="Garamond"/>
        </w:rPr>
        <w:t xml:space="preserve"> of US agencies</w:t>
      </w:r>
      <w:r w:rsidR="00D3060C" w:rsidRPr="00E421F4">
        <w:rPr>
          <w:rFonts w:ascii="Garamond" w:hAnsi="Garamond"/>
        </w:rPr>
        <w:t>, the most important variables affecting termination risk are age, relationship to the political executive and organizational adaptability</w:t>
      </w:r>
      <w:r w:rsidR="00FB449F" w:rsidRPr="00E421F4">
        <w:rPr>
          <w:rFonts w:ascii="Garamond" w:hAnsi="Garamond"/>
        </w:rPr>
        <w:t>.</w:t>
      </w:r>
      <w:r w:rsidR="00D3060C" w:rsidRPr="00E421F4">
        <w:rPr>
          <w:rFonts w:ascii="Garamond" w:hAnsi="Garamond"/>
        </w:rPr>
        <w:t xml:space="preserve"> </w:t>
      </w:r>
      <w:r w:rsidR="00FB449F" w:rsidRPr="00E421F4">
        <w:rPr>
          <w:rFonts w:ascii="Garamond" w:hAnsi="Garamond"/>
        </w:rPr>
        <w:t>In terms of agency age, t</w:t>
      </w:r>
      <w:r w:rsidR="00BC5ACE" w:rsidRPr="00E421F4">
        <w:rPr>
          <w:rFonts w:ascii="Garamond" w:hAnsi="Garamond"/>
        </w:rPr>
        <w:t>raditional theories such as those of Kaufman and Downs saw agencies’ temporal risk of termination in “monotonic” terms – that is, either increasing or decreasing in a linear fashion as they aged (</w:t>
      </w:r>
      <w:r w:rsidR="00BC5ACE" w:rsidRPr="00E421F4">
        <w:rPr>
          <w:rFonts w:ascii="Garamond" w:hAnsi="Garamond"/>
          <w:noProof/>
        </w:rPr>
        <w:t>Carpenter &amp; Lewis, 2004)</w:t>
      </w:r>
      <w:r w:rsidR="00BC5ACE" w:rsidRPr="00E421F4">
        <w:rPr>
          <w:rFonts w:ascii="Garamond" w:hAnsi="Garamond"/>
        </w:rPr>
        <w:t xml:space="preserve">. Recent survival analyses reject this model in favour of an inverted-U </w:t>
      </w:r>
      <w:r w:rsidR="00BC5ACE" w:rsidRPr="00E421F4">
        <w:rPr>
          <w:rFonts w:ascii="Garamond" w:hAnsi="Garamond"/>
        </w:rPr>
        <w:lastRenderedPageBreak/>
        <w:t>function: the hazard of termination is argued to be low at birth, rises steeply in the years following birth, and then declines gradually in subsequent years (</w:t>
      </w:r>
      <w:proofErr w:type="gramStart"/>
      <w:r w:rsidR="00BC5ACE" w:rsidRPr="00E421F4">
        <w:rPr>
          <w:rFonts w:ascii="Garamond" w:hAnsi="Garamond"/>
        </w:rPr>
        <w:t>ibid.;</w:t>
      </w:r>
      <w:proofErr w:type="gramEnd"/>
      <w:r w:rsidR="00BC5ACE" w:rsidRPr="00E421F4">
        <w:rPr>
          <w:rFonts w:ascii="Garamond" w:hAnsi="Garamond"/>
        </w:rPr>
        <w:t xml:space="preserve"> </w:t>
      </w:r>
      <w:proofErr w:type="spellStart"/>
      <w:r w:rsidR="00BC5ACE" w:rsidRPr="00E421F4">
        <w:rPr>
          <w:rFonts w:ascii="Garamond" w:hAnsi="Garamond"/>
        </w:rPr>
        <w:t>Boin</w:t>
      </w:r>
      <w:proofErr w:type="spellEnd"/>
      <w:r w:rsidR="00BC5ACE" w:rsidRPr="00E421F4">
        <w:rPr>
          <w:rFonts w:ascii="Garamond" w:hAnsi="Garamond"/>
        </w:rPr>
        <w:t xml:space="preserve"> et al 2010; </w:t>
      </w:r>
      <w:proofErr w:type="spellStart"/>
      <w:r w:rsidR="00BC5ACE" w:rsidRPr="00E421F4">
        <w:rPr>
          <w:rFonts w:ascii="Garamond" w:hAnsi="Garamond"/>
        </w:rPr>
        <w:t>Corder</w:t>
      </w:r>
      <w:proofErr w:type="spellEnd"/>
      <w:r w:rsidR="00BC5ACE" w:rsidRPr="00E421F4">
        <w:rPr>
          <w:rFonts w:ascii="Garamond" w:hAnsi="Garamond"/>
        </w:rPr>
        <w:t xml:space="preserve"> 2004). </w:t>
      </w:r>
      <w:r w:rsidR="00A21B62" w:rsidRPr="00E421F4">
        <w:rPr>
          <w:rFonts w:ascii="Garamond" w:hAnsi="Garamond"/>
        </w:rPr>
        <w:t>In addition to age,</w:t>
      </w:r>
      <w:r w:rsidR="00FB449F" w:rsidRPr="00E421F4">
        <w:rPr>
          <w:rFonts w:ascii="Garamond" w:hAnsi="Garamond"/>
        </w:rPr>
        <w:t xml:space="preserve"> </w:t>
      </w:r>
      <w:proofErr w:type="spellStart"/>
      <w:r w:rsidR="00BC5ACE" w:rsidRPr="00E421F4">
        <w:rPr>
          <w:rFonts w:ascii="Garamond" w:hAnsi="Garamond"/>
        </w:rPr>
        <w:t>Boin</w:t>
      </w:r>
      <w:proofErr w:type="spellEnd"/>
      <w:r w:rsidR="00BC5ACE" w:rsidRPr="00E421F4">
        <w:rPr>
          <w:rFonts w:ascii="Garamond" w:hAnsi="Garamond"/>
        </w:rPr>
        <w:t xml:space="preserve"> et </w:t>
      </w:r>
      <w:proofErr w:type="spellStart"/>
      <w:r w:rsidR="00BC5ACE" w:rsidRPr="00E421F4">
        <w:rPr>
          <w:rFonts w:ascii="Garamond" w:hAnsi="Garamond"/>
        </w:rPr>
        <w:t>al’s</w:t>
      </w:r>
      <w:proofErr w:type="spellEnd"/>
      <w:r w:rsidR="00BC5ACE" w:rsidRPr="00E421F4">
        <w:rPr>
          <w:rFonts w:ascii="Garamond" w:hAnsi="Garamond"/>
        </w:rPr>
        <w:t xml:space="preserve"> </w:t>
      </w:r>
      <w:r w:rsidR="00A21B62" w:rsidRPr="00E421F4">
        <w:rPr>
          <w:rFonts w:ascii="Garamond" w:hAnsi="Garamond"/>
        </w:rPr>
        <w:t xml:space="preserve">(2010) hazard analysis </w:t>
      </w:r>
      <w:r w:rsidR="00BC5ACE" w:rsidRPr="00E421F4">
        <w:rPr>
          <w:rFonts w:ascii="Garamond" w:hAnsi="Garamond"/>
        </w:rPr>
        <w:t xml:space="preserve">of US data </w:t>
      </w:r>
      <w:r w:rsidR="00063649" w:rsidRPr="00E421F4">
        <w:rPr>
          <w:rFonts w:ascii="Garamond" w:hAnsi="Garamond"/>
        </w:rPr>
        <w:t>suggests</w:t>
      </w:r>
      <w:r w:rsidR="00BC5ACE" w:rsidRPr="00E421F4">
        <w:rPr>
          <w:rFonts w:ascii="Garamond" w:hAnsi="Garamond"/>
        </w:rPr>
        <w:t xml:space="preserve"> “</w:t>
      </w:r>
      <w:r w:rsidR="00063649" w:rsidRPr="00E421F4">
        <w:rPr>
          <w:rFonts w:ascii="Garamond" w:hAnsi="Garamond"/>
        </w:rPr>
        <w:t>i</w:t>
      </w:r>
      <w:r w:rsidR="00BC5ACE" w:rsidRPr="00E421F4">
        <w:rPr>
          <w:rFonts w:ascii="Garamond" w:hAnsi="Garamond"/>
        </w:rPr>
        <w:t xml:space="preserve">nsulation” from the executive, in the form of either “distance” down the organizational hierarchy, or legal independence, appears to reduce termination risk in the short term but increase it in the long </w:t>
      </w:r>
      <w:r w:rsidR="00A21B62" w:rsidRPr="00E421F4">
        <w:rPr>
          <w:rFonts w:ascii="Garamond" w:hAnsi="Garamond"/>
        </w:rPr>
        <w:t>run</w:t>
      </w:r>
      <w:r w:rsidR="006F1FA9" w:rsidRPr="00E421F4">
        <w:rPr>
          <w:rFonts w:ascii="Garamond" w:hAnsi="Garamond"/>
        </w:rPr>
        <w:t>.</w:t>
      </w:r>
      <w:r w:rsidR="005B0EB5" w:rsidRPr="00E421F4">
        <w:rPr>
          <w:rFonts w:ascii="Garamond" w:hAnsi="Garamond"/>
        </w:rPr>
        <w:t xml:space="preserve"> </w:t>
      </w:r>
      <w:proofErr w:type="spellStart"/>
      <w:r w:rsidR="00FB449F" w:rsidRPr="00E421F4">
        <w:rPr>
          <w:rFonts w:ascii="Garamond" w:hAnsi="Garamond"/>
        </w:rPr>
        <w:t>Boin</w:t>
      </w:r>
      <w:proofErr w:type="spellEnd"/>
      <w:r w:rsidR="00FB449F" w:rsidRPr="00E421F4">
        <w:rPr>
          <w:rFonts w:ascii="Garamond" w:hAnsi="Garamond"/>
        </w:rPr>
        <w:t xml:space="preserve"> et al </w:t>
      </w:r>
      <w:r w:rsidR="00A21B62" w:rsidRPr="00E421F4">
        <w:rPr>
          <w:rFonts w:ascii="Garamond" w:hAnsi="Garamond"/>
        </w:rPr>
        <w:t>(2010)</w:t>
      </w:r>
      <w:r w:rsidR="00043FCF" w:rsidRPr="00E421F4">
        <w:rPr>
          <w:rFonts w:ascii="Garamond" w:hAnsi="Garamond"/>
        </w:rPr>
        <w:t xml:space="preserve"> </w:t>
      </w:r>
      <w:r w:rsidR="00BC5ACE" w:rsidRPr="00E421F4">
        <w:rPr>
          <w:rFonts w:ascii="Garamond" w:hAnsi="Garamond"/>
        </w:rPr>
        <w:t>f</w:t>
      </w:r>
      <w:r w:rsidR="00043FCF" w:rsidRPr="00E421F4">
        <w:rPr>
          <w:rFonts w:ascii="Garamond" w:hAnsi="Garamond"/>
        </w:rPr>
        <w:t>ou</w:t>
      </w:r>
      <w:r w:rsidR="00BC5ACE" w:rsidRPr="00E421F4">
        <w:rPr>
          <w:rFonts w:ascii="Garamond" w:hAnsi="Garamond"/>
        </w:rPr>
        <w:t xml:space="preserve">nd </w:t>
      </w:r>
      <w:r w:rsidR="005B0EB5" w:rsidRPr="00E421F4">
        <w:rPr>
          <w:rFonts w:ascii="Garamond" w:hAnsi="Garamond"/>
        </w:rPr>
        <w:t xml:space="preserve">the ability of the agency to adapt to the changing priorities of the executive and legislature is a strong predictor of survival (see also </w:t>
      </w:r>
      <w:proofErr w:type="spellStart"/>
      <w:r w:rsidR="005B0EB5" w:rsidRPr="00E421F4">
        <w:rPr>
          <w:rFonts w:ascii="Garamond" w:hAnsi="Garamond"/>
        </w:rPr>
        <w:t>MacCarthaigh</w:t>
      </w:r>
      <w:proofErr w:type="spellEnd"/>
      <w:r w:rsidR="005B0EB5" w:rsidRPr="00E421F4">
        <w:rPr>
          <w:rFonts w:ascii="Garamond" w:hAnsi="Garamond"/>
        </w:rPr>
        <w:t xml:space="preserve"> 2014). O</w:t>
      </w:r>
      <w:r w:rsidR="00BC5ACE" w:rsidRPr="00E421F4">
        <w:rPr>
          <w:rFonts w:ascii="Garamond" w:hAnsi="Garamond"/>
        </w:rPr>
        <w:t xml:space="preserve">rganizational characteristics </w:t>
      </w:r>
      <w:r w:rsidR="00FB449F" w:rsidRPr="00E421F4">
        <w:rPr>
          <w:rFonts w:ascii="Garamond" w:hAnsi="Garamond"/>
        </w:rPr>
        <w:t xml:space="preserve">such as size </w:t>
      </w:r>
      <w:r w:rsidR="005B0EB5" w:rsidRPr="00E421F4">
        <w:rPr>
          <w:rFonts w:ascii="Garamond" w:hAnsi="Garamond"/>
        </w:rPr>
        <w:t xml:space="preserve">were not found to </w:t>
      </w:r>
      <w:r w:rsidR="00FB449F" w:rsidRPr="00E421F4">
        <w:rPr>
          <w:rFonts w:ascii="Garamond" w:hAnsi="Garamond"/>
        </w:rPr>
        <w:t>have a statistically significant</w:t>
      </w:r>
      <w:r w:rsidR="00BC5ACE" w:rsidRPr="00E421F4">
        <w:rPr>
          <w:rFonts w:ascii="Garamond" w:hAnsi="Garamond"/>
        </w:rPr>
        <w:t xml:space="preserve"> effect</w:t>
      </w:r>
      <w:r w:rsidR="005B0EB5" w:rsidRPr="00E421F4">
        <w:rPr>
          <w:rFonts w:ascii="Garamond" w:hAnsi="Garamond"/>
        </w:rPr>
        <w:t xml:space="preserve"> (ibid.) </w:t>
      </w:r>
    </w:p>
    <w:p w14:paraId="548CF025" w14:textId="45A99714" w:rsidR="001D4810" w:rsidRPr="00E421F4" w:rsidRDefault="000801EE" w:rsidP="000D62B5">
      <w:pPr>
        <w:spacing w:line="360" w:lineRule="auto"/>
        <w:rPr>
          <w:rFonts w:ascii="Garamond" w:hAnsi="Garamond"/>
        </w:rPr>
      </w:pPr>
      <w:r w:rsidRPr="00E421F4">
        <w:rPr>
          <w:rFonts w:ascii="Garamond" w:hAnsi="Garamond"/>
        </w:rPr>
        <w:tab/>
      </w:r>
      <w:r w:rsidR="00FC61DD" w:rsidRPr="00E421F4">
        <w:rPr>
          <w:rFonts w:ascii="Garamond" w:hAnsi="Garamond"/>
        </w:rPr>
        <w:t xml:space="preserve">Berry et al (2010) </w:t>
      </w:r>
      <w:r w:rsidR="00FB449F" w:rsidRPr="00E421F4">
        <w:rPr>
          <w:rFonts w:ascii="Garamond" w:hAnsi="Garamond"/>
        </w:rPr>
        <w:t>stud</w:t>
      </w:r>
      <w:r w:rsidR="00043FCF" w:rsidRPr="00E421F4">
        <w:rPr>
          <w:rFonts w:ascii="Garamond" w:hAnsi="Garamond"/>
        </w:rPr>
        <w:t>ied</w:t>
      </w:r>
      <w:r w:rsidR="00FC61DD" w:rsidRPr="00E421F4">
        <w:rPr>
          <w:rFonts w:ascii="Garamond" w:hAnsi="Garamond"/>
        </w:rPr>
        <w:t xml:space="preserve"> the impact </w:t>
      </w:r>
      <w:r w:rsidR="009A3670" w:rsidRPr="00E421F4">
        <w:rPr>
          <w:rFonts w:ascii="Garamond" w:hAnsi="Garamond"/>
        </w:rPr>
        <w:t>of</w:t>
      </w:r>
      <w:r w:rsidR="00EC3536" w:rsidRPr="00E421F4">
        <w:rPr>
          <w:rFonts w:ascii="Garamond" w:hAnsi="Garamond"/>
        </w:rPr>
        <w:t xml:space="preserve"> </w:t>
      </w:r>
      <w:r w:rsidR="00FC61DD" w:rsidRPr="00E421F4">
        <w:rPr>
          <w:rFonts w:ascii="Garamond" w:hAnsi="Garamond"/>
        </w:rPr>
        <w:t>the</w:t>
      </w:r>
      <w:r w:rsidR="005B0EB5" w:rsidRPr="00E421F4">
        <w:rPr>
          <w:rFonts w:ascii="Garamond" w:hAnsi="Garamond"/>
        </w:rPr>
        <w:t xml:space="preserve"> size of an agency’s</w:t>
      </w:r>
      <w:r w:rsidR="00FC61DD" w:rsidRPr="00E421F4">
        <w:rPr>
          <w:rFonts w:ascii="Garamond" w:hAnsi="Garamond"/>
        </w:rPr>
        <w:t xml:space="preserve"> </w:t>
      </w:r>
      <w:r w:rsidR="00A21B62" w:rsidRPr="00E421F4">
        <w:rPr>
          <w:rFonts w:ascii="Garamond" w:hAnsi="Garamond"/>
        </w:rPr>
        <w:t xml:space="preserve">bureau budget </w:t>
      </w:r>
      <w:r w:rsidR="005B0EB5" w:rsidRPr="00E421F4">
        <w:rPr>
          <w:rFonts w:ascii="Garamond" w:hAnsi="Garamond"/>
        </w:rPr>
        <w:t xml:space="preserve">at creation </w:t>
      </w:r>
      <w:r w:rsidR="00FC61DD" w:rsidRPr="00E421F4">
        <w:rPr>
          <w:rFonts w:ascii="Garamond" w:hAnsi="Garamond"/>
        </w:rPr>
        <w:t>on survival, and f</w:t>
      </w:r>
      <w:r w:rsidR="00043FCF" w:rsidRPr="00E421F4">
        <w:rPr>
          <w:rFonts w:ascii="Garamond" w:hAnsi="Garamond"/>
        </w:rPr>
        <w:t>ou</w:t>
      </w:r>
      <w:r w:rsidR="00FC61DD" w:rsidRPr="00E421F4">
        <w:rPr>
          <w:rFonts w:ascii="Garamond" w:hAnsi="Garamond"/>
        </w:rPr>
        <w:t xml:space="preserve">nd a positive correlation. Levitt and Snyder (1997) </w:t>
      </w:r>
      <w:r w:rsidR="00043FCF" w:rsidRPr="00E421F4">
        <w:rPr>
          <w:rFonts w:ascii="Garamond" w:hAnsi="Garamond"/>
        </w:rPr>
        <w:t>studied</w:t>
      </w:r>
      <w:r w:rsidR="00A21B62" w:rsidRPr="00E421F4">
        <w:rPr>
          <w:rFonts w:ascii="Garamond" w:hAnsi="Garamond"/>
        </w:rPr>
        <w:t xml:space="preserve"> </w:t>
      </w:r>
      <w:r w:rsidR="00043FCF" w:rsidRPr="00E421F4">
        <w:rPr>
          <w:rFonts w:ascii="Garamond" w:hAnsi="Garamond"/>
        </w:rPr>
        <w:t>programme budge</w:t>
      </w:r>
      <w:r w:rsidR="005B0EB5" w:rsidRPr="00E421F4">
        <w:rPr>
          <w:rFonts w:ascii="Garamond" w:hAnsi="Garamond"/>
        </w:rPr>
        <w:t>ts</w:t>
      </w:r>
      <w:r w:rsidR="00043FCF" w:rsidRPr="00E421F4">
        <w:rPr>
          <w:rFonts w:ascii="Garamond" w:hAnsi="Garamond"/>
        </w:rPr>
        <w:t>, and fou</w:t>
      </w:r>
      <w:r w:rsidR="00A21B62" w:rsidRPr="00E421F4">
        <w:rPr>
          <w:rFonts w:ascii="Garamond" w:hAnsi="Garamond"/>
        </w:rPr>
        <w:t>nd smaller</w:t>
      </w:r>
      <w:r w:rsidR="00FC61DD" w:rsidRPr="00E421F4">
        <w:rPr>
          <w:rFonts w:ascii="Garamond" w:hAnsi="Garamond"/>
        </w:rPr>
        <w:t xml:space="preserve"> program</w:t>
      </w:r>
      <w:r w:rsidR="00A21B62" w:rsidRPr="00E421F4">
        <w:rPr>
          <w:rFonts w:ascii="Garamond" w:hAnsi="Garamond"/>
        </w:rPr>
        <w:t>mes</w:t>
      </w:r>
      <w:r w:rsidR="00FC61DD" w:rsidRPr="00E421F4">
        <w:rPr>
          <w:rFonts w:ascii="Garamond" w:hAnsi="Garamond"/>
        </w:rPr>
        <w:t xml:space="preserve"> tend to experience more volatility in funding</w:t>
      </w:r>
      <w:r w:rsidR="00FB449F" w:rsidRPr="00E421F4">
        <w:rPr>
          <w:rFonts w:ascii="Garamond" w:hAnsi="Garamond"/>
        </w:rPr>
        <w:t xml:space="preserve">, but </w:t>
      </w:r>
      <w:r w:rsidR="00043FCF" w:rsidRPr="00E421F4">
        <w:rPr>
          <w:rFonts w:ascii="Garamond" w:hAnsi="Garamond"/>
        </w:rPr>
        <w:t>this research did</w:t>
      </w:r>
      <w:r w:rsidR="00A21B62" w:rsidRPr="00E421F4">
        <w:rPr>
          <w:rFonts w:ascii="Garamond" w:hAnsi="Garamond"/>
        </w:rPr>
        <w:t xml:space="preserve"> </w:t>
      </w:r>
      <w:r w:rsidR="00FB449F" w:rsidRPr="00E421F4">
        <w:rPr>
          <w:rFonts w:ascii="Garamond" w:hAnsi="Garamond"/>
        </w:rPr>
        <w:t>not address termination</w:t>
      </w:r>
      <w:r w:rsidR="00A21B62" w:rsidRPr="00E421F4">
        <w:rPr>
          <w:rFonts w:ascii="Garamond" w:hAnsi="Garamond"/>
        </w:rPr>
        <w:t xml:space="preserve"> explicitly</w:t>
      </w:r>
      <w:r w:rsidR="00FC61DD" w:rsidRPr="00E421F4">
        <w:rPr>
          <w:rFonts w:ascii="Garamond" w:hAnsi="Garamond"/>
        </w:rPr>
        <w:t xml:space="preserve">. Lewis (2002, 2004) and Carpenter and Lewis (2004) </w:t>
      </w:r>
      <w:r w:rsidR="00FB449F" w:rsidRPr="00E421F4">
        <w:rPr>
          <w:rFonts w:ascii="Garamond" w:hAnsi="Garamond"/>
        </w:rPr>
        <w:t>test</w:t>
      </w:r>
      <w:r w:rsidR="00043FCF" w:rsidRPr="00E421F4">
        <w:rPr>
          <w:rFonts w:ascii="Garamond" w:hAnsi="Garamond"/>
        </w:rPr>
        <w:t>ed</w:t>
      </w:r>
      <w:r w:rsidR="00FB449F" w:rsidRPr="00E421F4">
        <w:rPr>
          <w:rFonts w:ascii="Garamond" w:hAnsi="Garamond"/>
        </w:rPr>
        <w:t xml:space="preserve"> the effect of </w:t>
      </w:r>
      <w:r w:rsidR="00173C00" w:rsidRPr="00E421F4">
        <w:rPr>
          <w:rFonts w:ascii="Garamond" w:hAnsi="Garamond"/>
        </w:rPr>
        <w:t xml:space="preserve">bureau budget </w:t>
      </w:r>
      <w:r w:rsidR="00FB449F" w:rsidRPr="00E421F4">
        <w:rPr>
          <w:rFonts w:ascii="Garamond" w:hAnsi="Garamond"/>
        </w:rPr>
        <w:t xml:space="preserve">size on </w:t>
      </w:r>
      <w:r w:rsidR="00043FCF" w:rsidRPr="00E421F4">
        <w:rPr>
          <w:rFonts w:ascii="Garamond" w:hAnsi="Garamond"/>
        </w:rPr>
        <w:t>termination</w:t>
      </w:r>
      <w:r w:rsidR="00FB449F" w:rsidRPr="00E421F4">
        <w:rPr>
          <w:rFonts w:ascii="Garamond" w:hAnsi="Garamond"/>
        </w:rPr>
        <w:t xml:space="preserve"> but </w:t>
      </w:r>
      <w:r w:rsidR="00FC61DD" w:rsidRPr="00E421F4">
        <w:rPr>
          <w:rFonts w:ascii="Garamond" w:hAnsi="Garamond"/>
        </w:rPr>
        <w:t>conceptuali</w:t>
      </w:r>
      <w:r w:rsidR="00FB449F" w:rsidRPr="00E421F4">
        <w:rPr>
          <w:rFonts w:ascii="Garamond" w:hAnsi="Garamond"/>
        </w:rPr>
        <w:t>ze</w:t>
      </w:r>
      <w:r w:rsidR="00043FCF" w:rsidRPr="00E421F4">
        <w:rPr>
          <w:rFonts w:ascii="Garamond" w:hAnsi="Garamond"/>
        </w:rPr>
        <w:t>d</w:t>
      </w:r>
      <w:r w:rsidR="00FC61DD" w:rsidRPr="00E421F4">
        <w:rPr>
          <w:rFonts w:ascii="Garamond" w:hAnsi="Garamond"/>
        </w:rPr>
        <w:t xml:space="preserve"> </w:t>
      </w:r>
      <w:r w:rsidR="00FB449F" w:rsidRPr="00E421F4">
        <w:rPr>
          <w:rFonts w:ascii="Garamond" w:hAnsi="Garamond"/>
        </w:rPr>
        <w:t>it</w:t>
      </w:r>
      <w:r w:rsidR="00FC61DD" w:rsidRPr="00E421F4">
        <w:rPr>
          <w:rFonts w:ascii="Garamond" w:hAnsi="Garamond"/>
        </w:rPr>
        <w:t xml:space="preserve"> a</w:t>
      </w:r>
      <w:r w:rsidR="00173C00" w:rsidRPr="00E421F4">
        <w:rPr>
          <w:rFonts w:ascii="Garamond" w:hAnsi="Garamond"/>
        </w:rPr>
        <w:t>s a</w:t>
      </w:r>
      <w:r w:rsidR="00FC61DD" w:rsidRPr="00E421F4">
        <w:rPr>
          <w:rFonts w:ascii="Garamond" w:hAnsi="Garamond"/>
        </w:rPr>
        <w:t xml:space="preserve"> dummy variable –</w:t>
      </w:r>
      <w:r w:rsidR="00FB449F" w:rsidRPr="00E421F4">
        <w:rPr>
          <w:rFonts w:ascii="Garamond" w:hAnsi="Garamond"/>
        </w:rPr>
        <w:t xml:space="preserve"> </w:t>
      </w:r>
      <w:r w:rsidR="00FC61DD" w:rsidRPr="00E421F4">
        <w:rPr>
          <w:rFonts w:ascii="Garamond" w:hAnsi="Garamond"/>
        </w:rPr>
        <w:t>whether or not the agency has a separate line in the US Federal budget – on the assumption that a</w:t>
      </w:r>
      <w:r w:rsidR="00A21B62" w:rsidRPr="00E421F4">
        <w:rPr>
          <w:rFonts w:ascii="Garamond" w:hAnsi="Garamond"/>
        </w:rPr>
        <w:t xml:space="preserve">n agency with </w:t>
      </w:r>
      <w:r w:rsidR="004B0DD5" w:rsidRPr="00E421F4">
        <w:rPr>
          <w:rFonts w:ascii="Garamond" w:hAnsi="Garamond"/>
        </w:rPr>
        <w:t xml:space="preserve">a separate line will have </w:t>
      </w:r>
      <w:r w:rsidR="00A21B62" w:rsidRPr="00E421F4">
        <w:rPr>
          <w:rFonts w:ascii="Garamond" w:hAnsi="Garamond"/>
        </w:rPr>
        <w:t>a larger bureau budget</w:t>
      </w:r>
      <w:r w:rsidR="00FC61DD" w:rsidRPr="00E421F4">
        <w:rPr>
          <w:rFonts w:ascii="Garamond" w:hAnsi="Garamond"/>
        </w:rPr>
        <w:t>. Their studies f</w:t>
      </w:r>
      <w:r w:rsidR="00043FCF" w:rsidRPr="00E421F4">
        <w:rPr>
          <w:rFonts w:ascii="Garamond" w:hAnsi="Garamond"/>
        </w:rPr>
        <w:t>ou</w:t>
      </w:r>
      <w:r w:rsidR="00FC61DD" w:rsidRPr="00E421F4">
        <w:rPr>
          <w:rFonts w:ascii="Garamond" w:hAnsi="Garamond"/>
        </w:rPr>
        <w:t xml:space="preserve">nd that </w:t>
      </w:r>
      <w:r w:rsidR="00A21B62" w:rsidRPr="00E421F4">
        <w:rPr>
          <w:rFonts w:ascii="Garamond" w:hAnsi="Garamond"/>
        </w:rPr>
        <w:t xml:space="preserve">the </w:t>
      </w:r>
      <w:r w:rsidR="00043FCF" w:rsidRPr="00E421F4">
        <w:rPr>
          <w:rFonts w:ascii="Garamond" w:hAnsi="Garamond"/>
        </w:rPr>
        <w:t xml:space="preserve">presence of </w:t>
      </w:r>
      <w:r w:rsidR="00A21B62" w:rsidRPr="00E421F4">
        <w:rPr>
          <w:rFonts w:ascii="Garamond" w:hAnsi="Garamond"/>
        </w:rPr>
        <w:t xml:space="preserve">a separate budget line </w:t>
      </w:r>
      <w:r w:rsidR="00FC61DD" w:rsidRPr="00E421F4">
        <w:rPr>
          <w:rFonts w:ascii="Garamond" w:hAnsi="Garamond"/>
        </w:rPr>
        <w:t>ha</w:t>
      </w:r>
      <w:r w:rsidR="00043FCF" w:rsidRPr="00E421F4">
        <w:rPr>
          <w:rFonts w:ascii="Garamond" w:hAnsi="Garamond"/>
        </w:rPr>
        <w:t>d</w:t>
      </w:r>
      <w:r w:rsidR="00FC61DD" w:rsidRPr="00E421F4">
        <w:rPr>
          <w:rFonts w:ascii="Garamond" w:hAnsi="Garamond"/>
        </w:rPr>
        <w:t xml:space="preserve"> a small but statistically significant </w:t>
      </w:r>
      <w:r w:rsidR="00043FCF" w:rsidRPr="00E421F4">
        <w:rPr>
          <w:rFonts w:ascii="Garamond" w:hAnsi="Garamond"/>
        </w:rPr>
        <w:t xml:space="preserve">negative </w:t>
      </w:r>
      <w:r w:rsidR="00FC61DD" w:rsidRPr="00E421F4">
        <w:rPr>
          <w:rFonts w:ascii="Garamond" w:hAnsi="Garamond"/>
        </w:rPr>
        <w:t>impact on termination risk.</w:t>
      </w:r>
      <w:r w:rsidR="00BC5ACE" w:rsidRPr="00E421F4">
        <w:rPr>
          <w:rFonts w:ascii="Garamond" w:hAnsi="Garamond"/>
        </w:rPr>
        <w:t xml:space="preserve"> </w:t>
      </w:r>
    </w:p>
    <w:p w14:paraId="18F8837B" w14:textId="6DCD13AA" w:rsidR="000801EE" w:rsidRPr="00E421F4" w:rsidRDefault="000801EE" w:rsidP="000801EE">
      <w:pPr>
        <w:spacing w:line="360" w:lineRule="auto"/>
        <w:rPr>
          <w:rFonts w:ascii="Garamond" w:hAnsi="Garamond"/>
        </w:rPr>
      </w:pPr>
      <w:r w:rsidRPr="00E421F4">
        <w:rPr>
          <w:rFonts w:ascii="Garamond" w:hAnsi="Garamond"/>
        </w:rPr>
        <w:tab/>
        <w:t xml:space="preserve">In contrast to the aforementioned quantitative hazard analyses, recent literature </w:t>
      </w:r>
      <w:r w:rsidR="00541A78" w:rsidRPr="00E421F4">
        <w:rPr>
          <w:rFonts w:ascii="Garamond" w:hAnsi="Garamond"/>
        </w:rPr>
        <w:t>on ‘de-</w:t>
      </w:r>
      <w:proofErr w:type="spellStart"/>
      <w:r w:rsidR="00541A78" w:rsidRPr="00E421F4">
        <w:rPr>
          <w:rFonts w:ascii="Garamond" w:hAnsi="Garamond"/>
        </w:rPr>
        <w:t>agencification</w:t>
      </w:r>
      <w:proofErr w:type="spellEnd"/>
      <w:r w:rsidR="00541A78" w:rsidRPr="00E421F4">
        <w:rPr>
          <w:rFonts w:ascii="Garamond" w:hAnsi="Garamond"/>
        </w:rPr>
        <w:t xml:space="preserve">’ </w:t>
      </w:r>
      <w:r w:rsidRPr="00E421F4">
        <w:rPr>
          <w:rFonts w:ascii="Garamond" w:hAnsi="Garamond"/>
        </w:rPr>
        <w:t>in Europe and Australia emphasizes the impact of historical, discursive and institutional contexts on public organizational termination</w:t>
      </w:r>
      <w:r w:rsidR="00C80075" w:rsidRPr="00E421F4">
        <w:rPr>
          <w:rFonts w:ascii="Garamond" w:hAnsi="Garamond"/>
        </w:rPr>
        <w:t xml:space="preserve"> (Flinders, </w:t>
      </w:r>
      <w:proofErr w:type="spellStart"/>
      <w:r w:rsidR="00C80075" w:rsidRPr="00E421F4">
        <w:rPr>
          <w:rFonts w:ascii="Garamond" w:hAnsi="Garamond"/>
        </w:rPr>
        <w:t>Dommett</w:t>
      </w:r>
      <w:proofErr w:type="spellEnd"/>
      <w:r w:rsidR="00C80075" w:rsidRPr="00E421F4">
        <w:rPr>
          <w:rFonts w:ascii="Garamond" w:hAnsi="Garamond"/>
        </w:rPr>
        <w:t xml:space="preserve">, &amp; </w:t>
      </w:r>
      <w:proofErr w:type="spellStart"/>
      <w:r w:rsidR="00C80075" w:rsidRPr="00E421F4">
        <w:rPr>
          <w:rFonts w:ascii="Garamond" w:hAnsi="Garamond"/>
        </w:rPr>
        <w:t>Tonkiss</w:t>
      </w:r>
      <w:proofErr w:type="spellEnd"/>
      <w:r w:rsidR="00C80075" w:rsidRPr="00E421F4">
        <w:rPr>
          <w:rFonts w:ascii="Garamond" w:hAnsi="Garamond"/>
        </w:rPr>
        <w:t xml:space="preserve">, 2014; Flinders &amp; </w:t>
      </w:r>
      <w:proofErr w:type="spellStart"/>
      <w:r w:rsidR="00C80075" w:rsidRPr="00E421F4">
        <w:rPr>
          <w:rFonts w:ascii="Garamond" w:hAnsi="Garamond"/>
        </w:rPr>
        <w:t>Skelcher</w:t>
      </w:r>
      <w:proofErr w:type="spellEnd"/>
      <w:r w:rsidR="00C80075" w:rsidRPr="00E421F4">
        <w:rPr>
          <w:rFonts w:ascii="Garamond" w:hAnsi="Garamond"/>
        </w:rPr>
        <w:t>, 2012; Lodge and Hood 2012)</w:t>
      </w:r>
      <w:r w:rsidRPr="00E421F4">
        <w:rPr>
          <w:rFonts w:ascii="Garamond" w:hAnsi="Garamond"/>
        </w:rPr>
        <w:t xml:space="preserve">. </w:t>
      </w:r>
      <w:r w:rsidR="00924184" w:rsidRPr="00E421F4">
        <w:rPr>
          <w:rFonts w:ascii="Garamond" w:hAnsi="Garamond"/>
        </w:rPr>
        <w:t>T</w:t>
      </w:r>
      <w:r w:rsidRPr="00E421F4">
        <w:rPr>
          <w:rFonts w:ascii="Garamond" w:hAnsi="Garamond"/>
        </w:rPr>
        <w:t>he</w:t>
      </w:r>
      <w:r w:rsidR="00924184" w:rsidRPr="00E421F4">
        <w:rPr>
          <w:rFonts w:ascii="Garamond" w:hAnsi="Garamond"/>
        </w:rPr>
        <w:t>se</w:t>
      </w:r>
      <w:r w:rsidRPr="00E421F4">
        <w:rPr>
          <w:rFonts w:ascii="Garamond" w:hAnsi="Garamond"/>
        </w:rPr>
        <w:t xml:space="preserve"> predominately qualitative analyses stress the complexity and contingency of termination decisions, and the interaction between multiple factors in determining termination risks. </w:t>
      </w:r>
      <w:r w:rsidR="00B0583B" w:rsidRPr="00E421F4">
        <w:rPr>
          <w:rFonts w:ascii="Garamond" w:hAnsi="Garamond"/>
        </w:rPr>
        <w:t>They suggest</w:t>
      </w:r>
      <w:r w:rsidRPr="00E421F4">
        <w:rPr>
          <w:rFonts w:ascii="Garamond" w:hAnsi="Garamond"/>
        </w:rPr>
        <w:t xml:space="preserve"> the contemporary risk of termination is fundamentally shaped by ‘post-new public management’ discourse, where</w:t>
      </w:r>
      <w:r w:rsidR="00924184" w:rsidRPr="00E421F4">
        <w:rPr>
          <w:rFonts w:ascii="Garamond" w:hAnsi="Garamond"/>
        </w:rPr>
        <w:t>in</w:t>
      </w:r>
      <w:r w:rsidRPr="00E421F4">
        <w:rPr>
          <w:rFonts w:ascii="Garamond" w:hAnsi="Garamond"/>
        </w:rPr>
        <w:t xml:space="preserve"> political actors argue the importance of reasserting ministerial control and political accountability over the ‘organizational zoo’ of inconsistent administrative arrangements left over from the NPM era of specialization and managerial devolution (</w:t>
      </w:r>
      <w:r w:rsidR="00C80075" w:rsidRPr="00E421F4">
        <w:rPr>
          <w:rFonts w:ascii="Garamond" w:eastAsia="Times New Roman" w:hAnsi="Garamond" w:cs="Arial"/>
          <w:shd w:val="clear" w:color="auto" w:fill="FFFFFF"/>
        </w:rPr>
        <w:t xml:space="preserve">Christensen and </w:t>
      </w:r>
      <w:proofErr w:type="spellStart"/>
      <w:r w:rsidR="00C80075" w:rsidRPr="00E421F4">
        <w:rPr>
          <w:rFonts w:ascii="Garamond" w:eastAsia="Times New Roman" w:hAnsi="Garamond" w:cs="Arial"/>
          <w:shd w:val="clear" w:color="auto" w:fill="FFFFFF"/>
        </w:rPr>
        <w:t>Lægreid</w:t>
      </w:r>
      <w:proofErr w:type="spellEnd"/>
      <w:r w:rsidR="00C80075" w:rsidRPr="00E421F4">
        <w:rPr>
          <w:rFonts w:ascii="Garamond" w:eastAsia="Times New Roman" w:hAnsi="Garamond" w:cs="Arial"/>
          <w:shd w:val="clear" w:color="auto" w:fill="FFFFFF"/>
        </w:rPr>
        <w:t xml:space="preserve"> 2011</w:t>
      </w:r>
      <w:r w:rsidRPr="00E421F4">
        <w:rPr>
          <w:rFonts w:ascii="Garamond" w:hAnsi="Garamond"/>
        </w:rPr>
        <w:t>). Contemporary termination efforts in Europe and Australia are therefore disproportionately focused on quasi-autonomous agencies.</w:t>
      </w:r>
    </w:p>
    <w:p w14:paraId="10D8BAE3" w14:textId="62B12953" w:rsidR="000801EE" w:rsidRPr="00E421F4" w:rsidRDefault="000801EE" w:rsidP="000801EE">
      <w:pPr>
        <w:spacing w:line="360" w:lineRule="auto"/>
        <w:rPr>
          <w:rFonts w:ascii="Garamond" w:hAnsi="Garamond"/>
        </w:rPr>
      </w:pPr>
      <w:r w:rsidRPr="00E421F4">
        <w:rPr>
          <w:rFonts w:ascii="Garamond" w:hAnsi="Garamond"/>
        </w:rPr>
        <w:tab/>
        <w:t>Helpfully for our purposes,</w:t>
      </w:r>
      <w:r w:rsidR="00924184" w:rsidRPr="00E421F4">
        <w:rPr>
          <w:rFonts w:ascii="Garamond" w:hAnsi="Garamond"/>
        </w:rPr>
        <w:t xml:space="preserve"> these</w:t>
      </w:r>
      <w:r w:rsidRPr="00E421F4">
        <w:rPr>
          <w:rFonts w:ascii="Garamond" w:hAnsi="Garamond"/>
        </w:rPr>
        <w:t xml:space="preserve"> recent termination </w:t>
      </w:r>
      <w:r w:rsidR="00B0583B" w:rsidRPr="00E421F4">
        <w:rPr>
          <w:rFonts w:ascii="Garamond" w:hAnsi="Garamond"/>
        </w:rPr>
        <w:t>initiatives</w:t>
      </w:r>
      <w:r w:rsidRPr="00E421F4">
        <w:rPr>
          <w:rFonts w:ascii="Garamond" w:hAnsi="Garamond"/>
        </w:rPr>
        <w:t xml:space="preserve"> have often included explicit lists of termination principles, intended to guide decisions regarding which agencies should be abolished (Flinders and </w:t>
      </w:r>
      <w:proofErr w:type="spellStart"/>
      <w:r w:rsidRPr="00E421F4">
        <w:rPr>
          <w:rFonts w:ascii="Garamond" w:hAnsi="Garamond"/>
        </w:rPr>
        <w:t>Sklecher</w:t>
      </w:r>
      <w:proofErr w:type="spellEnd"/>
      <w:r w:rsidRPr="00E421F4">
        <w:rPr>
          <w:rFonts w:ascii="Garamond" w:hAnsi="Garamond"/>
        </w:rPr>
        <w:t xml:space="preserve"> 20</w:t>
      </w:r>
      <w:r w:rsidR="00C80075" w:rsidRPr="00E421F4">
        <w:rPr>
          <w:rFonts w:ascii="Garamond" w:hAnsi="Garamond"/>
        </w:rPr>
        <w:t>12</w:t>
      </w:r>
      <w:r w:rsidRPr="00E421F4">
        <w:rPr>
          <w:rFonts w:ascii="Garamond" w:hAnsi="Garamond"/>
        </w:rPr>
        <w:t xml:space="preserve">). However, agency size does not figure in such lists. Although there is widespread consternation about the excessive size of the “quango state”, </w:t>
      </w:r>
      <w:r w:rsidRPr="00E421F4">
        <w:rPr>
          <w:rFonts w:ascii="Garamond" w:hAnsi="Garamond"/>
        </w:rPr>
        <w:lastRenderedPageBreak/>
        <w:t xml:space="preserve">the size of individual bodies is not addressed as a reason for their termination. Furthermore, research to date has found that actual reasons for terminations deviate significantly from these </w:t>
      </w:r>
      <w:r w:rsidR="00924184" w:rsidRPr="00E421F4">
        <w:rPr>
          <w:rFonts w:ascii="Garamond" w:hAnsi="Garamond"/>
        </w:rPr>
        <w:t xml:space="preserve">official </w:t>
      </w:r>
      <w:r w:rsidRPr="00E421F4">
        <w:rPr>
          <w:rFonts w:ascii="Garamond" w:hAnsi="Garamond"/>
        </w:rPr>
        <w:t xml:space="preserve">“rationalizations” (van </w:t>
      </w:r>
      <w:proofErr w:type="spellStart"/>
      <w:r w:rsidRPr="00E421F4">
        <w:rPr>
          <w:rFonts w:ascii="Garamond" w:hAnsi="Garamond"/>
        </w:rPr>
        <w:t>Th</w:t>
      </w:r>
      <w:r w:rsidR="00C80075" w:rsidRPr="00E421F4">
        <w:rPr>
          <w:rFonts w:ascii="Garamond" w:hAnsi="Garamond"/>
        </w:rPr>
        <w:t>ie</w:t>
      </w:r>
      <w:r w:rsidRPr="00E421F4">
        <w:rPr>
          <w:rFonts w:ascii="Garamond" w:hAnsi="Garamond"/>
        </w:rPr>
        <w:t>l</w:t>
      </w:r>
      <w:proofErr w:type="spellEnd"/>
      <w:r w:rsidRPr="00E421F4">
        <w:rPr>
          <w:rFonts w:ascii="Garamond" w:hAnsi="Garamond"/>
        </w:rPr>
        <w:t xml:space="preserve"> 2012). As a result, we cannot straightforwardly read termination risks off recent </w:t>
      </w:r>
      <w:r w:rsidR="00924184" w:rsidRPr="00E421F4">
        <w:rPr>
          <w:rFonts w:ascii="Garamond" w:hAnsi="Garamond"/>
        </w:rPr>
        <w:t xml:space="preserve">formal </w:t>
      </w:r>
      <w:r w:rsidRPr="00E421F4">
        <w:rPr>
          <w:rFonts w:ascii="Garamond" w:hAnsi="Garamond"/>
        </w:rPr>
        <w:t xml:space="preserve">statements of termination principles. </w:t>
      </w:r>
    </w:p>
    <w:p w14:paraId="06DE4B39" w14:textId="418B313D" w:rsidR="000801EE" w:rsidRPr="00E421F4" w:rsidRDefault="000801EE" w:rsidP="000801EE">
      <w:pPr>
        <w:spacing w:line="360" w:lineRule="auto"/>
        <w:rPr>
          <w:rFonts w:ascii="Garamond" w:hAnsi="Garamond"/>
        </w:rPr>
      </w:pPr>
      <w:r w:rsidRPr="00E421F4">
        <w:rPr>
          <w:rFonts w:ascii="Garamond" w:hAnsi="Garamond"/>
        </w:rPr>
        <w:tab/>
        <w:t xml:space="preserve">A further complicating factor </w:t>
      </w:r>
      <w:r w:rsidR="00924184" w:rsidRPr="00E421F4">
        <w:rPr>
          <w:rFonts w:ascii="Garamond" w:hAnsi="Garamond"/>
        </w:rPr>
        <w:t>in understanding the drivers of de-</w:t>
      </w:r>
      <w:proofErr w:type="spellStart"/>
      <w:r w:rsidR="00924184" w:rsidRPr="00E421F4">
        <w:rPr>
          <w:rFonts w:ascii="Garamond" w:hAnsi="Garamond"/>
        </w:rPr>
        <w:t>agencification</w:t>
      </w:r>
      <w:proofErr w:type="spellEnd"/>
      <w:r w:rsidR="00924184" w:rsidRPr="00E421F4">
        <w:rPr>
          <w:rFonts w:ascii="Garamond" w:hAnsi="Garamond"/>
        </w:rPr>
        <w:t xml:space="preserve"> decisions </w:t>
      </w:r>
      <w:r w:rsidRPr="00E421F4">
        <w:rPr>
          <w:rFonts w:ascii="Garamond" w:hAnsi="Garamond"/>
        </w:rPr>
        <w:t>is that agencies are not passive actors when threatened with termination (</w:t>
      </w:r>
      <w:proofErr w:type="spellStart"/>
      <w:r w:rsidRPr="00E421F4">
        <w:rPr>
          <w:rFonts w:ascii="Garamond" w:hAnsi="Garamond"/>
        </w:rPr>
        <w:t>Dommett</w:t>
      </w:r>
      <w:proofErr w:type="spellEnd"/>
      <w:r w:rsidRPr="00E421F4">
        <w:rPr>
          <w:rFonts w:ascii="Garamond" w:hAnsi="Garamond"/>
        </w:rPr>
        <w:t xml:space="preserve"> and </w:t>
      </w:r>
      <w:proofErr w:type="spellStart"/>
      <w:r w:rsidRPr="00E421F4">
        <w:rPr>
          <w:rFonts w:ascii="Garamond" w:hAnsi="Garamond"/>
        </w:rPr>
        <w:t>Skelcher</w:t>
      </w:r>
      <w:proofErr w:type="spellEnd"/>
      <w:r w:rsidRPr="00E421F4">
        <w:rPr>
          <w:rFonts w:ascii="Garamond" w:hAnsi="Garamond"/>
        </w:rPr>
        <w:t xml:space="preserve"> 2014; cf. Kaufman 1976; Wilson 1989). </w:t>
      </w:r>
      <w:proofErr w:type="spellStart"/>
      <w:r w:rsidRPr="00E421F4">
        <w:rPr>
          <w:rFonts w:ascii="Garamond" w:hAnsi="Garamond"/>
        </w:rPr>
        <w:t>Dommett</w:t>
      </w:r>
      <w:proofErr w:type="spellEnd"/>
      <w:r w:rsidRPr="00E421F4">
        <w:rPr>
          <w:rFonts w:ascii="Garamond" w:hAnsi="Garamond"/>
        </w:rPr>
        <w:t xml:space="preserve"> and </w:t>
      </w:r>
      <w:proofErr w:type="spellStart"/>
      <w:r w:rsidRPr="00E421F4">
        <w:rPr>
          <w:rFonts w:ascii="Garamond" w:hAnsi="Garamond"/>
        </w:rPr>
        <w:t>Skelcher</w:t>
      </w:r>
      <w:proofErr w:type="spellEnd"/>
      <w:r w:rsidRPr="00E421F4">
        <w:rPr>
          <w:rFonts w:ascii="Garamond" w:hAnsi="Garamond"/>
        </w:rPr>
        <w:t xml:space="preserve"> (2014) use qualitative interviews to investigate how agencies themselves react to </w:t>
      </w:r>
      <w:r w:rsidR="00B0583B" w:rsidRPr="00E421F4">
        <w:rPr>
          <w:rFonts w:ascii="Garamond" w:hAnsi="Garamond"/>
        </w:rPr>
        <w:t>de-</w:t>
      </w:r>
      <w:proofErr w:type="spellStart"/>
      <w:r w:rsidR="001C4755" w:rsidRPr="00E421F4">
        <w:rPr>
          <w:rFonts w:ascii="Garamond" w:hAnsi="Garamond"/>
        </w:rPr>
        <w:t>agencification</w:t>
      </w:r>
      <w:proofErr w:type="spellEnd"/>
      <w:r w:rsidRPr="00E421F4">
        <w:rPr>
          <w:rFonts w:ascii="Garamond" w:hAnsi="Garamond"/>
        </w:rPr>
        <w:t xml:space="preserve"> efforts, and point out that agencies can use counter-strategies such as presenting themselves as </w:t>
      </w:r>
      <w:proofErr w:type="spellStart"/>
      <w:r w:rsidRPr="00E421F4">
        <w:rPr>
          <w:rFonts w:ascii="Garamond" w:hAnsi="Garamond"/>
        </w:rPr>
        <w:t>indispensible</w:t>
      </w:r>
      <w:proofErr w:type="spellEnd"/>
      <w:r w:rsidRPr="00E421F4">
        <w:rPr>
          <w:rFonts w:ascii="Garamond" w:hAnsi="Garamond"/>
        </w:rPr>
        <w:t xml:space="preserve"> experts, making superficial efforts at reform, </w:t>
      </w:r>
      <w:r w:rsidR="00924184" w:rsidRPr="00E421F4">
        <w:rPr>
          <w:rFonts w:ascii="Garamond" w:hAnsi="Garamond"/>
        </w:rPr>
        <w:t>and</w:t>
      </w:r>
      <w:r w:rsidRPr="00E421F4">
        <w:rPr>
          <w:rFonts w:ascii="Garamond" w:hAnsi="Garamond"/>
        </w:rPr>
        <w:t xml:space="preserve"> positioning themselves as vital “nodes” in governance networks (</w:t>
      </w:r>
      <w:proofErr w:type="spellStart"/>
      <w:r w:rsidRPr="00E421F4">
        <w:rPr>
          <w:rFonts w:ascii="Garamond" w:hAnsi="Garamond"/>
        </w:rPr>
        <w:t>Dommett</w:t>
      </w:r>
      <w:proofErr w:type="spellEnd"/>
      <w:r w:rsidRPr="00E421F4">
        <w:rPr>
          <w:rFonts w:ascii="Garamond" w:hAnsi="Garamond"/>
        </w:rPr>
        <w:t xml:space="preserve"> and </w:t>
      </w:r>
      <w:proofErr w:type="spellStart"/>
      <w:r w:rsidRPr="00E421F4">
        <w:rPr>
          <w:rFonts w:ascii="Garamond" w:hAnsi="Garamond"/>
        </w:rPr>
        <w:t>Skelcher</w:t>
      </w:r>
      <w:proofErr w:type="spellEnd"/>
      <w:r w:rsidRPr="00E421F4">
        <w:rPr>
          <w:rFonts w:ascii="Garamond" w:hAnsi="Garamond"/>
        </w:rPr>
        <w:t xml:space="preserve"> 2014).</w:t>
      </w:r>
      <w:r w:rsidR="00924184" w:rsidRPr="00E421F4">
        <w:rPr>
          <w:rFonts w:ascii="Garamond" w:hAnsi="Garamond"/>
        </w:rPr>
        <w:t xml:space="preserve"> </w:t>
      </w:r>
      <w:r w:rsidR="00AC0C88" w:rsidRPr="00E421F4">
        <w:rPr>
          <w:rFonts w:ascii="Garamond" w:hAnsi="Garamond"/>
        </w:rPr>
        <w:t xml:space="preserve"> </w:t>
      </w:r>
      <w:r w:rsidR="00924184" w:rsidRPr="00E421F4">
        <w:rPr>
          <w:rFonts w:ascii="Garamond" w:hAnsi="Garamond"/>
        </w:rPr>
        <w:t xml:space="preserve">If these observations are correct, </w:t>
      </w:r>
      <w:r w:rsidR="005A0641" w:rsidRPr="00E421F4">
        <w:rPr>
          <w:rFonts w:ascii="Garamond" w:hAnsi="Garamond"/>
        </w:rPr>
        <w:t xml:space="preserve">then </w:t>
      </w:r>
      <w:r w:rsidR="00924184" w:rsidRPr="00E421F4">
        <w:rPr>
          <w:rFonts w:ascii="Garamond" w:hAnsi="Garamond"/>
        </w:rPr>
        <w:t xml:space="preserve">we cannot understand the relationship between size and termination without taking into account the strategic behaviour of bureaucrats. </w:t>
      </w:r>
    </w:p>
    <w:p w14:paraId="4DBE34A9" w14:textId="5F4A2C0F" w:rsidR="001D4810" w:rsidRPr="00E421F4" w:rsidRDefault="001D4810" w:rsidP="00DB376C">
      <w:pPr>
        <w:spacing w:line="360" w:lineRule="auto"/>
        <w:rPr>
          <w:rFonts w:ascii="Garamond" w:hAnsi="Garamond"/>
        </w:rPr>
      </w:pPr>
      <w:r w:rsidRPr="00E421F4">
        <w:rPr>
          <w:rFonts w:ascii="Garamond" w:hAnsi="Garamond"/>
        </w:rPr>
        <w:tab/>
        <w:t xml:space="preserve">In sum, </w:t>
      </w:r>
      <w:r w:rsidR="009A3670" w:rsidRPr="00E421F4">
        <w:rPr>
          <w:rFonts w:ascii="Garamond" w:hAnsi="Garamond"/>
        </w:rPr>
        <w:t>the oldest studies of</w:t>
      </w:r>
      <w:r w:rsidRPr="00E421F4">
        <w:rPr>
          <w:rFonts w:ascii="Garamond" w:hAnsi="Garamond"/>
        </w:rPr>
        <w:t xml:space="preserve"> </w:t>
      </w:r>
      <w:r w:rsidR="009A3670" w:rsidRPr="00E421F4">
        <w:rPr>
          <w:rFonts w:ascii="Garamond" w:hAnsi="Garamond"/>
        </w:rPr>
        <w:t>bureaucratic agencies posit that objective size is strongly correlated with survival. By contrast, r</w:t>
      </w:r>
      <w:r w:rsidR="00384F18" w:rsidRPr="00E421F4">
        <w:rPr>
          <w:rFonts w:ascii="Garamond" w:hAnsi="Garamond"/>
        </w:rPr>
        <w:t xml:space="preserve">ecent </w:t>
      </w:r>
      <w:r w:rsidR="009A3670" w:rsidRPr="00E421F4">
        <w:rPr>
          <w:rFonts w:ascii="Garamond" w:hAnsi="Garamond"/>
        </w:rPr>
        <w:t>quantitative</w:t>
      </w:r>
      <w:r w:rsidRPr="00E421F4">
        <w:rPr>
          <w:rFonts w:ascii="Garamond" w:hAnsi="Garamond"/>
        </w:rPr>
        <w:t xml:space="preserve"> studies of termination </w:t>
      </w:r>
      <w:r w:rsidR="00FB449F" w:rsidRPr="00E421F4">
        <w:rPr>
          <w:rFonts w:ascii="Garamond" w:hAnsi="Garamond"/>
        </w:rPr>
        <w:t>show that size</w:t>
      </w:r>
      <w:r w:rsidR="00C36516" w:rsidRPr="00E421F4">
        <w:rPr>
          <w:rFonts w:ascii="Garamond" w:hAnsi="Garamond"/>
        </w:rPr>
        <w:t xml:space="preserve"> has</w:t>
      </w:r>
      <w:r w:rsidR="00BD085D" w:rsidRPr="00E421F4">
        <w:rPr>
          <w:rFonts w:ascii="Garamond" w:hAnsi="Garamond"/>
        </w:rPr>
        <w:t xml:space="preserve"> </w:t>
      </w:r>
      <w:r w:rsidR="00C36516" w:rsidRPr="00E421F4">
        <w:rPr>
          <w:rFonts w:ascii="Garamond" w:hAnsi="Garamond"/>
        </w:rPr>
        <w:t xml:space="preserve">only a </w:t>
      </w:r>
      <w:r w:rsidR="00BD085D" w:rsidRPr="00E421F4">
        <w:rPr>
          <w:rFonts w:ascii="Garamond" w:hAnsi="Garamond"/>
        </w:rPr>
        <w:t>small positive effect on survival, on average</w:t>
      </w:r>
      <w:r w:rsidR="006228E1" w:rsidRPr="00E421F4">
        <w:rPr>
          <w:rFonts w:ascii="Garamond" w:hAnsi="Garamond"/>
        </w:rPr>
        <w:t xml:space="preserve">. </w:t>
      </w:r>
      <w:r w:rsidR="001C4755" w:rsidRPr="00E421F4">
        <w:rPr>
          <w:rFonts w:ascii="Garamond" w:hAnsi="Garamond"/>
        </w:rPr>
        <w:t xml:space="preserve">The qualitative literature on termination has </w:t>
      </w:r>
      <w:r w:rsidR="00B0583B" w:rsidRPr="00E421F4">
        <w:rPr>
          <w:rFonts w:ascii="Garamond" w:hAnsi="Garamond"/>
        </w:rPr>
        <w:t>investigated recent de-</w:t>
      </w:r>
      <w:proofErr w:type="spellStart"/>
      <w:r w:rsidR="00B0583B" w:rsidRPr="00E421F4">
        <w:rPr>
          <w:rFonts w:ascii="Garamond" w:hAnsi="Garamond"/>
        </w:rPr>
        <w:t>agencification</w:t>
      </w:r>
      <w:proofErr w:type="spellEnd"/>
      <w:r w:rsidR="00B0583B" w:rsidRPr="00E421F4">
        <w:rPr>
          <w:rFonts w:ascii="Garamond" w:hAnsi="Garamond"/>
        </w:rPr>
        <w:t xml:space="preserve"> efforts in greater depth, </w:t>
      </w:r>
      <w:r w:rsidR="001C4755" w:rsidRPr="00E421F4">
        <w:rPr>
          <w:rFonts w:ascii="Garamond" w:hAnsi="Garamond"/>
        </w:rPr>
        <w:t xml:space="preserve">but </w:t>
      </w:r>
      <w:r w:rsidR="00B0583B" w:rsidRPr="00E421F4">
        <w:rPr>
          <w:rFonts w:ascii="Garamond" w:hAnsi="Garamond"/>
        </w:rPr>
        <w:t xml:space="preserve">it largely ignores </w:t>
      </w:r>
      <w:r w:rsidR="001C4755" w:rsidRPr="00E421F4">
        <w:rPr>
          <w:rFonts w:ascii="Garamond" w:hAnsi="Garamond"/>
        </w:rPr>
        <w:t xml:space="preserve">size. </w:t>
      </w:r>
      <w:r w:rsidR="00EC3536" w:rsidRPr="00E421F4">
        <w:rPr>
          <w:rFonts w:ascii="Garamond" w:hAnsi="Garamond"/>
        </w:rPr>
        <w:t>We fill th</w:t>
      </w:r>
      <w:r w:rsidR="001C4755" w:rsidRPr="00E421F4">
        <w:rPr>
          <w:rFonts w:ascii="Garamond" w:hAnsi="Garamond"/>
        </w:rPr>
        <w:t>is</w:t>
      </w:r>
      <w:r w:rsidR="00EC3536" w:rsidRPr="00E421F4">
        <w:rPr>
          <w:rFonts w:ascii="Garamond" w:hAnsi="Garamond"/>
        </w:rPr>
        <w:t xml:space="preserve"> gap</w:t>
      </w:r>
      <w:r w:rsidR="00FF3539" w:rsidRPr="00E421F4">
        <w:rPr>
          <w:rFonts w:ascii="Garamond" w:hAnsi="Garamond"/>
        </w:rPr>
        <w:t>,</w:t>
      </w:r>
      <w:r w:rsidR="00EC3536" w:rsidRPr="00E421F4">
        <w:rPr>
          <w:rFonts w:ascii="Garamond" w:hAnsi="Garamond"/>
        </w:rPr>
        <w:t xml:space="preserve"> but to do so requires us to adopt an</w:t>
      </w:r>
      <w:r w:rsidR="009603BF" w:rsidRPr="00E421F4">
        <w:rPr>
          <w:rFonts w:ascii="Garamond" w:hAnsi="Garamond"/>
        </w:rPr>
        <w:t xml:space="preserve"> explicitly interpretiv</w:t>
      </w:r>
      <w:r w:rsidR="001C4755" w:rsidRPr="00E421F4">
        <w:rPr>
          <w:rFonts w:ascii="Garamond" w:hAnsi="Garamond"/>
        </w:rPr>
        <w:t>ist</w:t>
      </w:r>
      <w:r w:rsidR="009603BF" w:rsidRPr="00E421F4">
        <w:rPr>
          <w:rFonts w:ascii="Garamond" w:hAnsi="Garamond"/>
        </w:rPr>
        <w:t xml:space="preserve"> approach that focuses on </w:t>
      </w:r>
      <w:r w:rsidR="009603BF" w:rsidRPr="00E421F4">
        <w:rPr>
          <w:rFonts w:ascii="Garamond" w:hAnsi="Garamond"/>
          <w:i/>
        </w:rPr>
        <w:t>perceived size</w:t>
      </w:r>
      <w:r w:rsidR="009603BF" w:rsidRPr="00E421F4">
        <w:rPr>
          <w:rFonts w:ascii="Garamond" w:hAnsi="Garamond"/>
        </w:rPr>
        <w:t>.</w:t>
      </w:r>
    </w:p>
    <w:p w14:paraId="51553BAF" w14:textId="77777777" w:rsidR="006228E1" w:rsidRPr="00E421F4" w:rsidRDefault="006228E1" w:rsidP="00DB376C">
      <w:pPr>
        <w:spacing w:line="360" w:lineRule="auto"/>
        <w:rPr>
          <w:rFonts w:ascii="Garamond" w:hAnsi="Garamond"/>
        </w:rPr>
      </w:pPr>
    </w:p>
    <w:p w14:paraId="696675B2" w14:textId="1D831C31" w:rsidR="004E73EC" w:rsidRPr="00E421F4" w:rsidRDefault="006228E1" w:rsidP="006228E1">
      <w:pPr>
        <w:spacing w:line="360" w:lineRule="auto"/>
        <w:rPr>
          <w:rFonts w:ascii="Garamond" w:hAnsi="Garamond"/>
          <w:u w:val="single"/>
        </w:rPr>
      </w:pPr>
      <w:r w:rsidRPr="00E421F4">
        <w:rPr>
          <w:rFonts w:ascii="Garamond" w:hAnsi="Garamond"/>
          <w:u w:val="single"/>
        </w:rPr>
        <w:t>Towards a</w:t>
      </w:r>
      <w:r w:rsidR="00975F03" w:rsidRPr="00E421F4">
        <w:rPr>
          <w:rFonts w:ascii="Garamond" w:hAnsi="Garamond"/>
          <w:u w:val="single"/>
        </w:rPr>
        <w:t xml:space="preserve"> </w:t>
      </w:r>
      <w:r w:rsidR="004B0DD5" w:rsidRPr="00E421F4">
        <w:rPr>
          <w:rFonts w:ascii="Garamond" w:hAnsi="Garamond"/>
          <w:u w:val="single"/>
        </w:rPr>
        <w:t>concept of perceived size</w:t>
      </w:r>
    </w:p>
    <w:p w14:paraId="2C3AF55D" w14:textId="77A5751D" w:rsidR="001179CF" w:rsidRPr="00E421F4" w:rsidRDefault="00A35F0A" w:rsidP="006228E1">
      <w:pPr>
        <w:spacing w:line="360" w:lineRule="auto"/>
        <w:rPr>
          <w:rFonts w:ascii="Garamond" w:hAnsi="Garamond"/>
        </w:rPr>
      </w:pPr>
      <w:r w:rsidRPr="00E421F4">
        <w:rPr>
          <w:rFonts w:ascii="Garamond" w:hAnsi="Garamond"/>
        </w:rPr>
        <w:tab/>
      </w:r>
      <w:r w:rsidR="00BD085D" w:rsidRPr="00E421F4">
        <w:rPr>
          <w:rFonts w:ascii="Garamond" w:hAnsi="Garamond"/>
        </w:rPr>
        <w:t xml:space="preserve">Existing </w:t>
      </w:r>
      <w:r w:rsidR="00307752" w:rsidRPr="00E421F4">
        <w:rPr>
          <w:rFonts w:ascii="Garamond" w:hAnsi="Garamond"/>
        </w:rPr>
        <w:t xml:space="preserve">theories </w:t>
      </w:r>
      <w:r w:rsidR="00F80DB6" w:rsidRPr="00E421F4">
        <w:rPr>
          <w:rFonts w:ascii="Garamond" w:hAnsi="Garamond"/>
        </w:rPr>
        <w:t>posit that</w:t>
      </w:r>
      <w:r w:rsidR="00307752" w:rsidRPr="00E421F4">
        <w:rPr>
          <w:rFonts w:ascii="Garamond" w:hAnsi="Garamond"/>
        </w:rPr>
        <w:t xml:space="preserve"> </w:t>
      </w:r>
      <w:r w:rsidR="00091149" w:rsidRPr="00E421F4">
        <w:rPr>
          <w:rFonts w:ascii="Garamond" w:hAnsi="Garamond"/>
        </w:rPr>
        <w:t xml:space="preserve">organizational </w:t>
      </w:r>
      <w:r w:rsidRPr="00E421F4">
        <w:rPr>
          <w:rFonts w:ascii="Garamond" w:hAnsi="Garamond"/>
        </w:rPr>
        <w:t xml:space="preserve">size increases survival </w:t>
      </w:r>
      <w:r w:rsidR="0099477F" w:rsidRPr="00E421F4">
        <w:rPr>
          <w:rFonts w:ascii="Garamond" w:hAnsi="Garamond"/>
        </w:rPr>
        <w:t>chances</w:t>
      </w:r>
      <w:r w:rsidRPr="00E421F4">
        <w:rPr>
          <w:rFonts w:ascii="Garamond" w:hAnsi="Garamond"/>
        </w:rPr>
        <w:t>.</w:t>
      </w:r>
      <w:r w:rsidR="00B43AD1" w:rsidRPr="00E421F4">
        <w:rPr>
          <w:rFonts w:ascii="Garamond" w:hAnsi="Garamond"/>
        </w:rPr>
        <w:t xml:space="preserve"> However, the small</w:t>
      </w:r>
      <w:r w:rsidR="00091149" w:rsidRPr="00E421F4">
        <w:rPr>
          <w:rFonts w:ascii="Garamond" w:hAnsi="Garamond"/>
        </w:rPr>
        <w:t xml:space="preserve"> relationship </w:t>
      </w:r>
      <w:r w:rsidR="00F97354" w:rsidRPr="00E421F4">
        <w:rPr>
          <w:rFonts w:ascii="Garamond" w:hAnsi="Garamond"/>
        </w:rPr>
        <w:t xml:space="preserve">revealed in statistical studies suggests </w:t>
      </w:r>
      <w:r w:rsidR="00F5087E" w:rsidRPr="00E421F4">
        <w:rPr>
          <w:rFonts w:ascii="Garamond" w:hAnsi="Garamond"/>
        </w:rPr>
        <w:t>one of</w:t>
      </w:r>
      <w:r w:rsidR="00F97354" w:rsidRPr="00E421F4">
        <w:rPr>
          <w:rFonts w:ascii="Garamond" w:hAnsi="Garamond"/>
        </w:rPr>
        <w:t xml:space="preserve"> two possibilities: either a</w:t>
      </w:r>
      <w:r w:rsidR="009603BF" w:rsidRPr="00E421F4">
        <w:rPr>
          <w:rFonts w:ascii="Garamond" w:hAnsi="Garamond"/>
        </w:rPr>
        <w:t>)</w:t>
      </w:r>
      <w:r w:rsidR="00F97354" w:rsidRPr="00E421F4">
        <w:rPr>
          <w:rFonts w:ascii="Garamond" w:hAnsi="Garamond"/>
        </w:rPr>
        <w:t xml:space="preserve"> size has no systematic </w:t>
      </w:r>
      <w:r w:rsidR="009333C4" w:rsidRPr="00E421F4">
        <w:rPr>
          <w:rFonts w:ascii="Garamond" w:hAnsi="Garamond"/>
        </w:rPr>
        <w:t xml:space="preserve">empirical </w:t>
      </w:r>
      <w:r w:rsidR="00F97354" w:rsidRPr="00E421F4">
        <w:rPr>
          <w:rFonts w:ascii="Garamond" w:hAnsi="Garamond"/>
        </w:rPr>
        <w:t>relationship to survival; or b</w:t>
      </w:r>
      <w:r w:rsidR="009603BF" w:rsidRPr="00E421F4">
        <w:rPr>
          <w:rFonts w:ascii="Garamond" w:hAnsi="Garamond"/>
        </w:rPr>
        <w:t>)</w:t>
      </w:r>
      <w:r w:rsidR="00F97354" w:rsidRPr="00E421F4">
        <w:rPr>
          <w:rFonts w:ascii="Garamond" w:hAnsi="Garamond"/>
        </w:rPr>
        <w:t xml:space="preserve"> there is unobserved heterogeneity in these studies, meaning size does matter, but there are factors intervening between</w:t>
      </w:r>
      <w:r w:rsidR="00F5087E" w:rsidRPr="00E421F4">
        <w:rPr>
          <w:rFonts w:ascii="Garamond" w:hAnsi="Garamond"/>
        </w:rPr>
        <w:t xml:space="preserve"> objective</w:t>
      </w:r>
      <w:r w:rsidR="00F97354" w:rsidRPr="00E421F4">
        <w:rPr>
          <w:rFonts w:ascii="Garamond" w:hAnsi="Garamond"/>
        </w:rPr>
        <w:t xml:space="preserve"> size and survival that are not captured in the existing </w:t>
      </w:r>
      <w:r w:rsidR="009333C4" w:rsidRPr="00E421F4">
        <w:rPr>
          <w:rFonts w:ascii="Garamond" w:hAnsi="Garamond"/>
        </w:rPr>
        <w:t>statistical analyse</w:t>
      </w:r>
      <w:r w:rsidR="00F97354" w:rsidRPr="00E421F4">
        <w:rPr>
          <w:rFonts w:ascii="Garamond" w:hAnsi="Garamond"/>
        </w:rPr>
        <w:t xml:space="preserve">s. </w:t>
      </w:r>
    </w:p>
    <w:p w14:paraId="255B2B77" w14:textId="2C24B1DF" w:rsidR="00A35F0A" w:rsidRPr="00E421F4" w:rsidRDefault="00DB47D6" w:rsidP="00942B81">
      <w:pPr>
        <w:spacing w:line="360" w:lineRule="auto"/>
        <w:ind w:firstLine="720"/>
        <w:rPr>
          <w:rFonts w:ascii="Garamond" w:hAnsi="Garamond"/>
        </w:rPr>
      </w:pPr>
      <w:r w:rsidRPr="00E421F4">
        <w:rPr>
          <w:rFonts w:ascii="Garamond" w:hAnsi="Garamond"/>
        </w:rPr>
        <w:t>W</w:t>
      </w:r>
      <w:r w:rsidR="009603BF" w:rsidRPr="00E421F4">
        <w:rPr>
          <w:rFonts w:ascii="Garamond" w:hAnsi="Garamond"/>
        </w:rPr>
        <w:t>e</w:t>
      </w:r>
      <w:r w:rsidR="00091149" w:rsidRPr="00E421F4">
        <w:rPr>
          <w:rFonts w:ascii="Garamond" w:hAnsi="Garamond"/>
        </w:rPr>
        <w:t xml:space="preserve"> propose that </w:t>
      </w:r>
      <w:r w:rsidR="00062257" w:rsidRPr="00E421F4">
        <w:rPr>
          <w:rFonts w:ascii="Garamond" w:hAnsi="Garamond"/>
        </w:rPr>
        <w:t xml:space="preserve">termination risk is fundamentally influenced by external perceptions of </w:t>
      </w:r>
      <w:r w:rsidR="0017781B" w:rsidRPr="00E421F4">
        <w:rPr>
          <w:rFonts w:ascii="Garamond" w:hAnsi="Garamond"/>
        </w:rPr>
        <w:t xml:space="preserve">an agency’s </w:t>
      </w:r>
      <w:r w:rsidR="0060715F" w:rsidRPr="00E421F4">
        <w:rPr>
          <w:rFonts w:ascii="Garamond" w:hAnsi="Garamond"/>
        </w:rPr>
        <w:t>capability,</w:t>
      </w:r>
      <w:r w:rsidR="0017781B" w:rsidRPr="00E421F4">
        <w:rPr>
          <w:rFonts w:ascii="Garamond" w:hAnsi="Garamond"/>
        </w:rPr>
        <w:t xml:space="preserve"> performance</w:t>
      </w:r>
      <w:r w:rsidR="0060715F" w:rsidRPr="00E421F4">
        <w:rPr>
          <w:rFonts w:ascii="Garamond" w:hAnsi="Garamond"/>
        </w:rPr>
        <w:t xml:space="preserve"> and accountability</w:t>
      </w:r>
      <w:r w:rsidR="0017781B" w:rsidRPr="00E421F4">
        <w:rPr>
          <w:rFonts w:ascii="Garamond" w:hAnsi="Garamond"/>
        </w:rPr>
        <w:t xml:space="preserve">. </w:t>
      </w:r>
      <w:r w:rsidR="00062257" w:rsidRPr="00E421F4">
        <w:rPr>
          <w:rFonts w:ascii="Garamond" w:hAnsi="Garamond"/>
        </w:rPr>
        <w:t xml:space="preserve">Whereas </w:t>
      </w:r>
      <w:r w:rsidR="0060715F" w:rsidRPr="00E421F4">
        <w:rPr>
          <w:rFonts w:ascii="Garamond" w:hAnsi="Garamond"/>
        </w:rPr>
        <w:t xml:space="preserve">the recent </w:t>
      </w:r>
      <w:r w:rsidR="00645502" w:rsidRPr="00E421F4">
        <w:rPr>
          <w:rFonts w:ascii="Garamond" w:hAnsi="Garamond"/>
        </w:rPr>
        <w:t>qualitative</w:t>
      </w:r>
      <w:r w:rsidR="00062257" w:rsidRPr="00E421F4">
        <w:rPr>
          <w:rFonts w:ascii="Garamond" w:hAnsi="Garamond"/>
        </w:rPr>
        <w:t xml:space="preserve"> agency </w:t>
      </w:r>
      <w:r w:rsidR="0060715F" w:rsidRPr="00E421F4">
        <w:rPr>
          <w:rFonts w:ascii="Garamond" w:hAnsi="Garamond"/>
        </w:rPr>
        <w:t>termination literature</w:t>
      </w:r>
      <w:r w:rsidR="00062257" w:rsidRPr="00E421F4">
        <w:rPr>
          <w:rFonts w:ascii="Garamond" w:hAnsi="Garamond"/>
        </w:rPr>
        <w:t xml:space="preserve"> has ignored </w:t>
      </w:r>
      <w:r w:rsidR="0060715F" w:rsidRPr="00E421F4">
        <w:rPr>
          <w:rFonts w:ascii="Garamond" w:hAnsi="Garamond"/>
        </w:rPr>
        <w:t xml:space="preserve">the role of </w:t>
      </w:r>
      <w:r w:rsidR="00062257" w:rsidRPr="00E421F4">
        <w:rPr>
          <w:rFonts w:ascii="Garamond" w:hAnsi="Garamond"/>
        </w:rPr>
        <w:t xml:space="preserve">size, we suggest that the question of scale is core to external </w:t>
      </w:r>
      <w:r w:rsidR="0060715F" w:rsidRPr="00E421F4">
        <w:rPr>
          <w:rFonts w:ascii="Garamond" w:hAnsi="Garamond"/>
        </w:rPr>
        <w:t xml:space="preserve">perceptions of </w:t>
      </w:r>
      <w:r w:rsidR="00645502" w:rsidRPr="00E421F4">
        <w:rPr>
          <w:rFonts w:ascii="Garamond" w:hAnsi="Garamond"/>
        </w:rPr>
        <w:t>organizational performance and therefore survival</w:t>
      </w:r>
      <w:r w:rsidR="00062257" w:rsidRPr="00E421F4">
        <w:rPr>
          <w:rFonts w:ascii="Garamond" w:hAnsi="Garamond"/>
        </w:rPr>
        <w:t xml:space="preserve">. We argue that the </w:t>
      </w:r>
      <w:r w:rsidR="00091149" w:rsidRPr="00E421F4">
        <w:rPr>
          <w:rFonts w:ascii="Garamond" w:hAnsi="Garamond"/>
        </w:rPr>
        <w:t xml:space="preserve">relationship between </w:t>
      </w:r>
      <w:r w:rsidR="00340EAC" w:rsidRPr="00E421F4">
        <w:rPr>
          <w:rFonts w:ascii="Garamond" w:hAnsi="Garamond"/>
        </w:rPr>
        <w:t xml:space="preserve">objective </w:t>
      </w:r>
      <w:r w:rsidR="002A622C" w:rsidRPr="00E421F4">
        <w:rPr>
          <w:rFonts w:ascii="Garamond" w:hAnsi="Garamond"/>
        </w:rPr>
        <w:t xml:space="preserve">agency </w:t>
      </w:r>
      <w:r w:rsidR="00091149" w:rsidRPr="00E421F4">
        <w:rPr>
          <w:rFonts w:ascii="Garamond" w:hAnsi="Garamond"/>
        </w:rPr>
        <w:t xml:space="preserve">size and </w:t>
      </w:r>
      <w:r w:rsidR="00062257" w:rsidRPr="00E421F4">
        <w:rPr>
          <w:rFonts w:ascii="Garamond" w:hAnsi="Garamond"/>
        </w:rPr>
        <w:t xml:space="preserve">termination risk </w:t>
      </w:r>
      <w:r w:rsidR="002A622C" w:rsidRPr="00E421F4">
        <w:rPr>
          <w:rFonts w:ascii="Garamond" w:hAnsi="Garamond"/>
        </w:rPr>
        <w:t>is</w:t>
      </w:r>
      <w:r w:rsidR="00091149" w:rsidRPr="00E421F4">
        <w:rPr>
          <w:rFonts w:ascii="Garamond" w:hAnsi="Garamond"/>
        </w:rPr>
        <w:t xml:space="preserve"> </w:t>
      </w:r>
      <w:r w:rsidR="00F97354" w:rsidRPr="00E421F4">
        <w:rPr>
          <w:rFonts w:ascii="Garamond" w:hAnsi="Garamond"/>
        </w:rPr>
        <w:t>mediated</w:t>
      </w:r>
      <w:r w:rsidR="002A622C" w:rsidRPr="00E421F4">
        <w:rPr>
          <w:rFonts w:ascii="Garamond" w:hAnsi="Garamond"/>
        </w:rPr>
        <w:t xml:space="preserve"> by </w:t>
      </w:r>
      <w:r w:rsidR="00091149" w:rsidRPr="00E421F4">
        <w:rPr>
          <w:rFonts w:ascii="Garamond" w:hAnsi="Garamond"/>
        </w:rPr>
        <w:t xml:space="preserve">the </w:t>
      </w:r>
      <w:r w:rsidR="00F97354" w:rsidRPr="00E421F4">
        <w:rPr>
          <w:rFonts w:ascii="Garamond" w:hAnsi="Garamond"/>
        </w:rPr>
        <w:t xml:space="preserve">perceptions </w:t>
      </w:r>
      <w:r w:rsidR="009603BF" w:rsidRPr="00E421F4">
        <w:rPr>
          <w:rFonts w:ascii="Garamond" w:hAnsi="Garamond"/>
        </w:rPr>
        <w:t xml:space="preserve">(meanings and beliefs) </w:t>
      </w:r>
      <w:r w:rsidR="00091149" w:rsidRPr="00E421F4">
        <w:rPr>
          <w:rFonts w:ascii="Garamond" w:hAnsi="Garamond"/>
        </w:rPr>
        <w:t xml:space="preserve">stakeholders </w:t>
      </w:r>
      <w:r w:rsidR="002A622C" w:rsidRPr="00E421F4">
        <w:rPr>
          <w:rFonts w:ascii="Garamond" w:hAnsi="Garamond"/>
        </w:rPr>
        <w:t>hold</w:t>
      </w:r>
      <w:r w:rsidR="00091149" w:rsidRPr="00E421F4">
        <w:rPr>
          <w:rFonts w:ascii="Garamond" w:hAnsi="Garamond"/>
        </w:rPr>
        <w:t xml:space="preserve"> </w:t>
      </w:r>
      <w:r w:rsidR="002A622C" w:rsidRPr="00E421F4">
        <w:rPr>
          <w:rFonts w:ascii="Garamond" w:hAnsi="Garamond"/>
        </w:rPr>
        <w:t>concerning the size of the agency</w:t>
      </w:r>
      <w:r w:rsidR="00091149" w:rsidRPr="00E421F4">
        <w:rPr>
          <w:rFonts w:ascii="Garamond" w:hAnsi="Garamond"/>
        </w:rPr>
        <w:t xml:space="preserve">. </w:t>
      </w:r>
      <w:r w:rsidR="00F97354" w:rsidRPr="00E421F4">
        <w:rPr>
          <w:rFonts w:ascii="Garamond" w:hAnsi="Garamond"/>
        </w:rPr>
        <w:t xml:space="preserve">We </w:t>
      </w:r>
      <w:r w:rsidR="004E69B3" w:rsidRPr="00E421F4">
        <w:rPr>
          <w:rFonts w:ascii="Garamond" w:hAnsi="Garamond"/>
        </w:rPr>
        <w:t xml:space="preserve">further </w:t>
      </w:r>
      <w:r w:rsidR="00F97354" w:rsidRPr="00E421F4">
        <w:rPr>
          <w:rFonts w:ascii="Garamond" w:hAnsi="Garamond"/>
        </w:rPr>
        <w:t xml:space="preserve">suggest that an interpretative theoretical approach </w:t>
      </w:r>
      <w:r w:rsidR="004E69B3" w:rsidRPr="00E421F4">
        <w:rPr>
          <w:rFonts w:ascii="Garamond" w:hAnsi="Garamond"/>
        </w:rPr>
        <w:t>(</w:t>
      </w:r>
      <w:proofErr w:type="spellStart"/>
      <w:r w:rsidR="004E69B3" w:rsidRPr="00E421F4">
        <w:rPr>
          <w:rFonts w:ascii="Garamond" w:hAnsi="Garamond"/>
        </w:rPr>
        <w:t>Bevir</w:t>
      </w:r>
      <w:proofErr w:type="spellEnd"/>
      <w:r w:rsidR="004E69B3" w:rsidRPr="00E421F4">
        <w:rPr>
          <w:rFonts w:ascii="Garamond" w:hAnsi="Garamond"/>
        </w:rPr>
        <w:t xml:space="preserve"> &amp; Rhodes, 2003; </w:t>
      </w:r>
      <w:proofErr w:type="spellStart"/>
      <w:r w:rsidR="004E69B3" w:rsidRPr="00E421F4">
        <w:rPr>
          <w:rFonts w:ascii="Garamond" w:hAnsi="Garamond"/>
        </w:rPr>
        <w:t>Elston</w:t>
      </w:r>
      <w:proofErr w:type="spellEnd"/>
      <w:r w:rsidR="004E69B3" w:rsidRPr="00E421F4">
        <w:rPr>
          <w:rFonts w:ascii="Garamond" w:hAnsi="Garamond"/>
        </w:rPr>
        <w:t xml:space="preserve">, 2014; </w:t>
      </w:r>
      <w:proofErr w:type="spellStart"/>
      <w:r w:rsidR="004E69B3" w:rsidRPr="00E421F4">
        <w:rPr>
          <w:rFonts w:ascii="Garamond" w:hAnsi="Garamond"/>
        </w:rPr>
        <w:t>Yanow</w:t>
      </w:r>
      <w:proofErr w:type="spellEnd"/>
      <w:r w:rsidR="004E69B3" w:rsidRPr="00E421F4">
        <w:rPr>
          <w:rFonts w:ascii="Garamond" w:hAnsi="Garamond"/>
        </w:rPr>
        <w:t xml:space="preserve"> &amp; Schwartz-</w:t>
      </w:r>
      <w:proofErr w:type="spellStart"/>
      <w:r w:rsidR="004E69B3" w:rsidRPr="00E421F4">
        <w:rPr>
          <w:rFonts w:ascii="Garamond" w:hAnsi="Garamond"/>
        </w:rPr>
        <w:t>Shea</w:t>
      </w:r>
      <w:proofErr w:type="spellEnd"/>
      <w:r w:rsidR="004E69B3" w:rsidRPr="00E421F4">
        <w:rPr>
          <w:rFonts w:ascii="Garamond" w:hAnsi="Garamond"/>
        </w:rPr>
        <w:t>, 2013) is best suited to</w:t>
      </w:r>
      <w:r w:rsidR="00F97354" w:rsidRPr="00E421F4">
        <w:rPr>
          <w:rFonts w:ascii="Garamond" w:hAnsi="Garamond"/>
        </w:rPr>
        <w:t xml:space="preserve"> uncovering such perceptions</w:t>
      </w:r>
      <w:r w:rsidR="00340EAC" w:rsidRPr="00E421F4">
        <w:rPr>
          <w:rFonts w:ascii="Garamond" w:hAnsi="Garamond"/>
        </w:rPr>
        <w:t xml:space="preserve"> and their effects</w:t>
      </w:r>
      <w:r w:rsidR="00F97354" w:rsidRPr="00E421F4">
        <w:rPr>
          <w:rFonts w:ascii="Garamond" w:hAnsi="Garamond"/>
        </w:rPr>
        <w:t xml:space="preserve">. </w:t>
      </w:r>
    </w:p>
    <w:p w14:paraId="68BF0586" w14:textId="29C7AD85" w:rsidR="00682D35" w:rsidRPr="00E421F4" w:rsidRDefault="00A35F0A" w:rsidP="006228E1">
      <w:pPr>
        <w:spacing w:line="360" w:lineRule="auto"/>
        <w:rPr>
          <w:rFonts w:ascii="Garamond" w:hAnsi="Garamond"/>
        </w:rPr>
      </w:pPr>
      <w:r w:rsidRPr="00E421F4">
        <w:rPr>
          <w:rFonts w:ascii="Garamond" w:hAnsi="Garamond"/>
        </w:rPr>
        <w:lastRenderedPageBreak/>
        <w:tab/>
      </w:r>
      <w:r w:rsidR="009603BF" w:rsidRPr="00E421F4">
        <w:rPr>
          <w:rFonts w:ascii="Garamond" w:hAnsi="Garamond"/>
        </w:rPr>
        <w:t xml:space="preserve">The idea that </w:t>
      </w:r>
      <w:r w:rsidR="00FA6889" w:rsidRPr="00E421F4">
        <w:rPr>
          <w:rFonts w:ascii="Garamond" w:hAnsi="Garamond"/>
        </w:rPr>
        <w:t>political and administrative actors</w:t>
      </w:r>
      <w:r w:rsidR="0064259D" w:rsidRPr="00E421F4">
        <w:rPr>
          <w:rFonts w:ascii="Garamond" w:hAnsi="Garamond"/>
        </w:rPr>
        <w:t>’</w:t>
      </w:r>
      <w:r w:rsidR="00FA6889" w:rsidRPr="00E421F4">
        <w:rPr>
          <w:rFonts w:ascii="Garamond" w:hAnsi="Garamond"/>
        </w:rPr>
        <w:t xml:space="preserve"> </w:t>
      </w:r>
      <w:r w:rsidR="006C44D6" w:rsidRPr="00E421F4">
        <w:rPr>
          <w:rFonts w:ascii="Garamond" w:hAnsi="Garamond"/>
        </w:rPr>
        <w:t>perceptions shape their actions</w:t>
      </w:r>
      <w:r w:rsidR="009603BF" w:rsidRPr="00E421F4">
        <w:rPr>
          <w:rFonts w:ascii="Garamond" w:hAnsi="Garamond"/>
        </w:rPr>
        <w:t xml:space="preserve"> has gained increasing prominence over the last decade (</w:t>
      </w:r>
      <w:proofErr w:type="spellStart"/>
      <w:r w:rsidR="009603BF" w:rsidRPr="00E421F4">
        <w:rPr>
          <w:rFonts w:ascii="Garamond" w:hAnsi="Garamond"/>
        </w:rPr>
        <w:t>Bevir</w:t>
      </w:r>
      <w:proofErr w:type="spellEnd"/>
      <w:r w:rsidR="009603BF" w:rsidRPr="00E421F4">
        <w:rPr>
          <w:rFonts w:ascii="Garamond" w:hAnsi="Garamond"/>
        </w:rPr>
        <w:t xml:space="preserve"> &amp; Rhodes, 2003; 2010)</w:t>
      </w:r>
      <w:r w:rsidR="006C44D6" w:rsidRPr="00E421F4">
        <w:rPr>
          <w:rFonts w:ascii="Garamond" w:hAnsi="Garamond"/>
        </w:rPr>
        <w:t xml:space="preserve">. According to the interpretivist approach, action is strongly </w:t>
      </w:r>
      <w:r w:rsidR="00F5087E" w:rsidRPr="00E421F4">
        <w:rPr>
          <w:rFonts w:ascii="Garamond" w:hAnsi="Garamond"/>
        </w:rPr>
        <w:t>influenced</w:t>
      </w:r>
      <w:r w:rsidR="006C44D6" w:rsidRPr="00E421F4">
        <w:rPr>
          <w:rFonts w:ascii="Garamond" w:hAnsi="Garamond"/>
        </w:rPr>
        <w:t xml:space="preserve"> by</w:t>
      </w:r>
      <w:r w:rsidR="00F967E7" w:rsidRPr="00E421F4">
        <w:rPr>
          <w:rFonts w:ascii="Garamond" w:hAnsi="Garamond"/>
        </w:rPr>
        <w:t xml:space="preserve"> actors’</w:t>
      </w:r>
      <w:r w:rsidR="006C44D6" w:rsidRPr="00E421F4">
        <w:rPr>
          <w:rFonts w:ascii="Garamond" w:hAnsi="Garamond"/>
        </w:rPr>
        <w:t xml:space="preserve"> </w:t>
      </w:r>
      <w:r w:rsidR="007F5D2F" w:rsidRPr="00E421F4">
        <w:rPr>
          <w:rFonts w:ascii="Garamond" w:hAnsi="Garamond"/>
        </w:rPr>
        <w:t>interpretations of</w:t>
      </w:r>
      <w:r w:rsidR="006C44D6" w:rsidRPr="00E421F4">
        <w:rPr>
          <w:rFonts w:ascii="Garamond" w:hAnsi="Garamond"/>
        </w:rPr>
        <w:t xml:space="preserve"> situations and arrangements.</w:t>
      </w:r>
      <w:r w:rsidR="007F5D2F" w:rsidRPr="00E421F4">
        <w:rPr>
          <w:rFonts w:ascii="Garamond" w:hAnsi="Garamond"/>
        </w:rPr>
        <w:t xml:space="preserve"> </w:t>
      </w:r>
      <w:r w:rsidR="006C44D6" w:rsidRPr="00E421F4">
        <w:rPr>
          <w:rFonts w:ascii="Garamond" w:hAnsi="Garamond"/>
        </w:rPr>
        <w:t xml:space="preserve">Actors’ interpretations are not universal and predictable, because they are fundamentally shaped by </w:t>
      </w:r>
      <w:r w:rsidR="00F967E7" w:rsidRPr="00E421F4">
        <w:rPr>
          <w:rFonts w:ascii="Garamond" w:hAnsi="Garamond"/>
        </w:rPr>
        <w:t xml:space="preserve">the </w:t>
      </w:r>
      <w:r w:rsidR="006C44D6" w:rsidRPr="00E421F4">
        <w:rPr>
          <w:rFonts w:ascii="Garamond" w:hAnsi="Garamond"/>
        </w:rPr>
        <w:t>specific contexts in which they emerge. These include</w:t>
      </w:r>
      <w:r w:rsidR="009603BF" w:rsidRPr="00E421F4">
        <w:rPr>
          <w:rFonts w:ascii="Garamond" w:hAnsi="Garamond"/>
        </w:rPr>
        <w:t xml:space="preserve">: </w:t>
      </w:r>
      <w:r w:rsidR="00E01DFA" w:rsidRPr="00E421F4">
        <w:rPr>
          <w:rFonts w:ascii="Garamond" w:hAnsi="Garamond"/>
        </w:rPr>
        <w:t>historical context</w:t>
      </w:r>
      <w:r w:rsidR="00FF3539" w:rsidRPr="00E421F4">
        <w:rPr>
          <w:rFonts w:ascii="Garamond" w:hAnsi="Garamond"/>
        </w:rPr>
        <w:t>s</w:t>
      </w:r>
      <w:r w:rsidR="009603BF" w:rsidRPr="00E421F4">
        <w:rPr>
          <w:rFonts w:ascii="Garamond" w:hAnsi="Garamond"/>
        </w:rPr>
        <w:t xml:space="preserve"> (</w:t>
      </w:r>
      <w:r w:rsidR="00FF3539" w:rsidRPr="00E421F4">
        <w:rPr>
          <w:rFonts w:ascii="Garamond" w:hAnsi="Garamond"/>
        </w:rPr>
        <w:t xml:space="preserve">individual and collective </w:t>
      </w:r>
      <w:r w:rsidR="00F967E7" w:rsidRPr="00E421F4">
        <w:rPr>
          <w:rFonts w:ascii="Garamond" w:hAnsi="Garamond"/>
        </w:rPr>
        <w:t>memories of</w:t>
      </w:r>
      <w:r w:rsidR="00E01DFA" w:rsidRPr="00E421F4">
        <w:rPr>
          <w:rFonts w:ascii="Garamond" w:hAnsi="Garamond"/>
        </w:rPr>
        <w:t xml:space="preserve"> past events</w:t>
      </w:r>
      <w:r w:rsidR="009603BF" w:rsidRPr="00E421F4">
        <w:rPr>
          <w:rFonts w:ascii="Garamond" w:hAnsi="Garamond"/>
        </w:rPr>
        <w:t>);</w:t>
      </w:r>
      <w:r w:rsidR="00313793" w:rsidRPr="00E421F4">
        <w:rPr>
          <w:rFonts w:ascii="Garamond" w:hAnsi="Garamond"/>
        </w:rPr>
        <w:t xml:space="preserve"> </w:t>
      </w:r>
      <w:r w:rsidR="009603BF" w:rsidRPr="00E421F4">
        <w:rPr>
          <w:rFonts w:ascii="Garamond" w:hAnsi="Garamond"/>
        </w:rPr>
        <w:t>g</w:t>
      </w:r>
      <w:r w:rsidR="00313793" w:rsidRPr="00E421F4">
        <w:rPr>
          <w:rFonts w:ascii="Garamond" w:hAnsi="Garamond"/>
        </w:rPr>
        <w:t>eo-s</w:t>
      </w:r>
      <w:r w:rsidR="002D39E2" w:rsidRPr="00E421F4">
        <w:rPr>
          <w:rFonts w:ascii="Garamond" w:hAnsi="Garamond"/>
        </w:rPr>
        <w:t>patial context</w:t>
      </w:r>
      <w:r w:rsidR="00FF3539" w:rsidRPr="00E421F4">
        <w:rPr>
          <w:rFonts w:ascii="Garamond" w:hAnsi="Garamond"/>
        </w:rPr>
        <w:t>s</w:t>
      </w:r>
      <w:r w:rsidR="009603BF" w:rsidRPr="00E421F4">
        <w:rPr>
          <w:rFonts w:ascii="Garamond" w:hAnsi="Garamond"/>
        </w:rPr>
        <w:t xml:space="preserve"> (</w:t>
      </w:r>
      <w:r w:rsidR="00E01DFA" w:rsidRPr="00E421F4">
        <w:rPr>
          <w:rFonts w:ascii="Garamond" w:hAnsi="Garamond"/>
        </w:rPr>
        <w:t xml:space="preserve">national and local </w:t>
      </w:r>
      <w:r w:rsidR="002D39E2" w:rsidRPr="00E421F4">
        <w:rPr>
          <w:rFonts w:ascii="Garamond" w:hAnsi="Garamond"/>
        </w:rPr>
        <w:t>cultu</w:t>
      </w:r>
      <w:r w:rsidR="00313793" w:rsidRPr="00E421F4">
        <w:rPr>
          <w:rFonts w:ascii="Garamond" w:hAnsi="Garamond"/>
        </w:rPr>
        <w:t>res and traditions</w:t>
      </w:r>
      <w:r w:rsidR="009603BF" w:rsidRPr="00E421F4">
        <w:rPr>
          <w:rFonts w:ascii="Garamond" w:hAnsi="Garamond"/>
        </w:rPr>
        <w:t xml:space="preserve">); and </w:t>
      </w:r>
      <w:r w:rsidR="002D39E2" w:rsidRPr="00E421F4">
        <w:rPr>
          <w:rFonts w:ascii="Garamond" w:hAnsi="Garamond"/>
        </w:rPr>
        <w:t>discursive context</w:t>
      </w:r>
      <w:r w:rsidR="00FF3539" w:rsidRPr="00E421F4">
        <w:rPr>
          <w:rFonts w:ascii="Garamond" w:hAnsi="Garamond"/>
        </w:rPr>
        <w:t>s</w:t>
      </w:r>
      <w:r w:rsidR="009603BF" w:rsidRPr="00E421F4">
        <w:rPr>
          <w:rFonts w:ascii="Garamond" w:hAnsi="Garamond"/>
        </w:rPr>
        <w:t xml:space="preserve"> (</w:t>
      </w:r>
      <w:r w:rsidR="002D39E2" w:rsidRPr="00E421F4">
        <w:rPr>
          <w:rFonts w:ascii="Garamond" w:hAnsi="Garamond"/>
        </w:rPr>
        <w:t xml:space="preserve">the prevailing ways of writing, speaking, </w:t>
      </w:r>
      <w:r w:rsidR="00272E35" w:rsidRPr="00E421F4">
        <w:rPr>
          <w:rFonts w:ascii="Garamond" w:hAnsi="Garamond"/>
        </w:rPr>
        <w:t xml:space="preserve">and </w:t>
      </w:r>
      <w:r w:rsidR="002D39E2" w:rsidRPr="00E421F4">
        <w:rPr>
          <w:rFonts w:ascii="Garamond" w:hAnsi="Garamond"/>
        </w:rPr>
        <w:t xml:space="preserve">arguing </w:t>
      </w:r>
      <w:r w:rsidR="00313793" w:rsidRPr="00E421F4">
        <w:rPr>
          <w:rFonts w:ascii="Garamond" w:hAnsi="Garamond"/>
        </w:rPr>
        <w:t>about governance and administration</w:t>
      </w:r>
      <w:r w:rsidR="009603BF" w:rsidRPr="00E421F4">
        <w:rPr>
          <w:rFonts w:ascii="Garamond" w:hAnsi="Garamond"/>
        </w:rPr>
        <w:t>)</w:t>
      </w:r>
      <w:r w:rsidR="00313793" w:rsidRPr="00E421F4">
        <w:rPr>
          <w:rFonts w:ascii="Garamond" w:hAnsi="Garamond"/>
        </w:rPr>
        <w:t>.</w:t>
      </w:r>
      <w:r w:rsidR="00F44A70" w:rsidRPr="00E421F4">
        <w:rPr>
          <w:rFonts w:ascii="Garamond" w:hAnsi="Garamond"/>
        </w:rPr>
        <w:t xml:space="preserve"> </w:t>
      </w:r>
      <w:r w:rsidR="00075DFA" w:rsidRPr="00E421F4">
        <w:rPr>
          <w:rFonts w:ascii="Garamond" w:hAnsi="Garamond"/>
        </w:rPr>
        <w:t>While each actor develops their own interpretations</w:t>
      </w:r>
      <w:r w:rsidR="00313793" w:rsidRPr="00E421F4">
        <w:rPr>
          <w:rFonts w:ascii="Garamond" w:hAnsi="Garamond"/>
        </w:rPr>
        <w:t xml:space="preserve"> based on their unique context</w:t>
      </w:r>
      <w:r w:rsidR="00075DFA" w:rsidRPr="00E421F4">
        <w:rPr>
          <w:rFonts w:ascii="Garamond" w:hAnsi="Garamond"/>
        </w:rPr>
        <w:t>, interpretivists also stress the role of broader “webs of mean</w:t>
      </w:r>
      <w:r w:rsidR="0087459E" w:rsidRPr="00E421F4">
        <w:rPr>
          <w:rFonts w:ascii="Garamond" w:hAnsi="Garamond"/>
        </w:rPr>
        <w:t>ing” that emerge “</w:t>
      </w:r>
      <w:proofErr w:type="spellStart"/>
      <w:r w:rsidR="0087459E" w:rsidRPr="00E421F4">
        <w:rPr>
          <w:rFonts w:ascii="Garamond" w:hAnsi="Garamond"/>
        </w:rPr>
        <w:t>intersubjecti</w:t>
      </w:r>
      <w:r w:rsidR="00075DFA" w:rsidRPr="00E421F4">
        <w:rPr>
          <w:rFonts w:ascii="Garamond" w:hAnsi="Garamond"/>
        </w:rPr>
        <w:t>v</w:t>
      </w:r>
      <w:r w:rsidR="0087459E" w:rsidRPr="00E421F4">
        <w:rPr>
          <w:rFonts w:ascii="Garamond" w:hAnsi="Garamond"/>
        </w:rPr>
        <w:t>e</w:t>
      </w:r>
      <w:r w:rsidR="00075DFA" w:rsidRPr="00E421F4">
        <w:rPr>
          <w:rFonts w:ascii="Garamond" w:hAnsi="Garamond"/>
        </w:rPr>
        <w:t>ly</w:t>
      </w:r>
      <w:proofErr w:type="spellEnd"/>
      <w:r w:rsidR="00075DFA" w:rsidRPr="00E421F4">
        <w:rPr>
          <w:rFonts w:ascii="Garamond" w:hAnsi="Garamond"/>
        </w:rPr>
        <w:t xml:space="preserve">” within groups of actors, which enable </w:t>
      </w:r>
      <w:r w:rsidR="00F84DC8" w:rsidRPr="00E421F4">
        <w:rPr>
          <w:rFonts w:ascii="Garamond" w:hAnsi="Garamond"/>
        </w:rPr>
        <w:t>the</w:t>
      </w:r>
      <w:r w:rsidR="00075DFA" w:rsidRPr="00E421F4">
        <w:rPr>
          <w:rFonts w:ascii="Garamond" w:hAnsi="Garamond"/>
        </w:rPr>
        <w:t xml:space="preserve"> </w:t>
      </w:r>
      <w:r w:rsidR="00F84DC8" w:rsidRPr="00E421F4">
        <w:rPr>
          <w:rFonts w:ascii="Garamond" w:hAnsi="Garamond"/>
        </w:rPr>
        <w:t>communication of</w:t>
      </w:r>
      <w:r w:rsidR="00075DFA" w:rsidRPr="00E421F4">
        <w:rPr>
          <w:rFonts w:ascii="Garamond" w:hAnsi="Garamond"/>
        </w:rPr>
        <w:t xml:space="preserve"> meanings. </w:t>
      </w:r>
    </w:p>
    <w:p w14:paraId="4D7B4EAF" w14:textId="16AC3ED8" w:rsidR="006228E1" w:rsidRPr="00E421F4" w:rsidRDefault="00682D35" w:rsidP="006228E1">
      <w:pPr>
        <w:spacing w:line="360" w:lineRule="auto"/>
        <w:rPr>
          <w:rFonts w:ascii="Garamond" w:hAnsi="Garamond"/>
        </w:rPr>
      </w:pPr>
      <w:r w:rsidRPr="00E421F4">
        <w:rPr>
          <w:rFonts w:ascii="Garamond" w:hAnsi="Garamond"/>
        </w:rPr>
        <w:tab/>
      </w:r>
      <w:proofErr w:type="spellStart"/>
      <w:r w:rsidR="00FA2F37" w:rsidRPr="00E421F4">
        <w:rPr>
          <w:rFonts w:ascii="Garamond" w:hAnsi="Garamond"/>
        </w:rPr>
        <w:t>Elston</w:t>
      </w:r>
      <w:proofErr w:type="spellEnd"/>
      <w:r w:rsidR="00FA2F37" w:rsidRPr="00E421F4">
        <w:rPr>
          <w:rFonts w:ascii="Garamond" w:hAnsi="Garamond"/>
        </w:rPr>
        <w:t xml:space="preserve"> (2014) and </w:t>
      </w:r>
      <w:proofErr w:type="spellStart"/>
      <w:r w:rsidR="00FA2F37" w:rsidRPr="00E421F4">
        <w:rPr>
          <w:rFonts w:ascii="Garamond" w:hAnsi="Garamond"/>
        </w:rPr>
        <w:t>Smullen</w:t>
      </w:r>
      <w:proofErr w:type="spellEnd"/>
      <w:r w:rsidR="00FA2F37" w:rsidRPr="00E421F4">
        <w:rPr>
          <w:rFonts w:ascii="Garamond" w:hAnsi="Garamond"/>
        </w:rPr>
        <w:t xml:space="preserve"> (2010) </w:t>
      </w:r>
      <w:r w:rsidR="009115AF" w:rsidRPr="00E421F4">
        <w:rPr>
          <w:rFonts w:ascii="Garamond" w:hAnsi="Garamond"/>
        </w:rPr>
        <w:t xml:space="preserve">apply interpretivist </w:t>
      </w:r>
      <w:r w:rsidR="00FA2F37" w:rsidRPr="00E421F4">
        <w:rPr>
          <w:rFonts w:ascii="Garamond" w:hAnsi="Garamond"/>
        </w:rPr>
        <w:t xml:space="preserve">concepts to </w:t>
      </w:r>
      <w:r w:rsidR="009115AF" w:rsidRPr="00E421F4">
        <w:rPr>
          <w:rFonts w:ascii="Garamond" w:hAnsi="Garamond"/>
        </w:rPr>
        <w:t>the study of public organizations</w:t>
      </w:r>
      <w:r w:rsidR="00FA2F37" w:rsidRPr="00E421F4">
        <w:rPr>
          <w:rFonts w:ascii="Garamond" w:hAnsi="Garamond"/>
        </w:rPr>
        <w:t>. Both authors attempt to explore why autonomous agencies have gone from being politically fashionable under NPM, to a widely crit</w:t>
      </w:r>
      <w:r w:rsidR="00DB47D6" w:rsidRPr="00E421F4">
        <w:rPr>
          <w:rFonts w:ascii="Garamond" w:hAnsi="Garamond"/>
        </w:rPr>
        <w:t>icised organizational model in the</w:t>
      </w:r>
      <w:r w:rsidR="00FA2F37" w:rsidRPr="00E421F4">
        <w:rPr>
          <w:rFonts w:ascii="Garamond" w:hAnsi="Garamond"/>
        </w:rPr>
        <w:t xml:space="preserve"> post-NPM era. They qualitatively analyse a combination of official texts and interviews to show that the dominant meanings attached to the “agency idea” have shifted from efficiency to a lack of accountability</w:t>
      </w:r>
      <w:r w:rsidR="0087459E" w:rsidRPr="00E421F4">
        <w:rPr>
          <w:rFonts w:ascii="Garamond" w:hAnsi="Garamond"/>
        </w:rPr>
        <w:t xml:space="preserve">. </w:t>
      </w:r>
      <w:proofErr w:type="spellStart"/>
      <w:r w:rsidR="00CF0EA0" w:rsidRPr="00E421F4">
        <w:rPr>
          <w:rFonts w:ascii="Garamond" w:hAnsi="Garamond"/>
        </w:rPr>
        <w:t>Elston</w:t>
      </w:r>
      <w:proofErr w:type="spellEnd"/>
      <w:r w:rsidR="0087459E" w:rsidRPr="00E421F4">
        <w:rPr>
          <w:rFonts w:ascii="Garamond" w:hAnsi="Garamond"/>
        </w:rPr>
        <w:t xml:space="preserve"> (2014) </w:t>
      </w:r>
      <w:r w:rsidR="009603BF" w:rsidRPr="00E421F4">
        <w:rPr>
          <w:rFonts w:ascii="Garamond" w:hAnsi="Garamond"/>
        </w:rPr>
        <w:t xml:space="preserve">shows </w:t>
      </w:r>
      <w:r w:rsidR="0087459E" w:rsidRPr="00E421F4">
        <w:rPr>
          <w:rFonts w:ascii="Garamond" w:hAnsi="Garamond"/>
        </w:rPr>
        <w:t>that the NPM-era Next Steps reforms</w:t>
      </w:r>
      <w:r w:rsidR="00DB47D6" w:rsidRPr="00E421F4">
        <w:rPr>
          <w:rFonts w:ascii="Garamond" w:hAnsi="Garamond"/>
        </w:rPr>
        <w:t xml:space="preserve"> in the United Kingdom</w:t>
      </w:r>
      <w:r w:rsidR="0087459E" w:rsidRPr="00E421F4">
        <w:rPr>
          <w:rFonts w:ascii="Garamond" w:hAnsi="Garamond"/>
        </w:rPr>
        <w:t xml:space="preserve"> relied on </w:t>
      </w:r>
      <w:r w:rsidR="00F92468" w:rsidRPr="00E421F4">
        <w:rPr>
          <w:rFonts w:ascii="Garamond" w:hAnsi="Garamond"/>
        </w:rPr>
        <w:t xml:space="preserve">discourses that linked </w:t>
      </w:r>
      <w:r w:rsidR="00F236F4" w:rsidRPr="00E421F4">
        <w:rPr>
          <w:rFonts w:ascii="Garamond" w:hAnsi="Garamond"/>
        </w:rPr>
        <w:t>ministerial departments</w:t>
      </w:r>
      <w:r w:rsidR="00F92468" w:rsidRPr="00E421F4">
        <w:rPr>
          <w:rFonts w:ascii="Garamond" w:hAnsi="Garamond"/>
        </w:rPr>
        <w:t xml:space="preserve"> negatively with </w:t>
      </w:r>
      <w:r w:rsidR="0087459E" w:rsidRPr="00E421F4">
        <w:rPr>
          <w:rFonts w:ascii="Garamond" w:hAnsi="Garamond"/>
        </w:rPr>
        <w:t>over-centralization</w:t>
      </w:r>
      <w:r w:rsidR="00F92468" w:rsidRPr="00E421F4">
        <w:rPr>
          <w:rFonts w:ascii="Garamond" w:hAnsi="Garamond"/>
        </w:rPr>
        <w:t xml:space="preserve"> and agencies positively with managerial flexibility</w:t>
      </w:r>
      <w:r w:rsidR="0087459E" w:rsidRPr="00E421F4">
        <w:rPr>
          <w:rFonts w:ascii="Garamond" w:hAnsi="Garamond"/>
        </w:rPr>
        <w:t xml:space="preserve">. By contrast, the more recent post-NPM reappraisal of the agency idea </w:t>
      </w:r>
      <w:r w:rsidR="00F236F4" w:rsidRPr="00E421F4">
        <w:rPr>
          <w:rFonts w:ascii="Garamond" w:hAnsi="Garamond"/>
        </w:rPr>
        <w:t xml:space="preserve">discursively associates </w:t>
      </w:r>
      <w:r w:rsidR="009115AF" w:rsidRPr="00E421F4">
        <w:rPr>
          <w:rFonts w:ascii="Garamond" w:hAnsi="Garamond"/>
        </w:rPr>
        <w:t xml:space="preserve">autonomous </w:t>
      </w:r>
      <w:r w:rsidR="00F236F4" w:rsidRPr="00E421F4">
        <w:rPr>
          <w:rFonts w:ascii="Garamond" w:hAnsi="Garamond"/>
        </w:rPr>
        <w:t xml:space="preserve">agencies with a lack of accountability and fragmentation, while departments </w:t>
      </w:r>
      <w:r w:rsidR="00C77B59" w:rsidRPr="00E421F4">
        <w:rPr>
          <w:rFonts w:ascii="Garamond" w:hAnsi="Garamond"/>
        </w:rPr>
        <w:t xml:space="preserve">and agencies with direct ministerial oversight </w:t>
      </w:r>
      <w:r w:rsidR="00F236F4" w:rsidRPr="00E421F4">
        <w:rPr>
          <w:rFonts w:ascii="Garamond" w:hAnsi="Garamond"/>
        </w:rPr>
        <w:t xml:space="preserve">are </w:t>
      </w:r>
      <w:r w:rsidR="00C77B59" w:rsidRPr="00E421F4">
        <w:rPr>
          <w:rFonts w:ascii="Garamond" w:hAnsi="Garamond"/>
        </w:rPr>
        <w:t>valorised</w:t>
      </w:r>
      <w:r w:rsidR="00F236F4" w:rsidRPr="00E421F4">
        <w:rPr>
          <w:rFonts w:ascii="Garamond" w:hAnsi="Garamond"/>
        </w:rPr>
        <w:t xml:space="preserve"> as ensuring proper </w:t>
      </w:r>
      <w:r w:rsidR="00C77B59" w:rsidRPr="00E421F4">
        <w:rPr>
          <w:rFonts w:ascii="Garamond" w:hAnsi="Garamond"/>
        </w:rPr>
        <w:t>accountability and control</w:t>
      </w:r>
      <w:r w:rsidR="00F236F4" w:rsidRPr="00E421F4">
        <w:rPr>
          <w:rFonts w:ascii="Garamond" w:hAnsi="Garamond"/>
        </w:rPr>
        <w:t xml:space="preserve"> </w:t>
      </w:r>
      <w:r w:rsidR="0087459E" w:rsidRPr="00E421F4">
        <w:rPr>
          <w:rFonts w:ascii="Garamond" w:hAnsi="Garamond"/>
        </w:rPr>
        <w:t>(</w:t>
      </w:r>
      <w:proofErr w:type="spellStart"/>
      <w:r w:rsidR="0087459E" w:rsidRPr="00E421F4">
        <w:rPr>
          <w:rFonts w:ascii="Garamond" w:hAnsi="Garamond"/>
        </w:rPr>
        <w:t>Elston</w:t>
      </w:r>
      <w:proofErr w:type="spellEnd"/>
      <w:r w:rsidR="0087459E" w:rsidRPr="00E421F4">
        <w:rPr>
          <w:rFonts w:ascii="Garamond" w:hAnsi="Garamond"/>
        </w:rPr>
        <w:t xml:space="preserve"> 2014). </w:t>
      </w:r>
    </w:p>
    <w:p w14:paraId="67E8F5A0" w14:textId="292E2247" w:rsidR="00FA2F37" w:rsidRPr="00E421F4" w:rsidRDefault="00FA2F37" w:rsidP="006228E1">
      <w:pPr>
        <w:spacing w:line="360" w:lineRule="auto"/>
        <w:rPr>
          <w:rFonts w:ascii="Garamond" w:hAnsi="Garamond"/>
        </w:rPr>
      </w:pPr>
      <w:r w:rsidRPr="00E421F4">
        <w:rPr>
          <w:rFonts w:ascii="Garamond" w:hAnsi="Garamond"/>
        </w:rPr>
        <w:tab/>
        <w:t xml:space="preserve">Whereas </w:t>
      </w:r>
      <w:proofErr w:type="spellStart"/>
      <w:r w:rsidRPr="00E421F4">
        <w:rPr>
          <w:rFonts w:ascii="Garamond" w:hAnsi="Garamond"/>
        </w:rPr>
        <w:t>Elston</w:t>
      </w:r>
      <w:proofErr w:type="spellEnd"/>
      <w:r w:rsidRPr="00E421F4">
        <w:rPr>
          <w:rFonts w:ascii="Garamond" w:hAnsi="Garamond"/>
        </w:rPr>
        <w:t xml:space="preserve"> concentrates on discursive and historical contexts in a single country, </w:t>
      </w:r>
      <w:proofErr w:type="spellStart"/>
      <w:r w:rsidRPr="00E421F4">
        <w:rPr>
          <w:rFonts w:ascii="Garamond" w:hAnsi="Garamond"/>
        </w:rPr>
        <w:t>Smullen</w:t>
      </w:r>
      <w:proofErr w:type="spellEnd"/>
      <w:r w:rsidRPr="00E421F4">
        <w:rPr>
          <w:rFonts w:ascii="Garamond" w:hAnsi="Garamond"/>
        </w:rPr>
        <w:t xml:space="preserve"> (2010) addresses the role of geo-spatial contexts by comparing official “agency talk” in Australia, the Netherlands and Sweden. She focuses on how arguments for and against the agency model are shaped by the particular cultural configurations of each country, including the degree of formalization of rules surrounding public administration, and the extent of emphasis on individualistic versus collective norms in administration. She finds significant shifts in agency talk, but notes that these are strongly mediated by enduring national cultures and styles of speaking. However, in the Anglo democracies, including Australia, a relative absence of formal rules and norms regarding administrative structure permit comparatively substantial swings in this agency talk</w:t>
      </w:r>
      <w:r w:rsidR="009115AF" w:rsidRPr="00E421F4">
        <w:rPr>
          <w:rFonts w:ascii="Garamond" w:hAnsi="Garamond"/>
        </w:rPr>
        <w:t xml:space="preserve"> (</w:t>
      </w:r>
      <w:proofErr w:type="spellStart"/>
      <w:r w:rsidR="009115AF" w:rsidRPr="00E421F4">
        <w:rPr>
          <w:rFonts w:ascii="Garamond" w:hAnsi="Garamond"/>
        </w:rPr>
        <w:t>Smullen</w:t>
      </w:r>
      <w:proofErr w:type="spellEnd"/>
      <w:r w:rsidR="009115AF" w:rsidRPr="00E421F4">
        <w:rPr>
          <w:rFonts w:ascii="Garamond" w:hAnsi="Garamond"/>
        </w:rPr>
        <w:t xml:space="preserve"> 2010)</w:t>
      </w:r>
      <w:r w:rsidRPr="00E421F4">
        <w:rPr>
          <w:rFonts w:ascii="Garamond" w:hAnsi="Garamond"/>
        </w:rPr>
        <w:t>.</w:t>
      </w:r>
    </w:p>
    <w:p w14:paraId="116F877A" w14:textId="0CE5466D" w:rsidR="00033674" w:rsidRPr="00E421F4" w:rsidRDefault="006228E1" w:rsidP="00DB376C">
      <w:pPr>
        <w:spacing w:line="360" w:lineRule="auto"/>
        <w:rPr>
          <w:rFonts w:ascii="Garamond" w:hAnsi="Garamond"/>
        </w:rPr>
      </w:pPr>
      <w:r w:rsidRPr="00E421F4">
        <w:rPr>
          <w:rFonts w:ascii="Garamond" w:hAnsi="Garamond"/>
        </w:rPr>
        <w:tab/>
      </w:r>
      <w:r w:rsidR="00D36FEC" w:rsidRPr="00E421F4">
        <w:rPr>
          <w:rFonts w:ascii="Garamond" w:hAnsi="Garamond"/>
        </w:rPr>
        <w:t>Like the broader qualitative literature on de-</w:t>
      </w:r>
      <w:proofErr w:type="spellStart"/>
      <w:r w:rsidR="00D36FEC" w:rsidRPr="00E421F4">
        <w:rPr>
          <w:rFonts w:ascii="Garamond" w:hAnsi="Garamond"/>
        </w:rPr>
        <w:t>agencification</w:t>
      </w:r>
      <w:proofErr w:type="spellEnd"/>
      <w:r w:rsidR="00D36FEC" w:rsidRPr="00E421F4">
        <w:rPr>
          <w:rFonts w:ascii="Garamond" w:hAnsi="Garamond"/>
        </w:rPr>
        <w:t>,</w:t>
      </w:r>
      <w:r w:rsidR="00B40691" w:rsidRPr="00E421F4">
        <w:rPr>
          <w:rFonts w:ascii="Garamond" w:hAnsi="Garamond"/>
        </w:rPr>
        <w:t xml:space="preserve"> </w:t>
      </w:r>
      <w:r w:rsidR="00D36FEC" w:rsidRPr="00E421F4">
        <w:rPr>
          <w:rFonts w:ascii="Garamond" w:hAnsi="Garamond"/>
        </w:rPr>
        <w:t xml:space="preserve">these two explicitly </w:t>
      </w:r>
      <w:r w:rsidR="00B40691" w:rsidRPr="00E421F4">
        <w:rPr>
          <w:rFonts w:ascii="Garamond" w:hAnsi="Garamond"/>
        </w:rPr>
        <w:t>interpretive works</w:t>
      </w:r>
      <w:r w:rsidR="00826E16" w:rsidRPr="00E421F4">
        <w:rPr>
          <w:rFonts w:ascii="Garamond" w:hAnsi="Garamond"/>
        </w:rPr>
        <w:t xml:space="preserve"> </w:t>
      </w:r>
      <w:r w:rsidR="00C5197F" w:rsidRPr="00E421F4">
        <w:rPr>
          <w:rFonts w:ascii="Garamond" w:hAnsi="Garamond"/>
        </w:rPr>
        <w:t>do not address size directly</w:t>
      </w:r>
      <w:r w:rsidR="0058098E" w:rsidRPr="00E421F4">
        <w:rPr>
          <w:rFonts w:ascii="Garamond" w:hAnsi="Garamond"/>
        </w:rPr>
        <w:t xml:space="preserve">. </w:t>
      </w:r>
      <w:r w:rsidR="00B40691" w:rsidRPr="00E421F4">
        <w:rPr>
          <w:rFonts w:ascii="Garamond" w:hAnsi="Garamond"/>
        </w:rPr>
        <w:t xml:space="preserve">Yet, </w:t>
      </w:r>
      <w:r w:rsidR="00223BED" w:rsidRPr="00E421F4">
        <w:rPr>
          <w:rFonts w:ascii="Garamond" w:hAnsi="Garamond"/>
        </w:rPr>
        <w:t xml:space="preserve">we know from other public administration </w:t>
      </w:r>
      <w:r w:rsidR="00223BED" w:rsidRPr="00E421F4">
        <w:rPr>
          <w:rFonts w:ascii="Garamond" w:hAnsi="Garamond"/>
        </w:rPr>
        <w:lastRenderedPageBreak/>
        <w:t>research that agency size can convey various meanings, depending on discursive, historical and spatial contexts</w:t>
      </w:r>
      <w:r w:rsidR="009603BF" w:rsidRPr="00E421F4">
        <w:rPr>
          <w:rFonts w:ascii="Garamond" w:hAnsi="Garamond"/>
        </w:rPr>
        <w:t xml:space="preserve"> (</w:t>
      </w:r>
      <w:r w:rsidR="00EC3536" w:rsidRPr="00E421F4">
        <w:rPr>
          <w:rFonts w:ascii="Garamond" w:hAnsi="Garamond"/>
        </w:rPr>
        <w:t>e.g.</w:t>
      </w:r>
      <w:r w:rsidR="009603BF" w:rsidRPr="00E421F4">
        <w:rPr>
          <w:rFonts w:ascii="Garamond" w:hAnsi="Garamond"/>
        </w:rPr>
        <w:t xml:space="preserve"> </w:t>
      </w:r>
      <w:proofErr w:type="spellStart"/>
      <w:r w:rsidR="009603BF" w:rsidRPr="00E421F4">
        <w:rPr>
          <w:rFonts w:ascii="Garamond" w:hAnsi="Garamond"/>
        </w:rPr>
        <w:t>Papanastasiou</w:t>
      </w:r>
      <w:proofErr w:type="spellEnd"/>
      <w:r w:rsidR="009603BF" w:rsidRPr="00E421F4">
        <w:rPr>
          <w:rFonts w:ascii="Garamond" w:hAnsi="Garamond"/>
        </w:rPr>
        <w:t xml:space="preserve"> 2016)</w:t>
      </w:r>
      <w:r w:rsidR="00223BED" w:rsidRPr="00E421F4">
        <w:rPr>
          <w:rFonts w:ascii="Garamond" w:hAnsi="Garamond"/>
        </w:rPr>
        <w:t xml:space="preserve">. </w:t>
      </w:r>
      <w:r w:rsidR="00815A50" w:rsidRPr="00E421F4">
        <w:rPr>
          <w:rFonts w:ascii="Garamond" w:hAnsi="Garamond"/>
        </w:rPr>
        <w:t>Larger size is often</w:t>
      </w:r>
      <w:r w:rsidR="00033674" w:rsidRPr="00E421F4">
        <w:rPr>
          <w:rFonts w:ascii="Garamond" w:hAnsi="Garamond"/>
        </w:rPr>
        <w:t xml:space="preserve"> </w:t>
      </w:r>
      <w:r w:rsidR="00815A50" w:rsidRPr="00E421F4">
        <w:rPr>
          <w:rFonts w:ascii="Garamond" w:hAnsi="Garamond"/>
        </w:rPr>
        <w:t xml:space="preserve">discursively </w:t>
      </w:r>
      <w:r w:rsidR="00033674" w:rsidRPr="00E421F4">
        <w:rPr>
          <w:rFonts w:ascii="Garamond" w:hAnsi="Garamond"/>
        </w:rPr>
        <w:t xml:space="preserve">linked to </w:t>
      </w:r>
      <w:r w:rsidR="00815A50" w:rsidRPr="00E421F4">
        <w:rPr>
          <w:rFonts w:ascii="Garamond" w:hAnsi="Garamond"/>
        </w:rPr>
        <w:t xml:space="preserve">greater </w:t>
      </w:r>
      <w:r w:rsidR="002C7858" w:rsidRPr="00E421F4">
        <w:rPr>
          <w:rFonts w:ascii="Garamond" w:hAnsi="Garamond"/>
        </w:rPr>
        <w:t>effectiveness, in that it means more services can be provided</w:t>
      </w:r>
      <w:r w:rsidR="009115AF" w:rsidRPr="00E421F4">
        <w:rPr>
          <w:rFonts w:ascii="Garamond" w:hAnsi="Garamond"/>
        </w:rPr>
        <w:t xml:space="preserve"> </w:t>
      </w:r>
      <w:r w:rsidR="00D36FEC" w:rsidRPr="00E421F4">
        <w:rPr>
          <w:rFonts w:ascii="Garamond" w:hAnsi="Garamond"/>
        </w:rPr>
        <w:t>(Kaufman 1976; Wilson 1989)</w:t>
      </w:r>
      <w:r w:rsidR="002C7858" w:rsidRPr="00E421F4">
        <w:rPr>
          <w:rFonts w:ascii="Garamond" w:hAnsi="Garamond"/>
        </w:rPr>
        <w:t xml:space="preserve">. </w:t>
      </w:r>
      <w:r w:rsidR="00442946" w:rsidRPr="00E421F4">
        <w:rPr>
          <w:rFonts w:ascii="Garamond" w:hAnsi="Garamond"/>
        </w:rPr>
        <w:t>Larger s</w:t>
      </w:r>
      <w:r w:rsidR="002C7858" w:rsidRPr="00E421F4">
        <w:rPr>
          <w:rFonts w:ascii="Garamond" w:hAnsi="Garamond"/>
        </w:rPr>
        <w:t>ize</w:t>
      </w:r>
      <w:r w:rsidR="00033674" w:rsidRPr="00E421F4">
        <w:rPr>
          <w:rFonts w:ascii="Garamond" w:hAnsi="Garamond"/>
        </w:rPr>
        <w:t xml:space="preserve"> can also</w:t>
      </w:r>
      <w:r w:rsidR="002C7858" w:rsidRPr="00E421F4">
        <w:rPr>
          <w:rFonts w:ascii="Garamond" w:hAnsi="Garamond"/>
        </w:rPr>
        <w:t xml:space="preserve"> </w:t>
      </w:r>
      <w:r w:rsidR="00033674" w:rsidRPr="00E421F4">
        <w:rPr>
          <w:rFonts w:ascii="Garamond" w:hAnsi="Garamond"/>
        </w:rPr>
        <w:t>mean</w:t>
      </w:r>
      <w:r w:rsidR="002C7858" w:rsidRPr="00E421F4">
        <w:rPr>
          <w:rFonts w:ascii="Garamond" w:hAnsi="Garamond"/>
        </w:rPr>
        <w:t xml:space="preserve"> </w:t>
      </w:r>
      <w:r w:rsidR="00CA0404" w:rsidRPr="00E421F4">
        <w:rPr>
          <w:rFonts w:ascii="Garamond" w:hAnsi="Garamond"/>
        </w:rPr>
        <w:t xml:space="preserve">greater </w:t>
      </w:r>
      <w:r w:rsidR="00442946" w:rsidRPr="00E421F4">
        <w:rPr>
          <w:rFonts w:ascii="Garamond" w:hAnsi="Garamond"/>
        </w:rPr>
        <w:t xml:space="preserve">specialization and economies of scale. </w:t>
      </w:r>
      <w:r w:rsidR="002C7858" w:rsidRPr="00E421F4">
        <w:rPr>
          <w:rFonts w:ascii="Garamond" w:hAnsi="Garamond"/>
        </w:rPr>
        <w:t xml:space="preserve">In the context of </w:t>
      </w:r>
      <w:r w:rsidR="00D55563" w:rsidRPr="00E421F4">
        <w:rPr>
          <w:rFonts w:ascii="Garamond" w:hAnsi="Garamond"/>
        </w:rPr>
        <w:t>NPM</w:t>
      </w:r>
      <w:r w:rsidR="002C7858" w:rsidRPr="00E421F4">
        <w:rPr>
          <w:rFonts w:ascii="Garamond" w:hAnsi="Garamond"/>
        </w:rPr>
        <w:t xml:space="preserve">, </w:t>
      </w:r>
      <w:r w:rsidR="00442946" w:rsidRPr="00E421F4">
        <w:rPr>
          <w:rFonts w:ascii="Garamond" w:hAnsi="Garamond"/>
        </w:rPr>
        <w:t xml:space="preserve">however, large size </w:t>
      </w:r>
      <w:r w:rsidR="00DB47D6" w:rsidRPr="00E421F4">
        <w:rPr>
          <w:rFonts w:ascii="Garamond" w:hAnsi="Garamond"/>
        </w:rPr>
        <w:t xml:space="preserve">can be discursively </w:t>
      </w:r>
      <w:r w:rsidR="00033674" w:rsidRPr="00E421F4">
        <w:rPr>
          <w:rFonts w:ascii="Garamond" w:hAnsi="Garamond"/>
        </w:rPr>
        <w:t>linked to</w:t>
      </w:r>
      <w:r w:rsidR="00442946" w:rsidRPr="00E421F4">
        <w:rPr>
          <w:rFonts w:ascii="Garamond" w:hAnsi="Garamond"/>
        </w:rPr>
        <w:t xml:space="preserve"> inefficiency</w:t>
      </w:r>
      <w:r w:rsidR="00084EC8" w:rsidRPr="00E421F4">
        <w:rPr>
          <w:rFonts w:ascii="Garamond" w:hAnsi="Garamond"/>
        </w:rPr>
        <w:t xml:space="preserve"> or “bloated bureaucracy” </w:t>
      </w:r>
      <w:r w:rsidR="002C7858" w:rsidRPr="00E421F4">
        <w:rPr>
          <w:rFonts w:ascii="Garamond" w:hAnsi="Garamond"/>
        </w:rPr>
        <w:t xml:space="preserve">(Hood 1991; </w:t>
      </w:r>
      <w:proofErr w:type="spellStart"/>
      <w:r w:rsidR="002C7858" w:rsidRPr="00E421F4">
        <w:rPr>
          <w:rFonts w:ascii="Garamond" w:hAnsi="Garamond"/>
        </w:rPr>
        <w:t>Niskanen</w:t>
      </w:r>
      <w:proofErr w:type="spellEnd"/>
      <w:r w:rsidR="002C7858" w:rsidRPr="00E421F4">
        <w:rPr>
          <w:rFonts w:ascii="Garamond" w:hAnsi="Garamond"/>
        </w:rPr>
        <w:t xml:space="preserve"> 1971). </w:t>
      </w:r>
      <w:r w:rsidR="00442946" w:rsidRPr="00E421F4">
        <w:rPr>
          <w:rFonts w:ascii="Garamond" w:hAnsi="Garamond"/>
        </w:rPr>
        <w:t xml:space="preserve">Large size can also </w:t>
      </w:r>
      <w:r w:rsidR="00033674" w:rsidRPr="00E421F4">
        <w:rPr>
          <w:rFonts w:ascii="Garamond" w:hAnsi="Garamond"/>
        </w:rPr>
        <w:t xml:space="preserve">be </w:t>
      </w:r>
      <w:r w:rsidR="00F80DB6" w:rsidRPr="00E421F4">
        <w:rPr>
          <w:rFonts w:ascii="Garamond" w:hAnsi="Garamond"/>
        </w:rPr>
        <w:t>associated</w:t>
      </w:r>
      <w:r w:rsidR="00033674" w:rsidRPr="00E421F4">
        <w:rPr>
          <w:rFonts w:ascii="Garamond" w:hAnsi="Garamond"/>
        </w:rPr>
        <w:t xml:space="preserve"> </w:t>
      </w:r>
      <w:r w:rsidR="00F80DB6" w:rsidRPr="00E421F4">
        <w:rPr>
          <w:rFonts w:ascii="Garamond" w:hAnsi="Garamond"/>
        </w:rPr>
        <w:t>with a</w:t>
      </w:r>
      <w:r w:rsidR="00033674" w:rsidRPr="00E421F4">
        <w:rPr>
          <w:rFonts w:ascii="Garamond" w:hAnsi="Garamond"/>
        </w:rPr>
        <w:t xml:space="preserve"> </w:t>
      </w:r>
      <w:r w:rsidR="00BE6A94" w:rsidRPr="00E421F4">
        <w:rPr>
          <w:rFonts w:ascii="Garamond" w:hAnsi="Garamond"/>
        </w:rPr>
        <w:t xml:space="preserve">lack of </w:t>
      </w:r>
      <w:r w:rsidR="009115AF" w:rsidRPr="00E421F4">
        <w:rPr>
          <w:rFonts w:ascii="Garamond" w:hAnsi="Garamond"/>
        </w:rPr>
        <w:t xml:space="preserve">top-down and bottom-up </w:t>
      </w:r>
      <w:r w:rsidR="00BE6A94" w:rsidRPr="00E421F4">
        <w:rPr>
          <w:rFonts w:ascii="Garamond" w:hAnsi="Garamond"/>
        </w:rPr>
        <w:t>responsiveness</w:t>
      </w:r>
      <w:r w:rsidR="009115AF" w:rsidRPr="00E421F4">
        <w:rPr>
          <w:rFonts w:ascii="Garamond" w:hAnsi="Garamond"/>
        </w:rPr>
        <w:t xml:space="preserve"> </w:t>
      </w:r>
      <w:r w:rsidR="00D36FEC" w:rsidRPr="00E421F4">
        <w:rPr>
          <w:rFonts w:ascii="Garamond" w:hAnsi="Garamond"/>
        </w:rPr>
        <w:t>(Peters 2010)</w:t>
      </w:r>
      <w:r w:rsidR="00033674" w:rsidRPr="00E421F4">
        <w:rPr>
          <w:rFonts w:ascii="Garamond" w:hAnsi="Garamond"/>
        </w:rPr>
        <w:t xml:space="preserve">. </w:t>
      </w:r>
      <w:r w:rsidR="00F967E7" w:rsidRPr="00E421F4">
        <w:rPr>
          <w:rFonts w:ascii="Garamond" w:hAnsi="Garamond"/>
        </w:rPr>
        <w:t>Furthermore</w:t>
      </w:r>
      <w:r w:rsidR="00CA0404" w:rsidRPr="00E421F4">
        <w:rPr>
          <w:rFonts w:ascii="Garamond" w:hAnsi="Garamond"/>
        </w:rPr>
        <w:t xml:space="preserve">, </w:t>
      </w:r>
      <w:r w:rsidR="00033674" w:rsidRPr="00E421F4">
        <w:rPr>
          <w:rFonts w:ascii="Garamond" w:hAnsi="Garamond"/>
        </w:rPr>
        <w:t>stakeholders</w:t>
      </w:r>
      <w:r w:rsidR="00826E16" w:rsidRPr="00E421F4">
        <w:rPr>
          <w:rFonts w:ascii="Garamond" w:hAnsi="Garamond"/>
        </w:rPr>
        <w:t>’ perceptions of the size</w:t>
      </w:r>
      <w:r w:rsidR="00033674" w:rsidRPr="00E421F4">
        <w:rPr>
          <w:rFonts w:ascii="Garamond" w:hAnsi="Garamond"/>
        </w:rPr>
        <w:t xml:space="preserve"> </w:t>
      </w:r>
      <w:r w:rsidR="00826E16" w:rsidRPr="00E421F4">
        <w:rPr>
          <w:rFonts w:ascii="Garamond" w:hAnsi="Garamond"/>
        </w:rPr>
        <w:t xml:space="preserve">of an agency </w:t>
      </w:r>
      <w:r w:rsidR="00033674" w:rsidRPr="00E421F4">
        <w:rPr>
          <w:rFonts w:ascii="Garamond" w:hAnsi="Garamond"/>
        </w:rPr>
        <w:t xml:space="preserve">also </w:t>
      </w:r>
      <w:r w:rsidR="00D36FEC" w:rsidRPr="00E421F4">
        <w:rPr>
          <w:rFonts w:ascii="Garamond" w:hAnsi="Garamond"/>
        </w:rPr>
        <w:t xml:space="preserve">likely </w:t>
      </w:r>
      <w:r w:rsidR="00033674" w:rsidRPr="00E421F4">
        <w:rPr>
          <w:rFonts w:ascii="Garamond" w:hAnsi="Garamond"/>
        </w:rPr>
        <w:t>depend on its historical size, as well the size of other</w:t>
      </w:r>
      <w:r w:rsidR="003B7A53" w:rsidRPr="00E421F4">
        <w:rPr>
          <w:rFonts w:ascii="Garamond" w:hAnsi="Garamond"/>
        </w:rPr>
        <w:t xml:space="preserve"> agencies in the jurisdiction. </w:t>
      </w:r>
      <w:r w:rsidR="00033674" w:rsidRPr="00E421F4">
        <w:rPr>
          <w:rFonts w:ascii="Garamond" w:hAnsi="Garamond"/>
        </w:rPr>
        <w:t xml:space="preserve">In this way we can see that the meanings associated with agency size </w:t>
      </w:r>
      <w:r w:rsidR="00CA0404" w:rsidRPr="00E421F4">
        <w:rPr>
          <w:rFonts w:ascii="Garamond" w:hAnsi="Garamond"/>
        </w:rPr>
        <w:t xml:space="preserve">potentially </w:t>
      </w:r>
      <w:r w:rsidR="00033674" w:rsidRPr="00E421F4">
        <w:rPr>
          <w:rFonts w:ascii="Garamond" w:hAnsi="Garamond"/>
        </w:rPr>
        <w:t xml:space="preserve">depend on discursive, historical and spatial contexts.  </w:t>
      </w:r>
    </w:p>
    <w:p w14:paraId="2533AECE" w14:textId="2442E949" w:rsidR="00815A50" w:rsidRPr="00E421F4" w:rsidRDefault="00815A50" w:rsidP="00DB376C">
      <w:pPr>
        <w:spacing w:line="360" w:lineRule="auto"/>
        <w:rPr>
          <w:rFonts w:ascii="Garamond" w:hAnsi="Garamond"/>
        </w:rPr>
      </w:pPr>
      <w:r w:rsidRPr="00E421F4">
        <w:rPr>
          <w:rFonts w:ascii="Garamond" w:hAnsi="Garamond"/>
        </w:rPr>
        <w:tab/>
        <w:t xml:space="preserve">In </w:t>
      </w:r>
      <w:r w:rsidR="00D55563" w:rsidRPr="00E421F4">
        <w:rPr>
          <w:rFonts w:ascii="Garamond" w:hAnsi="Garamond"/>
        </w:rPr>
        <w:t>sum, recent interpretive work on agencies suggests that</w:t>
      </w:r>
      <w:r w:rsidRPr="00E421F4">
        <w:rPr>
          <w:rFonts w:ascii="Garamond" w:hAnsi="Garamond"/>
        </w:rPr>
        <w:t xml:space="preserve"> actors</w:t>
      </w:r>
      <w:r w:rsidR="00826E16" w:rsidRPr="00E421F4">
        <w:rPr>
          <w:rFonts w:ascii="Garamond" w:hAnsi="Garamond"/>
        </w:rPr>
        <w:t>’ perceptions of agency size are</w:t>
      </w:r>
      <w:r w:rsidRPr="00E421F4">
        <w:rPr>
          <w:rFonts w:ascii="Garamond" w:hAnsi="Garamond"/>
        </w:rPr>
        <w:t xml:space="preserve"> not a </w:t>
      </w:r>
      <w:r w:rsidR="00826E16" w:rsidRPr="00E421F4">
        <w:rPr>
          <w:rFonts w:ascii="Garamond" w:hAnsi="Garamond"/>
        </w:rPr>
        <w:t>straightforward product of</w:t>
      </w:r>
      <w:r w:rsidRPr="00E421F4">
        <w:rPr>
          <w:rFonts w:ascii="Garamond" w:hAnsi="Garamond"/>
        </w:rPr>
        <w:t xml:space="preserve"> </w:t>
      </w:r>
      <w:r w:rsidR="00826E16" w:rsidRPr="00E421F4">
        <w:rPr>
          <w:rFonts w:ascii="Garamond" w:hAnsi="Garamond"/>
        </w:rPr>
        <w:t>objective size</w:t>
      </w:r>
      <w:r w:rsidRPr="00E421F4">
        <w:rPr>
          <w:rFonts w:ascii="Garamond" w:hAnsi="Garamond"/>
        </w:rPr>
        <w:t xml:space="preserve">. Rather, perceived size is shaped by context. We have also suggested that such perceptions will shape actors’ enthusiasm for terminating and defending agencies.  The next section outlines how </w:t>
      </w:r>
      <w:r w:rsidR="00EC3536" w:rsidRPr="00E421F4">
        <w:rPr>
          <w:rFonts w:ascii="Garamond" w:hAnsi="Garamond"/>
        </w:rPr>
        <w:t xml:space="preserve">we </w:t>
      </w:r>
      <w:r w:rsidRPr="00E421F4">
        <w:rPr>
          <w:rFonts w:ascii="Garamond" w:hAnsi="Garamond"/>
        </w:rPr>
        <w:t xml:space="preserve">went about </w:t>
      </w:r>
      <w:r w:rsidR="00D55563" w:rsidRPr="00E421F4">
        <w:rPr>
          <w:rFonts w:ascii="Garamond" w:hAnsi="Garamond"/>
        </w:rPr>
        <w:t>examining</w:t>
      </w:r>
      <w:r w:rsidRPr="00E421F4">
        <w:rPr>
          <w:rFonts w:ascii="Garamond" w:hAnsi="Garamond"/>
        </w:rPr>
        <w:t xml:space="preserve"> th</w:t>
      </w:r>
      <w:r w:rsidR="00D55563" w:rsidRPr="00E421F4">
        <w:rPr>
          <w:rFonts w:ascii="Garamond" w:hAnsi="Garamond"/>
        </w:rPr>
        <w:t>i</w:t>
      </w:r>
      <w:r w:rsidRPr="00E421F4">
        <w:rPr>
          <w:rFonts w:ascii="Garamond" w:hAnsi="Garamond"/>
        </w:rPr>
        <w:t>s claim empirically.</w:t>
      </w:r>
    </w:p>
    <w:p w14:paraId="6985D4D8" w14:textId="77777777" w:rsidR="00AE47AB" w:rsidRPr="00E421F4" w:rsidRDefault="00AE47AB" w:rsidP="00BC5ACE">
      <w:pPr>
        <w:spacing w:line="360" w:lineRule="auto"/>
        <w:rPr>
          <w:rFonts w:ascii="Garamond" w:hAnsi="Garamond"/>
        </w:rPr>
      </w:pPr>
    </w:p>
    <w:p w14:paraId="3B499394" w14:textId="77777777" w:rsidR="00BC5ACE" w:rsidRPr="00E421F4" w:rsidRDefault="00BC5ACE" w:rsidP="00BC5ACE">
      <w:pPr>
        <w:spacing w:line="360" w:lineRule="auto"/>
        <w:rPr>
          <w:rFonts w:ascii="Garamond" w:hAnsi="Garamond"/>
          <w:u w:val="single"/>
        </w:rPr>
      </w:pPr>
      <w:r w:rsidRPr="00E421F4">
        <w:rPr>
          <w:rFonts w:ascii="Garamond" w:hAnsi="Garamond"/>
          <w:u w:val="single"/>
        </w:rPr>
        <w:t>Method</w:t>
      </w:r>
    </w:p>
    <w:p w14:paraId="10AF6FBB" w14:textId="1A1D7CF9" w:rsidR="00BC5ACE" w:rsidRPr="00E421F4" w:rsidRDefault="00625A26" w:rsidP="00BC5ACE">
      <w:pPr>
        <w:spacing w:line="360" w:lineRule="auto"/>
        <w:rPr>
          <w:rFonts w:ascii="Garamond" w:hAnsi="Garamond"/>
        </w:rPr>
      </w:pPr>
      <w:r w:rsidRPr="00E421F4">
        <w:rPr>
          <w:rFonts w:ascii="Garamond" w:hAnsi="Garamond"/>
        </w:rPr>
        <w:t>Following these pioneering studies, o</w:t>
      </w:r>
      <w:r w:rsidR="00BC5ACE" w:rsidRPr="00E421F4">
        <w:rPr>
          <w:rFonts w:ascii="Garamond" w:hAnsi="Garamond"/>
        </w:rPr>
        <w:t xml:space="preserve">ur interpretive analysis foregrounds the meanings and beliefs of intentional agents as the bedrock of any holistic explanation of agency termination. We do not claim that actors are autonomous and capable of pursuing any strategy they choose </w:t>
      </w:r>
      <w:r w:rsidR="00D55563" w:rsidRPr="00E421F4">
        <w:rPr>
          <w:rFonts w:ascii="Garamond" w:hAnsi="Garamond"/>
        </w:rPr>
        <w:t xml:space="preserve"> </w:t>
      </w:r>
      <w:r w:rsidR="00BC5ACE" w:rsidRPr="00E421F4">
        <w:rPr>
          <w:rFonts w:ascii="Garamond" w:hAnsi="Garamond"/>
        </w:rPr>
        <w:t xml:space="preserve">– quiet clearly </w:t>
      </w:r>
      <w:r w:rsidR="002162B5" w:rsidRPr="00E421F4">
        <w:rPr>
          <w:rFonts w:ascii="Garamond" w:hAnsi="Garamond"/>
        </w:rPr>
        <w:t xml:space="preserve">foreign </w:t>
      </w:r>
      <w:r w:rsidR="00BC5ACE" w:rsidRPr="00E421F4">
        <w:rPr>
          <w:rFonts w:ascii="Garamond" w:hAnsi="Garamond"/>
        </w:rPr>
        <w:t xml:space="preserve">aid administrators have not had it all their way in our case study – but rather base our explanation on their </w:t>
      </w:r>
      <w:proofErr w:type="spellStart"/>
      <w:r w:rsidR="00BC5ACE" w:rsidRPr="00E421F4">
        <w:rPr>
          <w:rFonts w:ascii="Garamond" w:hAnsi="Garamond"/>
        </w:rPr>
        <w:t>situatedness</w:t>
      </w:r>
      <w:proofErr w:type="spellEnd"/>
      <w:r w:rsidR="00BC5ACE" w:rsidRPr="00E421F4">
        <w:rPr>
          <w:rFonts w:ascii="Garamond" w:hAnsi="Garamond"/>
        </w:rPr>
        <w:t xml:space="preserve"> within a web of relevant players and ideas</w:t>
      </w:r>
      <w:r w:rsidR="002162B5" w:rsidRPr="00E421F4">
        <w:rPr>
          <w:rFonts w:ascii="Garamond" w:hAnsi="Garamond"/>
        </w:rPr>
        <w:t>:</w:t>
      </w:r>
      <w:r w:rsidR="00BC5ACE" w:rsidRPr="00E421F4">
        <w:rPr>
          <w:rFonts w:ascii="Garamond" w:hAnsi="Garamond"/>
        </w:rPr>
        <w:t xml:space="preserve"> </w:t>
      </w:r>
    </w:p>
    <w:p w14:paraId="355E200B" w14:textId="77777777" w:rsidR="00BC5ACE" w:rsidRPr="00E421F4" w:rsidRDefault="00BC5ACE" w:rsidP="00BC5ACE">
      <w:pPr>
        <w:spacing w:line="360" w:lineRule="auto"/>
        <w:rPr>
          <w:rFonts w:ascii="Garamond" w:hAnsi="Garamond"/>
        </w:rPr>
      </w:pPr>
    </w:p>
    <w:p w14:paraId="770007EE" w14:textId="3338DB0A" w:rsidR="00BC5ACE" w:rsidRPr="00E421F4" w:rsidRDefault="00BC5ACE" w:rsidP="00BC5ACE">
      <w:pPr>
        <w:spacing w:line="360" w:lineRule="auto"/>
        <w:ind w:left="720"/>
        <w:rPr>
          <w:rFonts w:ascii="Garamond" w:hAnsi="Garamond"/>
          <w:sz w:val="20"/>
          <w:szCs w:val="20"/>
        </w:rPr>
      </w:pPr>
      <w:r w:rsidRPr="00E421F4">
        <w:rPr>
          <w:rFonts w:ascii="Garamond" w:hAnsi="Garamond"/>
          <w:sz w:val="20"/>
          <w:szCs w:val="20"/>
        </w:rPr>
        <w:t>The implication is that, beneath self-reported subjectivities, there lies a deeper, shared, more stable undercurrent of meaning-making, in dialectic with the subjective surface and similarly a product of (collective) human endeavour, but less consciously available</w:t>
      </w:r>
      <w:r w:rsidR="00743A74" w:rsidRPr="00E421F4">
        <w:rPr>
          <w:rFonts w:ascii="Garamond" w:hAnsi="Garamond"/>
          <w:sz w:val="20"/>
          <w:szCs w:val="20"/>
        </w:rPr>
        <w:t xml:space="preserve"> (</w:t>
      </w:r>
      <w:proofErr w:type="spellStart"/>
      <w:r w:rsidR="00743A74" w:rsidRPr="00E421F4">
        <w:rPr>
          <w:rFonts w:ascii="Garamond" w:hAnsi="Garamond"/>
          <w:sz w:val="20"/>
          <w:szCs w:val="20"/>
        </w:rPr>
        <w:t>Elston</w:t>
      </w:r>
      <w:proofErr w:type="spellEnd"/>
      <w:r w:rsidR="00743A74" w:rsidRPr="00E421F4">
        <w:rPr>
          <w:rFonts w:ascii="Garamond" w:hAnsi="Garamond"/>
          <w:sz w:val="20"/>
          <w:szCs w:val="20"/>
        </w:rPr>
        <w:t>, 2014, p. 460)</w:t>
      </w:r>
      <w:r w:rsidRPr="00E421F4">
        <w:rPr>
          <w:rFonts w:ascii="Garamond" w:hAnsi="Garamond"/>
          <w:sz w:val="20"/>
          <w:szCs w:val="20"/>
        </w:rPr>
        <w:t>.</w:t>
      </w:r>
    </w:p>
    <w:p w14:paraId="573D2FAB" w14:textId="77777777" w:rsidR="00BC5ACE" w:rsidRPr="00E421F4" w:rsidRDefault="00BC5ACE" w:rsidP="00BC5ACE">
      <w:pPr>
        <w:spacing w:line="360" w:lineRule="auto"/>
        <w:rPr>
          <w:rFonts w:ascii="Garamond" w:hAnsi="Garamond"/>
        </w:rPr>
      </w:pPr>
    </w:p>
    <w:p w14:paraId="327250EE" w14:textId="7E262BEA" w:rsidR="002162B5" w:rsidRPr="00E421F4" w:rsidRDefault="00BC5ACE" w:rsidP="00BC5ACE">
      <w:pPr>
        <w:spacing w:line="360" w:lineRule="auto"/>
        <w:rPr>
          <w:rFonts w:ascii="Garamond" w:hAnsi="Garamond"/>
        </w:rPr>
      </w:pPr>
      <w:r w:rsidRPr="00E421F4">
        <w:rPr>
          <w:rFonts w:ascii="Garamond" w:hAnsi="Garamond"/>
        </w:rPr>
        <w:t xml:space="preserve">Most significantly, however, we show how these meanings and beliefs have changed over </w:t>
      </w:r>
      <w:r w:rsidRPr="00E421F4">
        <w:rPr>
          <w:rFonts w:ascii="Garamond" w:hAnsi="Garamond"/>
          <w:i/>
        </w:rPr>
        <w:t>time</w:t>
      </w:r>
      <w:r w:rsidR="00A61DA0" w:rsidRPr="00E421F4">
        <w:rPr>
          <w:rFonts w:ascii="Garamond" w:hAnsi="Garamond"/>
        </w:rPr>
        <w:t xml:space="preserve"> (</w:t>
      </w:r>
      <w:r w:rsidR="00942B81" w:rsidRPr="00E421F4">
        <w:rPr>
          <w:rFonts w:ascii="Garamond" w:hAnsi="Garamond"/>
        </w:rPr>
        <w:t xml:space="preserve">c.f. </w:t>
      </w:r>
      <w:r w:rsidR="00A61DA0" w:rsidRPr="00E421F4">
        <w:rPr>
          <w:rFonts w:ascii="Garamond" w:hAnsi="Garamond"/>
        </w:rPr>
        <w:t>Pollitt 2008)</w:t>
      </w:r>
      <w:r w:rsidR="00BE6942" w:rsidRPr="00E421F4">
        <w:rPr>
          <w:rFonts w:ascii="Garamond" w:hAnsi="Garamond"/>
        </w:rPr>
        <w:t>.</w:t>
      </w:r>
      <w:r w:rsidR="002162B5" w:rsidRPr="00E421F4">
        <w:rPr>
          <w:rFonts w:ascii="Garamond" w:hAnsi="Garamond"/>
        </w:rPr>
        <w:t xml:space="preserve"> </w:t>
      </w:r>
    </w:p>
    <w:p w14:paraId="413BC845" w14:textId="5FC3D9B0" w:rsidR="00625A26" w:rsidRPr="00E421F4" w:rsidRDefault="002162B5" w:rsidP="004659BA">
      <w:pPr>
        <w:spacing w:line="360" w:lineRule="auto"/>
        <w:rPr>
          <w:rFonts w:ascii="Garamond" w:hAnsi="Garamond"/>
        </w:rPr>
      </w:pPr>
      <w:r w:rsidRPr="00E421F4">
        <w:rPr>
          <w:rFonts w:ascii="Garamond" w:hAnsi="Garamond"/>
        </w:rPr>
        <w:tab/>
      </w:r>
      <w:r w:rsidR="00D55563" w:rsidRPr="00E421F4">
        <w:rPr>
          <w:rFonts w:ascii="Garamond" w:hAnsi="Garamond"/>
        </w:rPr>
        <w:t>A</w:t>
      </w:r>
      <w:r w:rsidR="008D2BB4" w:rsidRPr="00E421F4">
        <w:rPr>
          <w:rFonts w:ascii="Garamond" w:hAnsi="Garamond"/>
        </w:rPr>
        <w:t xml:space="preserve"> key disjuncture between the mainstream termination literature and recent interpretive studies is that the former tends to </w:t>
      </w:r>
      <w:r w:rsidR="00EC3536" w:rsidRPr="00E421F4">
        <w:rPr>
          <w:rFonts w:ascii="Garamond" w:hAnsi="Garamond"/>
        </w:rPr>
        <w:t xml:space="preserve">provide for </w:t>
      </w:r>
      <w:r w:rsidR="008D2BB4" w:rsidRPr="00E421F4">
        <w:rPr>
          <w:rFonts w:ascii="Garamond" w:hAnsi="Garamond"/>
        </w:rPr>
        <w:t xml:space="preserve">a much greater role </w:t>
      </w:r>
      <w:r w:rsidRPr="00E421F4">
        <w:rPr>
          <w:rFonts w:ascii="Garamond" w:hAnsi="Garamond"/>
        </w:rPr>
        <w:t>for</w:t>
      </w:r>
      <w:r w:rsidR="008D2BB4" w:rsidRPr="00E421F4">
        <w:rPr>
          <w:rFonts w:ascii="Garamond" w:hAnsi="Garamond"/>
        </w:rPr>
        <w:t xml:space="preserve"> temporality. </w:t>
      </w:r>
      <w:r w:rsidR="00625A26" w:rsidRPr="00E421F4">
        <w:rPr>
          <w:rFonts w:ascii="Garamond" w:hAnsi="Garamond"/>
        </w:rPr>
        <w:t xml:space="preserve">Our case </w:t>
      </w:r>
      <w:r w:rsidR="008D2BB4" w:rsidRPr="00E421F4">
        <w:rPr>
          <w:rFonts w:ascii="Garamond" w:hAnsi="Garamond"/>
        </w:rPr>
        <w:t>selection counters what is at present a</w:t>
      </w:r>
      <w:r w:rsidR="00D55563" w:rsidRPr="00E421F4">
        <w:rPr>
          <w:rFonts w:ascii="Garamond" w:hAnsi="Garamond"/>
        </w:rPr>
        <w:t xml:space="preserve"> common</w:t>
      </w:r>
      <w:r w:rsidR="008D2BB4" w:rsidRPr="00E421F4">
        <w:rPr>
          <w:rFonts w:ascii="Garamond" w:hAnsi="Garamond"/>
        </w:rPr>
        <w:t xml:space="preserve"> weakness of interpretive studies in two ways: First, our case – the Australian aid </w:t>
      </w:r>
      <w:r w:rsidR="00EC3536" w:rsidRPr="00E421F4">
        <w:rPr>
          <w:rFonts w:ascii="Garamond" w:hAnsi="Garamond"/>
        </w:rPr>
        <w:t>agency</w:t>
      </w:r>
      <w:r w:rsidR="008D2BB4" w:rsidRPr="00E421F4">
        <w:rPr>
          <w:rFonts w:ascii="Garamond" w:hAnsi="Garamond"/>
        </w:rPr>
        <w:t xml:space="preserve"> – </w:t>
      </w:r>
      <w:r w:rsidR="00625A26" w:rsidRPr="00E421F4">
        <w:rPr>
          <w:rFonts w:ascii="Garamond" w:hAnsi="Garamond"/>
        </w:rPr>
        <w:t xml:space="preserve">is significant because it </w:t>
      </w:r>
      <w:r w:rsidRPr="00E421F4">
        <w:rPr>
          <w:rFonts w:ascii="Garamond" w:hAnsi="Garamond"/>
        </w:rPr>
        <w:t>was</w:t>
      </w:r>
      <w:r w:rsidR="00625A26" w:rsidRPr="00E421F4">
        <w:rPr>
          <w:rFonts w:ascii="Garamond" w:hAnsi="Garamond"/>
        </w:rPr>
        <w:t xml:space="preserve"> </w:t>
      </w:r>
      <w:r w:rsidR="00014B29" w:rsidRPr="00E421F4">
        <w:rPr>
          <w:rFonts w:ascii="Garamond" w:hAnsi="Garamond"/>
        </w:rPr>
        <w:t>partly terminated in 1976, re-established and the</w:t>
      </w:r>
      <w:r w:rsidR="00EC3536" w:rsidRPr="00E421F4">
        <w:rPr>
          <w:rFonts w:ascii="Garamond" w:hAnsi="Garamond"/>
        </w:rPr>
        <w:t>n</w:t>
      </w:r>
      <w:r w:rsidR="00014B29" w:rsidRPr="00E421F4">
        <w:rPr>
          <w:rFonts w:ascii="Garamond" w:hAnsi="Garamond"/>
        </w:rPr>
        <w:t xml:space="preserve"> fully terminated in 2013</w:t>
      </w:r>
      <w:r w:rsidR="00625A26" w:rsidRPr="00E421F4">
        <w:rPr>
          <w:rFonts w:ascii="Garamond" w:hAnsi="Garamond"/>
        </w:rPr>
        <w:t xml:space="preserve">. Importantly, these abolitions </w:t>
      </w:r>
      <w:r w:rsidR="00A266B4" w:rsidRPr="00E421F4">
        <w:rPr>
          <w:rFonts w:ascii="Garamond" w:hAnsi="Garamond"/>
        </w:rPr>
        <w:t>we</w:t>
      </w:r>
      <w:r w:rsidR="00625A26" w:rsidRPr="00E421F4">
        <w:rPr>
          <w:rFonts w:ascii="Garamond" w:hAnsi="Garamond"/>
        </w:rPr>
        <w:t xml:space="preserve">re separated by a large period of time, and thus do not conform to the typical inverted U-shaped </w:t>
      </w:r>
      <w:r w:rsidR="00625A26" w:rsidRPr="00E421F4">
        <w:rPr>
          <w:rFonts w:ascii="Garamond" w:hAnsi="Garamond"/>
        </w:rPr>
        <w:lastRenderedPageBreak/>
        <w:t xml:space="preserve">survival model advanced by recent termination scholars. And, because Australia is typically seen as an outlier in the broader </w:t>
      </w:r>
      <w:proofErr w:type="spellStart"/>
      <w:r w:rsidR="00625A26" w:rsidRPr="00E421F4">
        <w:rPr>
          <w:rFonts w:ascii="Garamond" w:hAnsi="Garamond"/>
        </w:rPr>
        <w:t>agencification</w:t>
      </w:r>
      <w:proofErr w:type="spellEnd"/>
      <w:r w:rsidR="00625A26" w:rsidRPr="00E421F4">
        <w:rPr>
          <w:rFonts w:ascii="Garamond" w:hAnsi="Garamond"/>
        </w:rPr>
        <w:t xml:space="preserve"> debates</w:t>
      </w:r>
      <w:r w:rsidR="000654F6" w:rsidRPr="00E421F4">
        <w:rPr>
          <w:rFonts w:ascii="Garamond" w:hAnsi="Garamond"/>
        </w:rPr>
        <w:t xml:space="preserve"> (</w:t>
      </w:r>
      <w:proofErr w:type="spellStart"/>
      <w:r w:rsidR="000654F6" w:rsidRPr="00E421F4">
        <w:rPr>
          <w:rFonts w:ascii="Garamond" w:hAnsi="Garamond"/>
        </w:rPr>
        <w:t>Wettenhall</w:t>
      </w:r>
      <w:proofErr w:type="spellEnd"/>
      <w:r w:rsidR="000654F6" w:rsidRPr="00E421F4">
        <w:rPr>
          <w:rFonts w:ascii="Garamond" w:hAnsi="Garamond"/>
        </w:rPr>
        <w:t xml:space="preserve"> 2007)</w:t>
      </w:r>
      <w:r w:rsidR="00625A26" w:rsidRPr="00E421F4">
        <w:rPr>
          <w:rFonts w:ascii="Garamond" w:hAnsi="Garamond"/>
        </w:rPr>
        <w:t xml:space="preserve">, the termination story cannot be explained away as an inevitable product of NPM trends. </w:t>
      </w:r>
      <w:r w:rsidR="008D2BB4" w:rsidRPr="00E421F4">
        <w:rPr>
          <w:rFonts w:ascii="Garamond" w:hAnsi="Garamond"/>
        </w:rPr>
        <w:t>In this sense</w:t>
      </w:r>
      <w:r w:rsidR="00625A26" w:rsidRPr="00E421F4">
        <w:rPr>
          <w:rFonts w:ascii="Garamond" w:hAnsi="Garamond"/>
        </w:rPr>
        <w:t>, development policy has intrinsic value for termination scholars as aid agencies across the world tend to share a similarly tenuous existence. In Canada, CIDA was abolished in 2013 despite existing since 1966</w:t>
      </w:r>
      <w:r w:rsidR="00A266B4" w:rsidRPr="00E421F4">
        <w:rPr>
          <w:rFonts w:ascii="Garamond" w:hAnsi="Garamond"/>
        </w:rPr>
        <w:t>,</w:t>
      </w:r>
      <w:r w:rsidR="00625A26" w:rsidRPr="00E421F4">
        <w:rPr>
          <w:rFonts w:ascii="Garamond" w:hAnsi="Garamond"/>
        </w:rPr>
        <w:t xml:space="preserve"> while in New Zealand NZAID was terminated in 2009. USAID has faced repeated termination attempts and has at various times had its functions integrated within the State Department.</w:t>
      </w:r>
      <w:r w:rsidR="00625A26" w:rsidRPr="00E421F4">
        <w:rPr>
          <w:rStyle w:val="FootnoteReference"/>
          <w:rFonts w:ascii="Garamond" w:hAnsi="Garamond"/>
        </w:rPr>
        <w:footnoteReference w:id="1"/>
      </w:r>
      <w:r w:rsidR="00625A26" w:rsidRPr="00E421F4">
        <w:rPr>
          <w:rFonts w:ascii="Garamond" w:hAnsi="Garamond"/>
        </w:rPr>
        <w:t xml:space="preserve"> One reason for this tenuous existence is that foreign aid is an extremely discretionary area of government spending with shallow domestic political support. That is, citizens want their government to give aid but they do not want them to give too much nor do they want aid to be prioritised over domestic policy areas</w:t>
      </w:r>
      <w:r w:rsidR="00E421F4" w:rsidRPr="00E421F4">
        <w:rPr>
          <w:rFonts w:ascii="Garamond" w:hAnsi="Garamond"/>
        </w:rPr>
        <w:t xml:space="preserve"> (Corbett, forthcoming</w:t>
      </w:r>
      <w:r w:rsidR="000654F6" w:rsidRPr="00E421F4">
        <w:rPr>
          <w:rFonts w:ascii="Garamond" w:hAnsi="Garamond"/>
        </w:rPr>
        <w:t>)</w:t>
      </w:r>
      <w:r w:rsidR="00625A26" w:rsidRPr="00E421F4">
        <w:rPr>
          <w:rFonts w:ascii="Garamond" w:hAnsi="Garamond"/>
        </w:rPr>
        <w:t xml:space="preserve">. As a result, aid has proven to be particularly vulnerable to campaigns for bureaucratic rationalisation. The perpetually tenuous existence </w:t>
      </w:r>
      <w:r w:rsidR="008D2BB4" w:rsidRPr="00E421F4">
        <w:rPr>
          <w:rFonts w:ascii="Garamond" w:hAnsi="Garamond"/>
        </w:rPr>
        <w:t xml:space="preserve">of aid </w:t>
      </w:r>
      <w:r w:rsidR="00625A26" w:rsidRPr="00E421F4">
        <w:rPr>
          <w:rFonts w:ascii="Garamond" w:hAnsi="Garamond"/>
        </w:rPr>
        <w:t xml:space="preserve">is what makes this case </w:t>
      </w:r>
      <w:r w:rsidR="008D2BB4" w:rsidRPr="00E421F4">
        <w:rPr>
          <w:rFonts w:ascii="Garamond" w:hAnsi="Garamond"/>
        </w:rPr>
        <w:t xml:space="preserve">so valuable for </w:t>
      </w:r>
      <w:r w:rsidR="00625A26" w:rsidRPr="00E421F4">
        <w:rPr>
          <w:rFonts w:ascii="Garamond" w:hAnsi="Garamond"/>
        </w:rPr>
        <w:t xml:space="preserve">debates about termination. </w:t>
      </w:r>
    </w:p>
    <w:p w14:paraId="6C467AC0" w14:textId="7F8E6147" w:rsidR="00BC5ACE" w:rsidRPr="00E421F4" w:rsidRDefault="00BC5ACE" w:rsidP="00BC5ACE">
      <w:pPr>
        <w:spacing w:line="360" w:lineRule="auto"/>
        <w:rPr>
          <w:rFonts w:ascii="Garamond" w:hAnsi="Garamond"/>
        </w:rPr>
      </w:pPr>
      <w:r w:rsidRPr="00E421F4">
        <w:rPr>
          <w:rFonts w:ascii="Garamond" w:hAnsi="Garamond"/>
        </w:rPr>
        <w:tab/>
      </w:r>
      <w:r w:rsidR="008D2BB4" w:rsidRPr="00E421F4">
        <w:rPr>
          <w:rFonts w:ascii="Garamond" w:hAnsi="Garamond"/>
        </w:rPr>
        <w:t xml:space="preserve">The second means by which our study incorporates the temporal dimension is via its data collection methods.  Echoing the precepts of interpretive research we collected multiple types of data, including </w:t>
      </w:r>
      <w:r w:rsidR="00750997" w:rsidRPr="00E421F4">
        <w:rPr>
          <w:rFonts w:ascii="Garamond" w:hAnsi="Garamond"/>
        </w:rPr>
        <w:t xml:space="preserve">more than 50 in-depth interviews with ministers and senior agency administrators conducted during 2014-15, </w:t>
      </w:r>
      <w:r w:rsidRPr="00E421F4">
        <w:rPr>
          <w:rFonts w:ascii="Garamond" w:hAnsi="Garamond"/>
        </w:rPr>
        <w:t>archival material (especially Cabinet documents for the period 1972-1989</w:t>
      </w:r>
      <w:r w:rsidR="00750997" w:rsidRPr="00E421F4">
        <w:rPr>
          <w:rFonts w:ascii="Garamond" w:hAnsi="Garamond"/>
        </w:rPr>
        <w:t xml:space="preserve"> but also personal correspondence</w:t>
      </w:r>
      <w:r w:rsidRPr="00E421F4">
        <w:rPr>
          <w:rFonts w:ascii="Garamond" w:hAnsi="Garamond"/>
        </w:rPr>
        <w:t xml:space="preserve">), </w:t>
      </w:r>
      <w:r w:rsidR="00750997" w:rsidRPr="00E421F4">
        <w:rPr>
          <w:rFonts w:ascii="Garamond" w:hAnsi="Garamond"/>
        </w:rPr>
        <w:t xml:space="preserve">and </w:t>
      </w:r>
      <w:r w:rsidRPr="00E421F4">
        <w:rPr>
          <w:rFonts w:ascii="Garamond" w:hAnsi="Garamond"/>
        </w:rPr>
        <w:t>publically available sources</w:t>
      </w:r>
      <w:r w:rsidR="008D2BB4" w:rsidRPr="00E421F4">
        <w:rPr>
          <w:rFonts w:ascii="Garamond" w:hAnsi="Garamond"/>
        </w:rPr>
        <w:t xml:space="preserve"> (contemporary newspaper reporting</w:t>
      </w:r>
      <w:r w:rsidR="00750997" w:rsidRPr="00E421F4">
        <w:rPr>
          <w:rFonts w:ascii="Garamond" w:hAnsi="Garamond"/>
        </w:rPr>
        <w:t>, parliamentary debates, reports and program evaluations and reviews etc.).</w:t>
      </w:r>
      <w:r w:rsidR="00DF1286" w:rsidRPr="00DF1286">
        <w:rPr>
          <w:rStyle w:val="FootnoteReference"/>
          <w:rFonts w:ascii="Garamond" w:hAnsi="Garamond"/>
        </w:rPr>
        <w:t xml:space="preserve"> </w:t>
      </w:r>
      <w:r w:rsidR="00DF1286" w:rsidRPr="00E421F4">
        <w:rPr>
          <w:rStyle w:val="FootnoteReference"/>
          <w:rFonts w:ascii="Garamond" w:hAnsi="Garamond"/>
        </w:rPr>
        <w:footnoteReference w:id="2"/>
      </w:r>
      <w:r w:rsidRPr="00E421F4">
        <w:rPr>
          <w:rFonts w:ascii="Garamond" w:hAnsi="Garamond"/>
        </w:rPr>
        <w:t xml:space="preserve"> These sources allowed us to probe the way actors within the agency sought to guard against termination</w:t>
      </w:r>
      <w:r w:rsidR="00750997" w:rsidRPr="00E421F4">
        <w:rPr>
          <w:rFonts w:ascii="Garamond" w:hAnsi="Garamond"/>
        </w:rPr>
        <w:t>,</w:t>
      </w:r>
      <w:r w:rsidRPr="00E421F4">
        <w:rPr>
          <w:rFonts w:ascii="Garamond" w:hAnsi="Garamond"/>
        </w:rPr>
        <w:t xml:space="preserve"> and how their efforts were received.</w:t>
      </w:r>
      <w:r w:rsidR="00750997" w:rsidRPr="00E421F4">
        <w:rPr>
          <w:rStyle w:val="FootnoteReference"/>
          <w:rFonts w:ascii="Garamond" w:hAnsi="Garamond"/>
        </w:rPr>
        <w:footnoteReference w:id="3"/>
      </w:r>
      <w:r w:rsidRPr="00E421F4">
        <w:rPr>
          <w:rFonts w:ascii="Garamond" w:hAnsi="Garamond"/>
        </w:rPr>
        <w:t xml:space="preserve"> </w:t>
      </w:r>
      <w:r w:rsidR="00750997" w:rsidRPr="00E421F4">
        <w:rPr>
          <w:rFonts w:ascii="Garamond" w:hAnsi="Garamond"/>
        </w:rPr>
        <w:t>While these sources allow us to add an historical dimension to the story</w:t>
      </w:r>
      <w:r w:rsidR="00731EE3" w:rsidRPr="00E421F4">
        <w:rPr>
          <w:rFonts w:ascii="Garamond" w:hAnsi="Garamond"/>
        </w:rPr>
        <w:t>,</w:t>
      </w:r>
      <w:r w:rsidR="00750997" w:rsidRPr="00E421F4">
        <w:rPr>
          <w:rFonts w:ascii="Garamond" w:hAnsi="Garamond"/>
        </w:rPr>
        <w:t xml:space="preserve"> they remain problematic for interpretive scholars as present day reflections of actors about termination have been crucially shaped by the most recent </w:t>
      </w:r>
      <w:r w:rsidR="000654F6" w:rsidRPr="00E421F4">
        <w:rPr>
          <w:rFonts w:ascii="Garamond" w:hAnsi="Garamond"/>
        </w:rPr>
        <w:t xml:space="preserve">(2013) </w:t>
      </w:r>
      <w:r w:rsidR="00750997" w:rsidRPr="00E421F4">
        <w:rPr>
          <w:rFonts w:ascii="Garamond" w:hAnsi="Garamond"/>
        </w:rPr>
        <w:t xml:space="preserve">abolition. In one sense, this aided reflection as the whole issue of termination and survival was front of mind. But, in order to </w:t>
      </w:r>
      <w:r w:rsidR="000654F6" w:rsidRPr="00E421F4">
        <w:rPr>
          <w:rFonts w:ascii="Garamond" w:hAnsi="Garamond"/>
        </w:rPr>
        <w:t>gain</w:t>
      </w:r>
      <w:r w:rsidR="00750997" w:rsidRPr="00E421F4">
        <w:rPr>
          <w:rFonts w:ascii="Garamond" w:hAnsi="Garamond"/>
        </w:rPr>
        <w:t xml:space="preserve"> an insight into how these same actors interpreted the meaning of size </w:t>
      </w:r>
      <w:r w:rsidR="00750997" w:rsidRPr="00E421F4">
        <w:rPr>
          <w:rFonts w:ascii="Garamond" w:hAnsi="Garamond"/>
          <w:i/>
        </w:rPr>
        <w:t xml:space="preserve">at the time </w:t>
      </w:r>
      <w:r w:rsidR="00750997" w:rsidRPr="00E421F4">
        <w:rPr>
          <w:rFonts w:ascii="Garamond" w:hAnsi="Garamond"/>
        </w:rPr>
        <w:t>we also drew on interviews conducted under the auspices of the National Library of Australia’s oral history project, and the autobiographies and diaries of key actors. The result is a comprehensive survey of how the meaning of size has changed over</w:t>
      </w:r>
      <w:r w:rsidR="00966C65" w:rsidRPr="00E421F4">
        <w:rPr>
          <w:rFonts w:ascii="Garamond" w:hAnsi="Garamond"/>
        </w:rPr>
        <w:t xml:space="preserve"> </w:t>
      </w:r>
      <w:r w:rsidR="00750997" w:rsidRPr="00E421F4">
        <w:rPr>
          <w:rFonts w:ascii="Garamond" w:hAnsi="Garamond"/>
        </w:rPr>
        <w:t xml:space="preserve">time and how this has been used to both strengthen and undermine the agency’s case for survival. </w:t>
      </w:r>
    </w:p>
    <w:p w14:paraId="39BB0C3C" w14:textId="77777777" w:rsidR="00EA3F4D" w:rsidRPr="00E421F4" w:rsidRDefault="00750997" w:rsidP="00966C65">
      <w:pPr>
        <w:spacing w:line="360" w:lineRule="auto"/>
        <w:ind w:firstLine="720"/>
        <w:rPr>
          <w:rFonts w:ascii="Garamond" w:hAnsi="Garamond"/>
        </w:rPr>
      </w:pPr>
      <w:r w:rsidRPr="00E421F4">
        <w:rPr>
          <w:rFonts w:ascii="Garamond" w:hAnsi="Garamond"/>
        </w:rPr>
        <w:lastRenderedPageBreak/>
        <w:t xml:space="preserve">Before we present this material it is important to acknowledge that we do not contend that size is the only variable affecting the termination story of the Australia aid agency. </w:t>
      </w:r>
      <w:r w:rsidR="00EF3998" w:rsidRPr="00E421F4">
        <w:rPr>
          <w:rFonts w:ascii="Garamond" w:hAnsi="Garamond"/>
        </w:rPr>
        <w:t>Echoing the precepts of our interpretive approach, we acknowledge that e</w:t>
      </w:r>
      <w:r w:rsidRPr="00E421F4">
        <w:rPr>
          <w:rFonts w:ascii="Garamond" w:hAnsi="Garamond"/>
        </w:rPr>
        <w:t xml:space="preserve">ach attempt to terminate the agency takes place in a particular context that includes a number of inter-related </w:t>
      </w:r>
      <w:r w:rsidR="00AE49BC" w:rsidRPr="00E421F4">
        <w:rPr>
          <w:rFonts w:ascii="Garamond" w:hAnsi="Garamond"/>
        </w:rPr>
        <w:t xml:space="preserve">policy </w:t>
      </w:r>
      <w:r w:rsidRPr="00E421F4">
        <w:rPr>
          <w:rFonts w:ascii="Garamond" w:hAnsi="Garamond"/>
        </w:rPr>
        <w:t xml:space="preserve">narratives, including </w:t>
      </w:r>
      <w:r w:rsidR="00AE49BC" w:rsidRPr="00E421F4">
        <w:rPr>
          <w:rFonts w:ascii="Garamond" w:hAnsi="Garamond"/>
        </w:rPr>
        <w:t xml:space="preserve">assessments of Australia’s fiscal condition, evaluations of the performance of the agency, foreign policy considerations </w:t>
      </w:r>
      <w:r w:rsidR="00966C65" w:rsidRPr="00E421F4">
        <w:rPr>
          <w:rFonts w:ascii="Garamond" w:hAnsi="Garamond"/>
        </w:rPr>
        <w:t>and so on</w:t>
      </w:r>
      <w:r w:rsidR="00AE49BC" w:rsidRPr="00E421F4">
        <w:rPr>
          <w:rFonts w:ascii="Garamond" w:hAnsi="Garamond"/>
        </w:rPr>
        <w:t>. Our aim is not to refute the importance of these alternate explanations but to show h</w:t>
      </w:r>
      <w:r w:rsidR="00502DD6" w:rsidRPr="00E421F4">
        <w:rPr>
          <w:rFonts w:ascii="Garamond" w:hAnsi="Garamond"/>
        </w:rPr>
        <w:t>ow each led</w:t>
      </w:r>
      <w:r w:rsidR="00EF3998" w:rsidRPr="00E421F4">
        <w:rPr>
          <w:rFonts w:ascii="Garamond" w:hAnsi="Garamond"/>
        </w:rPr>
        <w:t xml:space="preserve"> actors to make a judgement </w:t>
      </w:r>
      <w:r w:rsidR="00AE49BC" w:rsidRPr="00E421F4">
        <w:rPr>
          <w:rFonts w:ascii="Garamond" w:hAnsi="Garamond"/>
        </w:rPr>
        <w:t xml:space="preserve">about the </w:t>
      </w:r>
      <w:r w:rsidR="00AE49BC" w:rsidRPr="00E421F4">
        <w:rPr>
          <w:rFonts w:ascii="Garamond" w:hAnsi="Garamond"/>
          <w:i/>
        </w:rPr>
        <w:t xml:space="preserve">appropriate size of the aid </w:t>
      </w:r>
      <w:r w:rsidR="00966C65" w:rsidRPr="00E421F4">
        <w:rPr>
          <w:rFonts w:ascii="Garamond" w:hAnsi="Garamond"/>
          <w:i/>
        </w:rPr>
        <w:t>agency</w:t>
      </w:r>
      <w:r w:rsidR="00AE49BC" w:rsidRPr="00E421F4">
        <w:rPr>
          <w:rFonts w:ascii="Garamond" w:hAnsi="Garamond"/>
          <w:i/>
        </w:rPr>
        <w:t xml:space="preserve">. </w:t>
      </w:r>
      <w:r w:rsidR="00AE49BC" w:rsidRPr="00E421F4">
        <w:rPr>
          <w:rFonts w:ascii="Garamond" w:hAnsi="Garamond"/>
        </w:rPr>
        <w:t xml:space="preserve">In this sense every discussion about aid becomes an opportunity to </w:t>
      </w:r>
      <w:r w:rsidR="00EF3998" w:rsidRPr="00E421F4">
        <w:rPr>
          <w:rFonts w:ascii="Garamond" w:hAnsi="Garamond"/>
        </w:rPr>
        <w:t>question</w:t>
      </w:r>
      <w:r w:rsidR="00AE49BC" w:rsidRPr="00E421F4">
        <w:rPr>
          <w:rFonts w:ascii="Garamond" w:hAnsi="Garamond"/>
        </w:rPr>
        <w:t xml:space="preserve"> or reinforce (depending on whether the actor in question i</w:t>
      </w:r>
      <w:r w:rsidR="00966C65" w:rsidRPr="00E421F4">
        <w:rPr>
          <w:rFonts w:ascii="Garamond" w:hAnsi="Garamond"/>
        </w:rPr>
        <w:t>s a supporter or critic of the a</w:t>
      </w:r>
      <w:r w:rsidR="00AE49BC" w:rsidRPr="00E421F4">
        <w:rPr>
          <w:rFonts w:ascii="Garamond" w:hAnsi="Garamond"/>
        </w:rPr>
        <w:t xml:space="preserve">gency) a view </w:t>
      </w:r>
      <w:r w:rsidR="00EF3998" w:rsidRPr="00E421F4">
        <w:rPr>
          <w:rFonts w:ascii="Garamond" w:hAnsi="Garamond"/>
        </w:rPr>
        <w:t>of</w:t>
      </w:r>
      <w:r w:rsidR="00AE49BC" w:rsidRPr="00E421F4">
        <w:rPr>
          <w:rFonts w:ascii="Garamond" w:hAnsi="Garamond"/>
        </w:rPr>
        <w:t xml:space="preserve"> the agency’s </w:t>
      </w:r>
      <w:r w:rsidR="00731EE3" w:rsidRPr="00E421F4">
        <w:rPr>
          <w:rFonts w:ascii="Garamond" w:hAnsi="Garamond"/>
        </w:rPr>
        <w:t xml:space="preserve">perceived </w:t>
      </w:r>
      <w:r w:rsidR="00AE49BC" w:rsidRPr="00E421F4">
        <w:rPr>
          <w:rFonts w:ascii="Garamond" w:hAnsi="Garamond"/>
        </w:rPr>
        <w:t xml:space="preserve">size. </w:t>
      </w:r>
    </w:p>
    <w:p w14:paraId="112F54F3" w14:textId="77777777" w:rsidR="00EA3F4D" w:rsidRPr="00E421F4" w:rsidRDefault="00EA3F4D" w:rsidP="00966C65">
      <w:pPr>
        <w:spacing w:line="360" w:lineRule="auto"/>
        <w:ind w:firstLine="720"/>
        <w:rPr>
          <w:rFonts w:ascii="Garamond" w:hAnsi="Garamond"/>
        </w:rPr>
      </w:pPr>
    </w:p>
    <w:p w14:paraId="5FDA9E88" w14:textId="72D7F96C" w:rsidR="00EA3F4D" w:rsidRPr="00E421F4" w:rsidRDefault="00EA3F4D" w:rsidP="00EA3F4D">
      <w:pPr>
        <w:spacing w:line="360" w:lineRule="auto"/>
        <w:ind w:firstLine="720"/>
        <w:jc w:val="center"/>
        <w:rPr>
          <w:rFonts w:ascii="Garamond" w:hAnsi="Garamond"/>
        </w:rPr>
      </w:pPr>
      <w:r w:rsidRPr="00E421F4">
        <w:rPr>
          <w:rFonts w:ascii="Garamond" w:hAnsi="Garamond"/>
        </w:rPr>
        <w:t xml:space="preserve">&lt;INSERT TABLE </w:t>
      </w:r>
      <w:r w:rsidR="00F80DB6" w:rsidRPr="00E421F4">
        <w:rPr>
          <w:rFonts w:ascii="Garamond" w:hAnsi="Garamond"/>
        </w:rPr>
        <w:t>1</w:t>
      </w:r>
      <w:r w:rsidRPr="00E421F4">
        <w:rPr>
          <w:rFonts w:ascii="Garamond" w:hAnsi="Garamond"/>
        </w:rPr>
        <w:t xml:space="preserve"> ABOUT HERE&gt;</w:t>
      </w:r>
    </w:p>
    <w:p w14:paraId="6C82D778" w14:textId="77777777" w:rsidR="00EA3F4D" w:rsidRPr="00E421F4" w:rsidRDefault="00EA3F4D" w:rsidP="00EA3F4D">
      <w:pPr>
        <w:spacing w:line="360" w:lineRule="auto"/>
        <w:ind w:firstLine="720"/>
        <w:jc w:val="center"/>
        <w:rPr>
          <w:rFonts w:ascii="Garamond" w:hAnsi="Garamond"/>
        </w:rPr>
      </w:pPr>
    </w:p>
    <w:p w14:paraId="403C8F65" w14:textId="60E6599E" w:rsidR="008D2BB4" w:rsidRPr="00E421F4" w:rsidRDefault="00EF3998" w:rsidP="00EA3F4D">
      <w:pPr>
        <w:spacing w:line="360" w:lineRule="auto"/>
        <w:ind w:firstLine="720"/>
        <w:rPr>
          <w:rFonts w:ascii="Garamond" w:hAnsi="Garamond"/>
        </w:rPr>
      </w:pPr>
      <w:r w:rsidRPr="00E421F4">
        <w:rPr>
          <w:rFonts w:ascii="Garamond" w:hAnsi="Garamond"/>
        </w:rPr>
        <w:t>One consequence of this is that</w:t>
      </w:r>
      <w:r w:rsidR="00AE49BC" w:rsidRPr="00E421F4">
        <w:rPr>
          <w:rFonts w:ascii="Garamond" w:hAnsi="Garamond"/>
        </w:rPr>
        <w:t xml:space="preserve"> the </w:t>
      </w:r>
      <w:r w:rsidRPr="00E421F4">
        <w:rPr>
          <w:rFonts w:ascii="Garamond" w:hAnsi="Garamond"/>
        </w:rPr>
        <w:t xml:space="preserve">potential </w:t>
      </w:r>
      <w:r w:rsidR="00AE49BC" w:rsidRPr="00E421F4">
        <w:rPr>
          <w:rFonts w:ascii="Garamond" w:hAnsi="Garamond"/>
        </w:rPr>
        <w:t xml:space="preserve">number of empirical observations that could be brought to bear on this case </w:t>
      </w:r>
      <w:r w:rsidRPr="00E421F4">
        <w:rPr>
          <w:rFonts w:ascii="Garamond" w:hAnsi="Garamond"/>
        </w:rPr>
        <w:t>is</w:t>
      </w:r>
      <w:r w:rsidR="00AE49BC" w:rsidRPr="00E421F4">
        <w:rPr>
          <w:rFonts w:ascii="Garamond" w:hAnsi="Garamond"/>
        </w:rPr>
        <w:t xml:space="preserve"> virtually endless. We focus</w:t>
      </w:r>
      <w:r w:rsidR="00EA3F4D" w:rsidRPr="00E421F4">
        <w:rPr>
          <w:rFonts w:ascii="Garamond" w:hAnsi="Garamond"/>
        </w:rPr>
        <w:t xml:space="preserve">ed </w:t>
      </w:r>
      <w:r w:rsidR="00AE49BC" w:rsidRPr="00E421F4">
        <w:rPr>
          <w:rFonts w:ascii="Garamond" w:hAnsi="Garamond"/>
        </w:rPr>
        <w:t xml:space="preserve">on </w:t>
      </w:r>
      <w:r w:rsidR="00EA3F4D" w:rsidRPr="00E421F4">
        <w:rPr>
          <w:rFonts w:ascii="Garamond" w:hAnsi="Garamond"/>
        </w:rPr>
        <w:t>those which the actors involved saw as sig</w:t>
      </w:r>
      <w:r w:rsidR="00F80DB6" w:rsidRPr="00E421F4">
        <w:rPr>
          <w:rFonts w:ascii="Garamond" w:hAnsi="Garamond"/>
        </w:rPr>
        <w:t>nificant. As outlined in Table 1</w:t>
      </w:r>
      <w:r w:rsidR="00EA3F4D" w:rsidRPr="00E421F4">
        <w:rPr>
          <w:rFonts w:ascii="Garamond" w:hAnsi="Garamond"/>
        </w:rPr>
        <w:t xml:space="preserve">, they range from changes of government to program reviews and budget decisions. This is not an exhaustive list; administrators make daily decisions about the allocation of resources within both program and core budgets – about which countries should receive aid and the agency resources required to deliver it – that are affected by and in turn </w:t>
      </w:r>
      <w:r w:rsidR="009A512F" w:rsidRPr="00E421F4">
        <w:rPr>
          <w:rFonts w:ascii="Garamond" w:hAnsi="Garamond"/>
        </w:rPr>
        <w:t>a</w:t>
      </w:r>
      <w:r w:rsidR="00EA3F4D" w:rsidRPr="00E421F4">
        <w:rPr>
          <w:rFonts w:ascii="Garamond" w:hAnsi="Garamond"/>
        </w:rPr>
        <w:t xml:space="preserve">ffect </w:t>
      </w:r>
      <w:r w:rsidR="00390FB4" w:rsidRPr="00E421F4">
        <w:rPr>
          <w:rFonts w:ascii="Garamond" w:hAnsi="Garamond"/>
        </w:rPr>
        <w:t xml:space="preserve">perceived </w:t>
      </w:r>
      <w:r w:rsidR="00EA3F4D" w:rsidRPr="00E421F4">
        <w:rPr>
          <w:rFonts w:ascii="Garamond" w:hAnsi="Garamond"/>
        </w:rPr>
        <w:t>size. But</w:t>
      </w:r>
      <w:r w:rsidR="00390FB4" w:rsidRPr="00E421F4">
        <w:rPr>
          <w:rFonts w:ascii="Garamond" w:hAnsi="Garamond"/>
        </w:rPr>
        <w:t>, our empir</w:t>
      </w:r>
      <w:r w:rsidR="00BE6942" w:rsidRPr="00E421F4">
        <w:rPr>
          <w:rFonts w:ascii="Garamond" w:hAnsi="Garamond"/>
        </w:rPr>
        <w:t>ical</w:t>
      </w:r>
      <w:r w:rsidR="00390FB4" w:rsidRPr="00E421F4">
        <w:rPr>
          <w:rFonts w:ascii="Garamond" w:hAnsi="Garamond"/>
        </w:rPr>
        <w:t xml:space="preserve"> choices</w:t>
      </w:r>
      <w:r w:rsidR="00EA3F4D" w:rsidRPr="00E421F4">
        <w:rPr>
          <w:rFonts w:ascii="Garamond" w:hAnsi="Garamond"/>
        </w:rPr>
        <w:t xml:space="preserve"> do </w:t>
      </w:r>
      <w:r w:rsidR="00390FB4" w:rsidRPr="00E421F4">
        <w:rPr>
          <w:rFonts w:ascii="Garamond" w:hAnsi="Garamond"/>
        </w:rPr>
        <w:t>capture</w:t>
      </w:r>
      <w:r w:rsidR="00EA3F4D" w:rsidRPr="00E421F4">
        <w:rPr>
          <w:rFonts w:ascii="Garamond" w:hAnsi="Garamond"/>
        </w:rPr>
        <w:t xml:space="preserve"> the variety of ways that perceptions about size matter. </w:t>
      </w:r>
      <w:r w:rsidR="00390FB4" w:rsidRPr="00E421F4">
        <w:rPr>
          <w:rFonts w:ascii="Garamond" w:hAnsi="Garamond"/>
        </w:rPr>
        <w:t>In doing so we highlight that i</w:t>
      </w:r>
      <w:r w:rsidRPr="00E421F4">
        <w:rPr>
          <w:rFonts w:ascii="Garamond" w:hAnsi="Garamond"/>
        </w:rPr>
        <w:t xml:space="preserve">t is the ubiquity of questions about </w:t>
      </w:r>
      <w:r w:rsidR="000654F6" w:rsidRPr="00E421F4">
        <w:rPr>
          <w:rFonts w:ascii="Garamond" w:hAnsi="Garamond"/>
        </w:rPr>
        <w:t>perceived</w:t>
      </w:r>
      <w:r w:rsidRPr="00E421F4">
        <w:rPr>
          <w:rFonts w:ascii="Garamond" w:hAnsi="Garamond"/>
        </w:rPr>
        <w:t xml:space="preserve"> size that underscores its importance for scholars of termination. </w:t>
      </w:r>
    </w:p>
    <w:p w14:paraId="3E65DFAD" w14:textId="2A635733" w:rsidR="005D6712" w:rsidRPr="00E421F4" w:rsidRDefault="00EA3F4D" w:rsidP="005D6712">
      <w:pPr>
        <w:spacing w:line="360" w:lineRule="auto"/>
        <w:ind w:firstLine="720"/>
        <w:rPr>
          <w:rFonts w:ascii="Garamond" w:hAnsi="Garamond"/>
        </w:rPr>
      </w:pPr>
      <w:r w:rsidRPr="00E421F4">
        <w:rPr>
          <w:rFonts w:ascii="Garamond" w:hAnsi="Garamond"/>
        </w:rPr>
        <w:t xml:space="preserve">Finally, </w:t>
      </w:r>
      <w:r w:rsidR="00390FB4" w:rsidRPr="00E421F4">
        <w:rPr>
          <w:rFonts w:ascii="Garamond" w:hAnsi="Garamond"/>
        </w:rPr>
        <w:t xml:space="preserve">before we begin </w:t>
      </w:r>
      <w:r w:rsidRPr="00E421F4">
        <w:rPr>
          <w:rFonts w:ascii="Garamond" w:hAnsi="Garamond"/>
        </w:rPr>
        <w:t xml:space="preserve">it is important that we clearly outline what we mean by “mechanism” and in doing so differentiate our use of the term from </w:t>
      </w:r>
      <w:r w:rsidR="00320353" w:rsidRPr="00E421F4">
        <w:rPr>
          <w:rFonts w:ascii="Garamond" w:hAnsi="Garamond"/>
        </w:rPr>
        <w:t>how it is employed in</w:t>
      </w:r>
      <w:r w:rsidRPr="00E421F4">
        <w:rPr>
          <w:rFonts w:ascii="Garamond" w:hAnsi="Garamond"/>
        </w:rPr>
        <w:t xml:space="preserve"> the</w:t>
      </w:r>
      <w:r w:rsidR="00942B81" w:rsidRPr="00E421F4">
        <w:rPr>
          <w:rFonts w:ascii="Garamond" w:hAnsi="Garamond"/>
        </w:rPr>
        <w:t xml:space="preserve"> burgeoning </w:t>
      </w:r>
      <w:r w:rsidRPr="00E421F4">
        <w:rPr>
          <w:rFonts w:ascii="Garamond" w:hAnsi="Garamond"/>
        </w:rPr>
        <w:t>“process tracing” literature</w:t>
      </w:r>
      <w:r w:rsidR="00942B81" w:rsidRPr="00E421F4">
        <w:rPr>
          <w:rFonts w:ascii="Garamond" w:hAnsi="Garamond"/>
        </w:rPr>
        <w:t xml:space="preserve"> (see most recently Bennet and </w:t>
      </w:r>
      <w:proofErr w:type="spellStart"/>
      <w:r w:rsidR="00942B81" w:rsidRPr="00E421F4">
        <w:rPr>
          <w:rFonts w:ascii="Garamond" w:hAnsi="Garamond"/>
        </w:rPr>
        <w:t>Checkel</w:t>
      </w:r>
      <w:proofErr w:type="spellEnd"/>
      <w:r w:rsidR="00942B81" w:rsidRPr="00E421F4">
        <w:rPr>
          <w:rFonts w:ascii="Garamond" w:hAnsi="Garamond"/>
        </w:rPr>
        <w:t xml:space="preserve"> 2015)</w:t>
      </w:r>
      <w:r w:rsidRPr="00E421F4">
        <w:rPr>
          <w:rFonts w:ascii="Garamond" w:hAnsi="Garamond"/>
        </w:rPr>
        <w:t xml:space="preserve">. Following </w:t>
      </w:r>
      <w:proofErr w:type="spellStart"/>
      <w:r w:rsidRPr="00E421F4">
        <w:rPr>
          <w:rFonts w:ascii="Garamond" w:hAnsi="Garamond"/>
        </w:rPr>
        <w:t>Bev</w:t>
      </w:r>
      <w:r w:rsidR="007A47AB" w:rsidRPr="00E421F4">
        <w:rPr>
          <w:rFonts w:ascii="Garamond" w:hAnsi="Garamond"/>
        </w:rPr>
        <w:t>ir</w:t>
      </w:r>
      <w:proofErr w:type="spellEnd"/>
      <w:r w:rsidR="007A47AB" w:rsidRPr="00E421F4">
        <w:rPr>
          <w:rFonts w:ascii="Garamond" w:hAnsi="Garamond"/>
        </w:rPr>
        <w:t xml:space="preserve"> and Rhodes (2003; 2010), for interp</w:t>
      </w:r>
      <w:r w:rsidR="005D6712" w:rsidRPr="00E421F4">
        <w:rPr>
          <w:rFonts w:ascii="Garamond" w:hAnsi="Garamond"/>
        </w:rPr>
        <w:t>r</w:t>
      </w:r>
      <w:r w:rsidR="007A47AB" w:rsidRPr="00E421F4">
        <w:rPr>
          <w:rFonts w:ascii="Garamond" w:hAnsi="Garamond"/>
        </w:rPr>
        <w:t>etivis</w:t>
      </w:r>
      <w:r w:rsidRPr="00E421F4">
        <w:rPr>
          <w:rFonts w:ascii="Garamond" w:hAnsi="Garamond"/>
        </w:rPr>
        <w:t xml:space="preserve">ts the </w:t>
      </w:r>
      <w:r w:rsidR="00320353" w:rsidRPr="00E421F4">
        <w:rPr>
          <w:rFonts w:ascii="Garamond" w:hAnsi="Garamond"/>
        </w:rPr>
        <w:t>fundamental</w:t>
      </w:r>
      <w:r w:rsidRPr="00E421F4">
        <w:rPr>
          <w:rFonts w:ascii="Garamond" w:hAnsi="Garamond"/>
        </w:rPr>
        <w:t xml:space="preserve"> unit of analysis are the meanings and beliefs of situated agents. So, to understand why decisions are taken we must pay attention to the explanations of actors and the traditions they draw upon to make sense of what they do. But, unlike </w:t>
      </w:r>
      <w:r w:rsidR="00942B81" w:rsidRPr="00E421F4">
        <w:rPr>
          <w:rFonts w:ascii="Garamond" w:hAnsi="Garamond"/>
        </w:rPr>
        <w:t xml:space="preserve">Bennet and </w:t>
      </w:r>
      <w:proofErr w:type="spellStart"/>
      <w:r w:rsidR="00942B81" w:rsidRPr="00E421F4">
        <w:rPr>
          <w:rFonts w:ascii="Garamond" w:hAnsi="Garamond"/>
        </w:rPr>
        <w:t>Checkel’s</w:t>
      </w:r>
      <w:proofErr w:type="spellEnd"/>
      <w:r w:rsidR="00942B81" w:rsidRPr="00E421F4">
        <w:rPr>
          <w:rFonts w:ascii="Garamond" w:hAnsi="Garamond"/>
        </w:rPr>
        <w:t xml:space="preserve"> (2015) version of </w:t>
      </w:r>
      <w:r w:rsidRPr="00E421F4">
        <w:rPr>
          <w:rFonts w:ascii="Garamond" w:hAnsi="Garamond"/>
        </w:rPr>
        <w:t>process tracing</w:t>
      </w:r>
      <w:r w:rsidR="00320353" w:rsidRPr="00E421F4">
        <w:rPr>
          <w:rFonts w:ascii="Garamond" w:hAnsi="Garamond"/>
        </w:rPr>
        <w:t xml:space="preserve"> (</w:t>
      </w:r>
      <w:r w:rsidR="005D6712" w:rsidRPr="00E421F4">
        <w:rPr>
          <w:rFonts w:ascii="Garamond" w:hAnsi="Garamond"/>
        </w:rPr>
        <w:t xml:space="preserve">but see </w:t>
      </w:r>
      <w:proofErr w:type="spellStart"/>
      <w:r w:rsidR="005D6712" w:rsidRPr="00E421F4">
        <w:rPr>
          <w:rFonts w:ascii="Garamond" w:hAnsi="Garamond"/>
        </w:rPr>
        <w:t>Pouliot</w:t>
      </w:r>
      <w:proofErr w:type="spellEnd"/>
      <w:r w:rsidR="005D6712" w:rsidRPr="00E421F4">
        <w:rPr>
          <w:rFonts w:ascii="Garamond" w:hAnsi="Garamond"/>
        </w:rPr>
        <w:t xml:space="preserve"> 2015 and </w:t>
      </w:r>
      <w:proofErr w:type="spellStart"/>
      <w:r w:rsidR="00942B81" w:rsidRPr="00E421F4">
        <w:rPr>
          <w:rFonts w:ascii="Garamond" w:hAnsi="Garamond"/>
        </w:rPr>
        <w:t>Trampusch</w:t>
      </w:r>
      <w:proofErr w:type="spellEnd"/>
      <w:r w:rsidR="00942B81" w:rsidRPr="00E421F4">
        <w:rPr>
          <w:rFonts w:ascii="Garamond" w:hAnsi="Garamond"/>
        </w:rPr>
        <w:t xml:space="preserve"> and </w:t>
      </w:r>
      <w:proofErr w:type="spellStart"/>
      <w:r w:rsidR="00942B81" w:rsidRPr="00E421F4">
        <w:rPr>
          <w:rFonts w:ascii="Garamond" w:hAnsi="Garamond"/>
        </w:rPr>
        <w:t>Palier</w:t>
      </w:r>
      <w:proofErr w:type="spellEnd"/>
      <w:r w:rsidR="00942B81" w:rsidRPr="00E421F4">
        <w:rPr>
          <w:rFonts w:ascii="Garamond" w:hAnsi="Garamond"/>
        </w:rPr>
        <w:t xml:space="preserve"> 2016 for a broader conceptualisation that better fits our application)</w:t>
      </w:r>
      <w:r w:rsidRPr="00E421F4">
        <w:rPr>
          <w:rFonts w:ascii="Garamond" w:hAnsi="Garamond"/>
        </w:rPr>
        <w:t xml:space="preserve">, traditions are not path determining. They are discursive repertoires that </w:t>
      </w:r>
      <w:r w:rsidR="00320353" w:rsidRPr="00E421F4">
        <w:rPr>
          <w:rFonts w:ascii="Garamond" w:hAnsi="Garamond"/>
        </w:rPr>
        <w:t xml:space="preserve">can and do change. And, again, unlike </w:t>
      </w:r>
      <w:r w:rsidR="00942B81" w:rsidRPr="00E421F4">
        <w:rPr>
          <w:rFonts w:ascii="Garamond" w:hAnsi="Garamond"/>
        </w:rPr>
        <w:t xml:space="preserve">Bennet and </w:t>
      </w:r>
      <w:proofErr w:type="spellStart"/>
      <w:r w:rsidR="00942B81" w:rsidRPr="00E421F4">
        <w:rPr>
          <w:rFonts w:ascii="Garamond" w:hAnsi="Garamond"/>
        </w:rPr>
        <w:t>Checkel’s</w:t>
      </w:r>
      <w:proofErr w:type="spellEnd"/>
      <w:r w:rsidR="00942B81" w:rsidRPr="00E421F4">
        <w:rPr>
          <w:rFonts w:ascii="Garamond" w:hAnsi="Garamond"/>
        </w:rPr>
        <w:t xml:space="preserve"> (2015) </w:t>
      </w:r>
      <w:r w:rsidR="00320353" w:rsidRPr="00E421F4">
        <w:rPr>
          <w:rFonts w:ascii="Garamond" w:hAnsi="Garamond"/>
        </w:rPr>
        <w:t xml:space="preserve">process tracing, these changes can be </w:t>
      </w:r>
      <w:r w:rsidR="00320353" w:rsidRPr="00E421F4">
        <w:rPr>
          <w:rFonts w:ascii="Garamond" w:hAnsi="Garamond"/>
          <w:i/>
        </w:rPr>
        <w:t>both</w:t>
      </w:r>
      <w:r w:rsidR="00320353" w:rsidRPr="00E421F4">
        <w:rPr>
          <w:rFonts w:ascii="Garamond" w:hAnsi="Garamond"/>
        </w:rPr>
        <w:t xml:space="preserve"> exogenous </w:t>
      </w:r>
      <w:r w:rsidR="007A47AB" w:rsidRPr="00E421F4">
        <w:rPr>
          <w:rFonts w:ascii="Garamond" w:hAnsi="Garamond"/>
        </w:rPr>
        <w:t xml:space="preserve">(e.g. a change of government or a natural disaster) </w:t>
      </w:r>
      <w:r w:rsidR="00320353" w:rsidRPr="00E421F4">
        <w:rPr>
          <w:rFonts w:ascii="Garamond" w:hAnsi="Garamond"/>
        </w:rPr>
        <w:t xml:space="preserve">and endogenous </w:t>
      </w:r>
      <w:r w:rsidR="007A47AB" w:rsidRPr="00E421F4">
        <w:rPr>
          <w:rFonts w:ascii="Garamond" w:hAnsi="Garamond"/>
        </w:rPr>
        <w:t xml:space="preserve">(e.g. a government review or change of minister) </w:t>
      </w:r>
      <w:r w:rsidR="00320353" w:rsidRPr="00E421F4">
        <w:rPr>
          <w:rFonts w:ascii="Garamond" w:hAnsi="Garamond"/>
        </w:rPr>
        <w:t xml:space="preserve">because they are initiated in response to the dilemmas </w:t>
      </w:r>
      <w:r w:rsidR="005D6712" w:rsidRPr="00E421F4">
        <w:rPr>
          <w:rFonts w:ascii="Garamond" w:hAnsi="Garamond"/>
        </w:rPr>
        <w:t xml:space="preserve">actors face when </w:t>
      </w:r>
      <w:r w:rsidR="00E421F4" w:rsidRPr="00E421F4">
        <w:rPr>
          <w:rFonts w:ascii="Garamond" w:hAnsi="Garamond"/>
        </w:rPr>
        <w:lastRenderedPageBreak/>
        <w:t>seeking to govern</w:t>
      </w:r>
      <w:r w:rsidR="00320353" w:rsidRPr="00E421F4">
        <w:rPr>
          <w:rFonts w:ascii="Garamond" w:hAnsi="Garamond"/>
        </w:rPr>
        <w:t>. So, for interpretivists “mechanisms” are akin to practices (</w:t>
      </w:r>
      <w:proofErr w:type="spellStart"/>
      <w:r w:rsidR="00320353" w:rsidRPr="00E421F4">
        <w:rPr>
          <w:rFonts w:ascii="Garamond" w:hAnsi="Garamond"/>
        </w:rPr>
        <w:t>Pouliot</w:t>
      </w:r>
      <w:proofErr w:type="spellEnd"/>
      <w:r w:rsidR="00320353" w:rsidRPr="00E421F4">
        <w:rPr>
          <w:rFonts w:ascii="Garamond" w:hAnsi="Garamond"/>
        </w:rPr>
        <w:t xml:space="preserve"> 2015)</w:t>
      </w:r>
      <w:r w:rsidR="00390FB4" w:rsidRPr="00E421F4">
        <w:rPr>
          <w:rFonts w:ascii="Garamond" w:hAnsi="Garamond"/>
        </w:rPr>
        <w:t xml:space="preserve"> </w:t>
      </w:r>
      <w:r w:rsidR="007A47AB" w:rsidRPr="00E421F4">
        <w:rPr>
          <w:rFonts w:ascii="Garamond" w:hAnsi="Garamond"/>
        </w:rPr>
        <w:t>that in</w:t>
      </w:r>
      <w:r w:rsidR="00390FB4" w:rsidRPr="00E421F4">
        <w:rPr>
          <w:rFonts w:ascii="Garamond" w:hAnsi="Garamond"/>
        </w:rPr>
        <w:t xml:space="preserve"> turn</w:t>
      </w:r>
      <w:r w:rsidR="005D6712" w:rsidRPr="00E421F4">
        <w:rPr>
          <w:rFonts w:ascii="Garamond" w:hAnsi="Garamond"/>
        </w:rPr>
        <w:t xml:space="preserve"> both reflect and reinforce</w:t>
      </w:r>
      <w:r w:rsidR="00320353" w:rsidRPr="00E421F4">
        <w:rPr>
          <w:rFonts w:ascii="Garamond" w:hAnsi="Garamond"/>
        </w:rPr>
        <w:t xml:space="preserve"> meanings and beliefs. In which case, perceptions (meanings and beliefs) and mechanisms</w:t>
      </w:r>
      <w:r w:rsidR="00390FB4" w:rsidRPr="00E421F4">
        <w:rPr>
          <w:rFonts w:ascii="Garamond" w:hAnsi="Garamond"/>
        </w:rPr>
        <w:t xml:space="preserve"> (practices) are co-constituted; they exist in a symbiotic relationship and so neither can be explained without reference to the other</w:t>
      </w:r>
      <w:r w:rsidR="00AC0A87" w:rsidRPr="00E421F4">
        <w:rPr>
          <w:rFonts w:ascii="Garamond" w:hAnsi="Garamond"/>
        </w:rPr>
        <w:t xml:space="preserve"> (for discussion see </w:t>
      </w:r>
      <w:proofErr w:type="spellStart"/>
      <w:r w:rsidR="00942B81" w:rsidRPr="00E421F4">
        <w:rPr>
          <w:rFonts w:ascii="Garamond" w:hAnsi="Garamond"/>
        </w:rPr>
        <w:t>Bevir</w:t>
      </w:r>
      <w:proofErr w:type="spellEnd"/>
      <w:r w:rsidR="00942B81" w:rsidRPr="00E421F4">
        <w:rPr>
          <w:rFonts w:ascii="Garamond" w:hAnsi="Garamond"/>
        </w:rPr>
        <w:t xml:space="preserve"> and Rhodes 2003; 2010</w:t>
      </w:r>
      <w:r w:rsidR="00AC0A87" w:rsidRPr="00E421F4">
        <w:rPr>
          <w:rFonts w:ascii="Garamond" w:hAnsi="Garamond"/>
        </w:rPr>
        <w:t>)</w:t>
      </w:r>
      <w:r w:rsidR="00390FB4" w:rsidRPr="00E421F4">
        <w:rPr>
          <w:rFonts w:ascii="Garamond" w:hAnsi="Garamond"/>
        </w:rPr>
        <w:t xml:space="preserve">. </w:t>
      </w:r>
    </w:p>
    <w:p w14:paraId="6E55ED5B" w14:textId="1D89666E" w:rsidR="008D2BB4" w:rsidRPr="00E421F4" w:rsidRDefault="005D6712" w:rsidP="005D6712">
      <w:pPr>
        <w:spacing w:line="360" w:lineRule="auto"/>
        <w:ind w:firstLine="720"/>
        <w:rPr>
          <w:rFonts w:ascii="Garamond" w:hAnsi="Garamond"/>
        </w:rPr>
      </w:pPr>
      <w:r w:rsidRPr="00E421F4">
        <w:rPr>
          <w:rFonts w:ascii="Garamond" w:hAnsi="Garamond"/>
        </w:rPr>
        <w:t>Ontological and epistemological assumptions aside, the more salient point is that</w:t>
      </w:r>
      <w:r w:rsidR="005A4A00" w:rsidRPr="00E421F4">
        <w:rPr>
          <w:rFonts w:ascii="Garamond" w:hAnsi="Garamond"/>
        </w:rPr>
        <w:t xml:space="preserve"> in this piece </w:t>
      </w:r>
      <w:r w:rsidR="00390FB4" w:rsidRPr="00E421F4">
        <w:rPr>
          <w:rFonts w:ascii="Garamond" w:hAnsi="Garamond"/>
        </w:rPr>
        <w:t xml:space="preserve">mechanisms serve a pragmatic empirical purpose by offering a window or analytic lens through which to </w:t>
      </w:r>
      <w:r w:rsidRPr="00E421F4">
        <w:rPr>
          <w:rFonts w:ascii="Garamond" w:hAnsi="Garamond"/>
        </w:rPr>
        <w:t>illustrate</w:t>
      </w:r>
      <w:r w:rsidR="00390FB4" w:rsidRPr="00E421F4">
        <w:rPr>
          <w:rFonts w:ascii="Garamond" w:hAnsi="Garamond"/>
        </w:rPr>
        <w:t xml:space="preserve"> changing perceptions about size. </w:t>
      </w:r>
      <w:r w:rsidR="007A47AB" w:rsidRPr="00E421F4">
        <w:rPr>
          <w:rFonts w:ascii="Garamond" w:hAnsi="Garamond"/>
        </w:rPr>
        <w:t xml:space="preserve">The core interpretive claim is that </w:t>
      </w:r>
      <w:r w:rsidR="00390FB4" w:rsidRPr="00E421F4">
        <w:rPr>
          <w:rFonts w:ascii="Garamond" w:hAnsi="Garamond"/>
        </w:rPr>
        <w:t>this “meaningful context”</w:t>
      </w:r>
      <w:r w:rsidR="007A47AB" w:rsidRPr="00E421F4">
        <w:rPr>
          <w:rFonts w:ascii="Garamond" w:hAnsi="Garamond"/>
        </w:rPr>
        <w:t xml:space="preserve"> – rather than the practice or action itself – </w:t>
      </w:r>
      <w:r w:rsidR="00390FB4" w:rsidRPr="00E421F4">
        <w:rPr>
          <w:rFonts w:ascii="Garamond" w:hAnsi="Garamond"/>
        </w:rPr>
        <w:t>gives mechanisms their causal power (</w:t>
      </w:r>
      <w:proofErr w:type="spellStart"/>
      <w:r w:rsidR="00390FB4" w:rsidRPr="00E421F4">
        <w:rPr>
          <w:rFonts w:ascii="Garamond" w:hAnsi="Garamond"/>
        </w:rPr>
        <w:t>Pouliot</w:t>
      </w:r>
      <w:proofErr w:type="spellEnd"/>
      <w:r w:rsidR="00390FB4" w:rsidRPr="00E421F4">
        <w:rPr>
          <w:rFonts w:ascii="Garamond" w:hAnsi="Garamond"/>
        </w:rPr>
        <w:t xml:space="preserve"> 2015: 237).</w:t>
      </w:r>
      <w:r w:rsidR="007A47AB" w:rsidRPr="00E421F4">
        <w:rPr>
          <w:rFonts w:ascii="Garamond" w:hAnsi="Garamond"/>
        </w:rPr>
        <w:t xml:space="preserve"> And, by identifying how certain mechanisms “mean” in one context we can develop plausible conjectures about how they might mean in another (</w:t>
      </w:r>
      <w:proofErr w:type="spellStart"/>
      <w:r w:rsidR="007A47AB" w:rsidRPr="00E421F4">
        <w:rPr>
          <w:rFonts w:ascii="Garamond" w:hAnsi="Garamond"/>
        </w:rPr>
        <w:t>Bevir</w:t>
      </w:r>
      <w:proofErr w:type="spellEnd"/>
      <w:r w:rsidR="007A47AB" w:rsidRPr="00E421F4">
        <w:rPr>
          <w:rFonts w:ascii="Garamond" w:hAnsi="Garamond"/>
        </w:rPr>
        <w:t xml:space="preserve"> and Rhodes 2003; 2010).</w:t>
      </w:r>
    </w:p>
    <w:p w14:paraId="799E8516" w14:textId="77777777" w:rsidR="00390FB4" w:rsidRPr="00E421F4" w:rsidRDefault="00390FB4" w:rsidP="00390FB4">
      <w:pPr>
        <w:spacing w:line="360" w:lineRule="auto"/>
        <w:ind w:firstLine="720"/>
        <w:rPr>
          <w:rFonts w:ascii="Garamond" w:hAnsi="Garamond"/>
        </w:rPr>
      </w:pPr>
    </w:p>
    <w:p w14:paraId="396092E0" w14:textId="77777777" w:rsidR="00BC5ACE" w:rsidRPr="00E421F4" w:rsidRDefault="00BC5ACE" w:rsidP="00BC5ACE">
      <w:pPr>
        <w:spacing w:line="360" w:lineRule="auto"/>
        <w:rPr>
          <w:rFonts w:ascii="Garamond" w:hAnsi="Garamond"/>
          <w:u w:val="single"/>
        </w:rPr>
      </w:pPr>
      <w:r w:rsidRPr="00E421F4">
        <w:rPr>
          <w:rFonts w:ascii="Garamond" w:hAnsi="Garamond"/>
          <w:u w:val="single"/>
        </w:rPr>
        <w:t>Case Study: Performing Size and Agency Termination</w:t>
      </w:r>
    </w:p>
    <w:p w14:paraId="48EF6A59" w14:textId="77777777" w:rsidR="00BC5ACE" w:rsidRPr="00E421F4" w:rsidRDefault="00BC5ACE" w:rsidP="00BC5ACE">
      <w:pPr>
        <w:spacing w:line="360" w:lineRule="auto"/>
        <w:rPr>
          <w:rFonts w:ascii="Garamond" w:hAnsi="Garamond"/>
        </w:rPr>
      </w:pPr>
    </w:p>
    <w:p w14:paraId="23CFC368" w14:textId="77777777" w:rsidR="00BC5ACE" w:rsidRPr="00E421F4" w:rsidRDefault="00BC5ACE" w:rsidP="00BC5ACE">
      <w:pPr>
        <w:spacing w:line="360" w:lineRule="auto"/>
        <w:rPr>
          <w:rFonts w:ascii="Garamond" w:hAnsi="Garamond"/>
          <w:i/>
        </w:rPr>
      </w:pPr>
      <w:r w:rsidRPr="00E421F4">
        <w:rPr>
          <w:rFonts w:ascii="Garamond" w:hAnsi="Garamond"/>
          <w:i/>
        </w:rPr>
        <w:t>Inception</w:t>
      </w:r>
    </w:p>
    <w:p w14:paraId="748835E9" w14:textId="77777777" w:rsidR="00BC5ACE" w:rsidRPr="00E421F4" w:rsidRDefault="00BC5ACE" w:rsidP="00BC5ACE">
      <w:pPr>
        <w:spacing w:line="360" w:lineRule="auto"/>
        <w:rPr>
          <w:rFonts w:ascii="Garamond" w:hAnsi="Garamond"/>
        </w:rPr>
      </w:pPr>
    </w:p>
    <w:p w14:paraId="2D42252C" w14:textId="689A2905" w:rsidR="00BC5ACE" w:rsidRPr="00E421F4" w:rsidRDefault="00BC5ACE" w:rsidP="00BC5ACE">
      <w:pPr>
        <w:spacing w:line="360" w:lineRule="auto"/>
        <w:rPr>
          <w:rFonts w:ascii="Garamond" w:hAnsi="Garamond"/>
        </w:rPr>
      </w:pPr>
      <w:r w:rsidRPr="00E421F4">
        <w:rPr>
          <w:rFonts w:ascii="Garamond" w:hAnsi="Garamond"/>
        </w:rPr>
        <w:t>Australia had been giving aid since the end of the Second World War, largely via education scholarships and technical assistance under the Colombo Plan. But, by the late 1960s and early 1970s it was increasingly clear to a cohort of Australian policy makers that decolonisation was a global trend</w:t>
      </w:r>
      <w:r w:rsidR="00C4566F" w:rsidRPr="00E421F4">
        <w:rPr>
          <w:rFonts w:ascii="Garamond" w:hAnsi="Garamond"/>
        </w:rPr>
        <w:t xml:space="preserve"> and that as a result the scale and complexity of government aid programs was likely to increase</w:t>
      </w:r>
      <w:r w:rsidRPr="00E421F4">
        <w:rPr>
          <w:rFonts w:ascii="Garamond" w:hAnsi="Garamond"/>
        </w:rPr>
        <w:t xml:space="preserve">. Australia’s former overseas territories were transitioning or had already transitioned to self-rule. Aid or development assistance would become the primary means by which resources would continue to be transferred to these and other neighbouring countries. A combination of humanitarian duty, cold war anxiety and the desire to promote Australia’s image as a good international citizen led a select group of activists, both within and outside the bureaucracy, to conclude that the aid program required reform. </w:t>
      </w:r>
      <w:r w:rsidR="003607EC" w:rsidRPr="00E421F4">
        <w:rPr>
          <w:rFonts w:ascii="Garamond" w:hAnsi="Garamond"/>
        </w:rPr>
        <w:t>The</w:t>
      </w:r>
      <w:r w:rsidRPr="00E421F4">
        <w:rPr>
          <w:rFonts w:ascii="Garamond" w:hAnsi="Garamond"/>
        </w:rPr>
        <w:t xml:space="preserve"> Liberal/Coalition government </w:t>
      </w:r>
      <w:r w:rsidR="003607EC" w:rsidRPr="00E421F4">
        <w:rPr>
          <w:rFonts w:ascii="Garamond" w:hAnsi="Garamond"/>
        </w:rPr>
        <w:t>made</w:t>
      </w:r>
      <w:r w:rsidRPr="00E421F4">
        <w:rPr>
          <w:rFonts w:ascii="Garamond" w:hAnsi="Garamond"/>
        </w:rPr>
        <w:t xml:space="preserve"> tentative attempts to begin this process</w:t>
      </w:r>
      <w:r w:rsidR="003607EC" w:rsidRPr="00E421F4">
        <w:rPr>
          <w:rFonts w:ascii="Garamond" w:hAnsi="Garamond"/>
        </w:rPr>
        <w:t xml:space="preserve"> during the 1960s</w:t>
      </w:r>
      <w:r w:rsidRPr="00E421F4">
        <w:rPr>
          <w:rFonts w:ascii="Garamond" w:hAnsi="Garamond"/>
        </w:rPr>
        <w:t xml:space="preserve">. The major impetus, however, came when the Australian Labour Party (ALP) under the leadership of Gough Whitlam won the 1972 election on a reformist platform. </w:t>
      </w:r>
    </w:p>
    <w:p w14:paraId="7AAB92B2" w14:textId="7DAE3298" w:rsidR="00BC5ACE" w:rsidRPr="00E421F4" w:rsidRDefault="005714C2" w:rsidP="00BC5ACE">
      <w:pPr>
        <w:spacing w:line="360" w:lineRule="auto"/>
        <w:rPr>
          <w:rFonts w:ascii="Garamond" w:hAnsi="Garamond"/>
        </w:rPr>
      </w:pPr>
      <w:r w:rsidRPr="00E421F4">
        <w:rPr>
          <w:rFonts w:ascii="Garamond" w:hAnsi="Garamond"/>
        </w:rPr>
        <w:tab/>
      </w:r>
      <w:r w:rsidR="00BC5ACE" w:rsidRPr="00E421F4">
        <w:rPr>
          <w:rFonts w:ascii="Garamond" w:hAnsi="Garamond"/>
        </w:rPr>
        <w:t xml:space="preserve">In 1972 a number of government departments delivered portions of the aid program, including </w:t>
      </w:r>
      <w:r w:rsidR="000654F6" w:rsidRPr="00E421F4">
        <w:rPr>
          <w:rFonts w:ascii="Garamond" w:hAnsi="Garamond"/>
        </w:rPr>
        <w:t>Foreign Affairs</w:t>
      </w:r>
      <w:r w:rsidR="00BC5ACE" w:rsidRPr="00E421F4">
        <w:rPr>
          <w:rFonts w:ascii="Garamond" w:hAnsi="Garamond"/>
        </w:rPr>
        <w:t xml:space="preserve">, Education and Treasury. The Department of External Territories managed the administration of the soon to be independent Papua New Guinea (PNG). Whitlam </w:t>
      </w:r>
      <w:r w:rsidR="00C4566F" w:rsidRPr="00E421F4">
        <w:rPr>
          <w:rFonts w:ascii="Garamond" w:hAnsi="Garamond"/>
        </w:rPr>
        <w:t xml:space="preserve">sought to consolidate these functions in one agency </w:t>
      </w:r>
      <w:r w:rsidR="00BC5ACE" w:rsidRPr="00E421F4">
        <w:rPr>
          <w:rFonts w:ascii="Garamond" w:hAnsi="Garamond"/>
        </w:rPr>
        <w:t xml:space="preserve">(for discussion see Viviani and </w:t>
      </w:r>
      <w:proofErr w:type="spellStart"/>
      <w:r w:rsidR="00BC5ACE" w:rsidRPr="00E421F4">
        <w:rPr>
          <w:rFonts w:ascii="Garamond" w:hAnsi="Garamond"/>
        </w:rPr>
        <w:t>Wilesnki</w:t>
      </w:r>
      <w:proofErr w:type="spellEnd"/>
      <w:r w:rsidR="00BC5ACE" w:rsidRPr="00E421F4">
        <w:rPr>
          <w:rFonts w:ascii="Garamond" w:hAnsi="Garamond"/>
        </w:rPr>
        <w:t xml:space="preserve"> </w:t>
      </w:r>
      <w:r w:rsidR="00BC5ACE" w:rsidRPr="00E421F4">
        <w:rPr>
          <w:rFonts w:ascii="Garamond" w:hAnsi="Garamond"/>
        </w:rPr>
        <w:lastRenderedPageBreak/>
        <w:t xml:space="preserve">1978). </w:t>
      </w:r>
      <w:r w:rsidR="00C4566F" w:rsidRPr="00E421F4">
        <w:rPr>
          <w:rFonts w:ascii="Garamond" w:hAnsi="Garamond"/>
        </w:rPr>
        <w:t>In addition to an assessment of the growing significance of aid, the new agency was designed to: ensure that aid policy was develope</w:t>
      </w:r>
      <w:r w:rsidR="000654F6" w:rsidRPr="00E421F4">
        <w:rPr>
          <w:rFonts w:ascii="Garamond" w:hAnsi="Garamond"/>
        </w:rPr>
        <w:t>d separately to foreign policy;</w:t>
      </w:r>
      <w:r w:rsidR="00C4566F" w:rsidRPr="00E421F4">
        <w:rPr>
          <w:rFonts w:ascii="Garamond" w:hAnsi="Garamond"/>
        </w:rPr>
        <w:t xml:space="preserve"> increase professionalization of delivery; ensure that there was an aid lobby within the bureaucracy who could win funding support; and to find a home for staff </w:t>
      </w:r>
      <w:r w:rsidR="00FF0DED" w:rsidRPr="00E421F4">
        <w:rPr>
          <w:rFonts w:ascii="Garamond" w:hAnsi="Garamond"/>
        </w:rPr>
        <w:t xml:space="preserve">of the </w:t>
      </w:r>
      <w:r w:rsidR="00C4566F" w:rsidRPr="00E421F4">
        <w:rPr>
          <w:rFonts w:ascii="Garamond" w:hAnsi="Garamond"/>
        </w:rPr>
        <w:t xml:space="preserve">soon to be defunct Department of External Territories. </w:t>
      </w:r>
      <w:r w:rsidR="00BC5ACE" w:rsidRPr="00E421F4">
        <w:rPr>
          <w:rFonts w:ascii="Garamond" w:hAnsi="Garamond"/>
        </w:rPr>
        <w:t xml:space="preserve">Despite opposition from other departments, this </w:t>
      </w:r>
      <w:r w:rsidR="00C4566F" w:rsidRPr="00E421F4">
        <w:rPr>
          <w:rFonts w:ascii="Garamond" w:hAnsi="Garamond"/>
        </w:rPr>
        <w:t xml:space="preserve">combination of </w:t>
      </w:r>
      <w:r w:rsidR="00BC5ACE" w:rsidRPr="00E421F4">
        <w:rPr>
          <w:rFonts w:ascii="Garamond" w:hAnsi="Garamond"/>
        </w:rPr>
        <w:t>imperative</w:t>
      </w:r>
      <w:r w:rsidR="00C4566F" w:rsidRPr="00E421F4">
        <w:rPr>
          <w:rFonts w:ascii="Garamond" w:hAnsi="Garamond"/>
        </w:rPr>
        <w:t>s</w:t>
      </w:r>
      <w:r w:rsidR="00BC5ACE" w:rsidRPr="00E421F4">
        <w:rPr>
          <w:rFonts w:ascii="Garamond" w:hAnsi="Garamond"/>
        </w:rPr>
        <w:t xml:space="preserve"> was crucial to its formation</w:t>
      </w:r>
      <w:r w:rsidR="00C4566F" w:rsidRPr="00E421F4">
        <w:rPr>
          <w:rFonts w:ascii="Garamond" w:hAnsi="Garamond"/>
        </w:rPr>
        <w:t xml:space="preserve"> and subsequent size</w:t>
      </w:r>
      <w:r w:rsidR="00BC5ACE" w:rsidRPr="00E421F4">
        <w:rPr>
          <w:rFonts w:ascii="Garamond" w:hAnsi="Garamond"/>
        </w:rPr>
        <w:t xml:space="preserve">. </w:t>
      </w:r>
    </w:p>
    <w:p w14:paraId="43C4E9CF" w14:textId="5B2AB0E2" w:rsidR="00BC5ACE" w:rsidRPr="00E421F4" w:rsidRDefault="005714C2" w:rsidP="00BC5ACE">
      <w:pPr>
        <w:spacing w:line="360" w:lineRule="auto"/>
        <w:rPr>
          <w:rFonts w:ascii="Garamond" w:hAnsi="Garamond"/>
        </w:rPr>
      </w:pPr>
      <w:r w:rsidRPr="00E421F4">
        <w:rPr>
          <w:rFonts w:ascii="Garamond" w:hAnsi="Garamond"/>
        </w:rPr>
        <w:tab/>
      </w:r>
      <w:r w:rsidR="00BC5ACE" w:rsidRPr="00E421F4">
        <w:rPr>
          <w:rFonts w:ascii="Garamond" w:hAnsi="Garamond"/>
        </w:rPr>
        <w:t>Established by legislation in 1974</w:t>
      </w:r>
      <w:r w:rsidR="003607EC" w:rsidRPr="00E421F4">
        <w:rPr>
          <w:rFonts w:ascii="Garamond" w:hAnsi="Garamond"/>
        </w:rPr>
        <w:t>, the Australian Development Assistance Agency (ADA</w:t>
      </w:r>
      <w:r w:rsidR="00BC5ACE" w:rsidRPr="00E421F4">
        <w:rPr>
          <w:rFonts w:ascii="Garamond" w:hAnsi="Garamond"/>
        </w:rPr>
        <w:t>A</w:t>
      </w:r>
      <w:r w:rsidR="003607EC" w:rsidRPr="00E421F4">
        <w:rPr>
          <w:rFonts w:ascii="Garamond" w:hAnsi="Garamond"/>
        </w:rPr>
        <w:t>)</w:t>
      </w:r>
      <w:r w:rsidR="00BC5ACE" w:rsidRPr="00E421F4">
        <w:rPr>
          <w:rFonts w:ascii="Garamond" w:hAnsi="Garamond"/>
        </w:rPr>
        <w:t xml:space="preserve"> initially struggled to get going. The new agency was beset by bureaucratic infighting between its three principle factions: foreign affairs, education and external territories. Cabinet directed Treasury functions be transferred to the new agency</w:t>
      </w:r>
      <w:r w:rsidR="003607EC" w:rsidRPr="00E421F4">
        <w:rPr>
          <w:rFonts w:ascii="Garamond" w:hAnsi="Garamond"/>
        </w:rPr>
        <w:t>,</w:t>
      </w:r>
      <w:r w:rsidR="00BC5ACE" w:rsidRPr="00E421F4">
        <w:rPr>
          <w:rFonts w:ascii="Garamond" w:hAnsi="Garamond"/>
        </w:rPr>
        <w:t xml:space="preserve"> but they refused. </w:t>
      </w:r>
      <w:r w:rsidR="000872A0" w:rsidRPr="00E421F4">
        <w:rPr>
          <w:rFonts w:ascii="Garamond" w:hAnsi="Garamond"/>
        </w:rPr>
        <w:t>ADAA</w:t>
      </w:r>
      <w:r w:rsidR="00BC5ACE" w:rsidRPr="00E421F4">
        <w:rPr>
          <w:rFonts w:ascii="Garamond" w:hAnsi="Garamond"/>
        </w:rPr>
        <w:t xml:space="preserve"> struggled to recruit the development professionals required to bolster its claims to analytic rigour, leaving it vulnerable to criticism. Among other departments, the new agency was seen as self-important and arrogant:</w:t>
      </w:r>
    </w:p>
    <w:p w14:paraId="36B0C6A4" w14:textId="2F3BACE2" w:rsidR="00C4566F" w:rsidRPr="00E421F4" w:rsidRDefault="00966C65" w:rsidP="000654F6">
      <w:pPr>
        <w:ind w:left="720"/>
        <w:rPr>
          <w:rFonts w:ascii="Garamond" w:hAnsi="Garamond"/>
          <w:sz w:val="20"/>
          <w:szCs w:val="20"/>
        </w:rPr>
      </w:pPr>
      <w:r w:rsidRPr="00E421F4">
        <w:rPr>
          <w:rFonts w:ascii="Garamond" w:hAnsi="Garamond"/>
          <w:sz w:val="20"/>
          <w:szCs w:val="20"/>
        </w:rPr>
        <w:t xml:space="preserve">There was </w:t>
      </w:r>
      <w:proofErr w:type="gramStart"/>
      <w:r w:rsidRPr="00E421F4">
        <w:rPr>
          <w:rFonts w:ascii="Garamond" w:hAnsi="Garamond"/>
          <w:sz w:val="20"/>
          <w:szCs w:val="20"/>
        </w:rPr>
        <w:t>a cockiness</w:t>
      </w:r>
      <w:proofErr w:type="gramEnd"/>
      <w:r w:rsidRPr="00E421F4">
        <w:rPr>
          <w:rFonts w:ascii="Garamond" w:hAnsi="Garamond"/>
          <w:sz w:val="20"/>
          <w:szCs w:val="20"/>
        </w:rPr>
        <w:t xml:space="preserve"> about the place – this was a place on the make. When I first arrived there was a sense that ADAA was going to be bigger and brighter and this was just Phase One. We were going to see a lot more growth. There was a small but growing cohort of people who came at the job as development people rather than Education, Treasury or Foreign Affairs people. That was reflected in recruiting, appraisals and evaluation reports for the first time. Yes, there was a</w:t>
      </w:r>
      <w:r w:rsidR="00EA0CBF" w:rsidRPr="00E421F4">
        <w:rPr>
          <w:rFonts w:ascii="Garamond" w:hAnsi="Garamond"/>
          <w:sz w:val="20"/>
          <w:szCs w:val="20"/>
        </w:rPr>
        <w:t xml:space="preserve"> </w:t>
      </w:r>
      <w:r w:rsidRPr="00E421F4">
        <w:rPr>
          <w:rFonts w:ascii="Garamond" w:hAnsi="Garamond"/>
          <w:sz w:val="20"/>
          <w:szCs w:val="20"/>
        </w:rPr>
        <w:t>cockiness</w:t>
      </w:r>
      <w:r w:rsidR="00BC5ACE" w:rsidRPr="00E421F4">
        <w:rPr>
          <w:rFonts w:ascii="Garamond" w:hAnsi="Garamond"/>
          <w:sz w:val="20"/>
          <w:szCs w:val="20"/>
        </w:rPr>
        <w:t xml:space="preserve"> (former </w:t>
      </w:r>
      <w:r w:rsidRPr="00E421F4">
        <w:rPr>
          <w:rFonts w:ascii="Garamond" w:hAnsi="Garamond"/>
          <w:sz w:val="20"/>
          <w:szCs w:val="20"/>
        </w:rPr>
        <w:t>official</w:t>
      </w:r>
      <w:r w:rsidR="00BC5ACE" w:rsidRPr="00E421F4">
        <w:rPr>
          <w:rFonts w:ascii="Garamond" w:hAnsi="Garamond"/>
          <w:sz w:val="20"/>
          <w:szCs w:val="20"/>
        </w:rPr>
        <w:t>, interviewed 27 August 2015).</w:t>
      </w:r>
    </w:p>
    <w:p w14:paraId="6D4659A2" w14:textId="77777777" w:rsidR="00FF0DED" w:rsidRPr="00E421F4" w:rsidRDefault="00FF0DED" w:rsidP="000654F6">
      <w:pPr>
        <w:ind w:left="720"/>
        <w:rPr>
          <w:rFonts w:ascii="Garamond" w:hAnsi="Garamond"/>
        </w:rPr>
      </w:pPr>
    </w:p>
    <w:p w14:paraId="145C1738" w14:textId="53F064C8" w:rsidR="00C4566F" w:rsidRPr="00E421F4" w:rsidRDefault="00C4566F" w:rsidP="00BC5ACE">
      <w:pPr>
        <w:spacing w:line="360" w:lineRule="auto"/>
        <w:rPr>
          <w:rFonts w:ascii="Garamond" w:hAnsi="Garamond"/>
        </w:rPr>
      </w:pPr>
      <w:r w:rsidRPr="00E421F4">
        <w:rPr>
          <w:rFonts w:ascii="Garamond" w:hAnsi="Garamond"/>
        </w:rPr>
        <w:t xml:space="preserve">As this quote alludes, from its inception the agency struggled to control the perception that it was too big for its own good. </w:t>
      </w:r>
    </w:p>
    <w:p w14:paraId="7AA64CF2" w14:textId="77777777" w:rsidR="005653A5" w:rsidRPr="00E421F4" w:rsidRDefault="005653A5" w:rsidP="00BC5ACE">
      <w:pPr>
        <w:spacing w:line="360" w:lineRule="auto"/>
        <w:rPr>
          <w:rFonts w:ascii="Garamond" w:hAnsi="Garamond"/>
        </w:rPr>
      </w:pPr>
    </w:p>
    <w:p w14:paraId="51D29882" w14:textId="6590AF69" w:rsidR="005653A5" w:rsidRPr="00E421F4" w:rsidRDefault="005653A5" w:rsidP="005653A5">
      <w:pPr>
        <w:spacing w:line="360" w:lineRule="auto"/>
        <w:rPr>
          <w:rFonts w:ascii="Garamond" w:hAnsi="Garamond"/>
          <w:i/>
        </w:rPr>
      </w:pPr>
      <w:r w:rsidRPr="00E421F4">
        <w:rPr>
          <w:rFonts w:ascii="Garamond" w:hAnsi="Garamond"/>
          <w:i/>
        </w:rPr>
        <w:t>Infanticide</w:t>
      </w:r>
    </w:p>
    <w:p w14:paraId="58E2DF24" w14:textId="77777777" w:rsidR="005653A5" w:rsidRPr="00E421F4" w:rsidRDefault="005653A5" w:rsidP="005653A5">
      <w:pPr>
        <w:spacing w:line="360" w:lineRule="auto"/>
        <w:rPr>
          <w:rFonts w:ascii="Garamond" w:hAnsi="Garamond"/>
        </w:rPr>
      </w:pPr>
    </w:p>
    <w:p w14:paraId="703E55C9" w14:textId="267502A6" w:rsidR="005653A5" w:rsidRPr="00E421F4" w:rsidRDefault="00BC5ACE" w:rsidP="005653A5">
      <w:pPr>
        <w:spacing w:line="360" w:lineRule="auto"/>
        <w:rPr>
          <w:rFonts w:ascii="Garamond" w:hAnsi="Garamond"/>
        </w:rPr>
      </w:pPr>
      <w:r w:rsidRPr="00E421F4">
        <w:rPr>
          <w:rFonts w:ascii="Garamond" w:hAnsi="Garamond"/>
        </w:rPr>
        <w:t xml:space="preserve">Whitlam lost the 1975 election. The incoming Prime Minister, Malcolm Fraser, was committed </w:t>
      </w:r>
      <w:r w:rsidR="00FF0DED" w:rsidRPr="00E421F4">
        <w:rPr>
          <w:rFonts w:ascii="Garamond" w:hAnsi="Garamond"/>
        </w:rPr>
        <w:t xml:space="preserve">to </w:t>
      </w:r>
      <w:r w:rsidRPr="00E421F4">
        <w:rPr>
          <w:rFonts w:ascii="Garamond" w:hAnsi="Garamond"/>
        </w:rPr>
        <w:t xml:space="preserve">the rationalisation of agencies and arms-length bodies. </w:t>
      </w:r>
      <w:r w:rsidR="005653A5" w:rsidRPr="00E421F4">
        <w:rPr>
          <w:rFonts w:ascii="Garamond" w:hAnsi="Garamond"/>
        </w:rPr>
        <w:t xml:space="preserve">As </w:t>
      </w:r>
      <w:r w:rsidR="00132D81" w:rsidRPr="00E421F4">
        <w:rPr>
          <w:rFonts w:ascii="Garamond" w:hAnsi="Garamond"/>
        </w:rPr>
        <w:t>part of this cull of agencies</w:t>
      </w:r>
      <w:r w:rsidR="005653A5" w:rsidRPr="00E421F4">
        <w:rPr>
          <w:rFonts w:ascii="Garamond" w:hAnsi="Garamond"/>
        </w:rPr>
        <w:t xml:space="preserve">, </w:t>
      </w:r>
      <w:r w:rsidR="00502DD6" w:rsidRPr="00E421F4">
        <w:rPr>
          <w:rFonts w:ascii="Garamond" w:hAnsi="Garamond"/>
        </w:rPr>
        <w:t xml:space="preserve">ADAA was abolished and all </w:t>
      </w:r>
      <w:r w:rsidR="005653A5" w:rsidRPr="00E421F4">
        <w:rPr>
          <w:rFonts w:ascii="Garamond" w:hAnsi="Garamond"/>
        </w:rPr>
        <w:t>a</w:t>
      </w:r>
      <w:r w:rsidRPr="00E421F4">
        <w:rPr>
          <w:rFonts w:ascii="Garamond" w:hAnsi="Garamond"/>
        </w:rPr>
        <w:t xml:space="preserve">id functions were absorbed into </w:t>
      </w:r>
      <w:r w:rsidR="00502DD6" w:rsidRPr="00E421F4">
        <w:rPr>
          <w:rFonts w:ascii="Garamond" w:hAnsi="Garamond"/>
        </w:rPr>
        <w:t xml:space="preserve">the Department of Foreign Affairs </w:t>
      </w:r>
      <w:r w:rsidRPr="00E421F4">
        <w:rPr>
          <w:rFonts w:ascii="Garamond" w:hAnsi="Garamond"/>
        </w:rPr>
        <w:t>in 1976</w:t>
      </w:r>
      <w:r w:rsidR="00502DD6" w:rsidRPr="00E421F4">
        <w:rPr>
          <w:rFonts w:ascii="Garamond" w:hAnsi="Garamond"/>
        </w:rPr>
        <w:t>.</w:t>
      </w:r>
      <w:r w:rsidRPr="00E421F4">
        <w:rPr>
          <w:rFonts w:ascii="Garamond" w:hAnsi="Garamond"/>
        </w:rPr>
        <w:t xml:space="preserve"> </w:t>
      </w:r>
      <w:r w:rsidR="00502DD6" w:rsidRPr="00E421F4">
        <w:rPr>
          <w:rFonts w:ascii="Garamond" w:hAnsi="Garamond"/>
        </w:rPr>
        <w:t xml:space="preserve">In 1977 a </w:t>
      </w:r>
      <w:r w:rsidRPr="00E421F4">
        <w:rPr>
          <w:rFonts w:ascii="Garamond" w:hAnsi="Garamond"/>
        </w:rPr>
        <w:t xml:space="preserve">new semi-autonomous Bureau (ADAB) </w:t>
      </w:r>
      <w:r w:rsidR="000654F6" w:rsidRPr="00E421F4">
        <w:rPr>
          <w:rFonts w:ascii="Garamond" w:hAnsi="Garamond"/>
        </w:rPr>
        <w:t xml:space="preserve">was </w:t>
      </w:r>
      <w:r w:rsidRPr="00E421F4">
        <w:rPr>
          <w:rFonts w:ascii="Garamond" w:hAnsi="Garamond"/>
        </w:rPr>
        <w:t xml:space="preserve">established to administer the program. </w:t>
      </w:r>
      <w:r w:rsidR="00502DD6" w:rsidRPr="00E421F4">
        <w:rPr>
          <w:rFonts w:ascii="Garamond" w:hAnsi="Garamond"/>
        </w:rPr>
        <w:t>The new Bureau was no longer afforded statutory agency status and, s</w:t>
      </w:r>
      <w:r w:rsidR="00D72675" w:rsidRPr="00E421F4">
        <w:rPr>
          <w:rFonts w:ascii="Garamond" w:hAnsi="Garamond"/>
        </w:rPr>
        <w:t xml:space="preserve">ymbolic of its diminished </w:t>
      </w:r>
      <w:r w:rsidR="00502DD6" w:rsidRPr="00E421F4">
        <w:rPr>
          <w:rFonts w:ascii="Garamond" w:hAnsi="Garamond"/>
        </w:rPr>
        <w:t>standing,</w:t>
      </w:r>
      <w:r w:rsidR="00D72675" w:rsidRPr="00E421F4">
        <w:rPr>
          <w:rFonts w:ascii="Garamond" w:hAnsi="Garamond"/>
        </w:rPr>
        <w:t xml:space="preserve"> the title of its head was changed </w:t>
      </w:r>
      <w:proofErr w:type="spellStart"/>
      <w:r w:rsidR="00D72675" w:rsidRPr="00E421F4">
        <w:rPr>
          <w:rFonts w:ascii="Garamond" w:hAnsi="Garamond"/>
        </w:rPr>
        <w:t>form</w:t>
      </w:r>
      <w:proofErr w:type="spellEnd"/>
      <w:r w:rsidR="00D72675" w:rsidRPr="00E421F4">
        <w:rPr>
          <w:rFonts w:ascii="Garamond" w:hAnsi="Garamond"/>
        </w:rPr>
        <w:t xml:space="preserve"> Director General to Director.</w:t>
      </w:r>
    </w:p>
    <w:p w14:paraId="00F03B6E" w14:textId="1EAAE9BC" w:rsidR="005653A5" w:rsidRPr="00E421F4" w:rsidRDefault="008D09BF" w:rsidP="00BC5ACE">
      <w:pPr>
        <w:spacing w:line="360" w:lineRule="auto"/>
        <w:rPr>
          <w:rFonts w:ascii="Garamond" w:hAnsi="Garamond"/>
        </w:rPr>
      </w:pPr>
      <w:r w:rsidRPr="00E421F4">
        <w:rPr>
          <w:rFonts w:ascii="Garamond" w:hAnsi="Garamond"/>
          <w:i/>
        </w:rPr>
        <w:tab/>
      </w:r>
      <w:r w:rsidR="005653A5" w:rsidRPr="00E421F4">
        <w:rPr>
          <w:rFonts w:ascii="Garamond" w:hAnsi="Garamond"/>
        </w:rPr>
        <w:t xml:space="preserve">Initially, however, the termination of ADAA proved to be more </w:t>
      </w:r>
      <w:r w:rsidR="00502DD6" w:rsidRPr="00E421F4">
        <w:rPr>
          <w:rFonts w:ascii="Garamond" w:hAnsi="Garamond"/>
        </w:rPr>
        <w:t>about style than substance: b</w:t>
      </w:r>
      <w:r w:rsidR="005653A5" w:rsidRPr="00E421F4">
        <w:rPr>
          <w:rFonts w:ascii="Garamond" w:hAnsi="Garamond"/>
        </w:rPr>
        <w:t>ecause the new minister supported it</w:t>
      </w:r>
      <w:r w:rsidR="00FF0DED" w:rsidRPr="00E421F4">
        <w:rPr>
          <w:rFonts w:ascii="Garamond" w:hAnsi="Garamond"/>
        </w:rPr>
        <w:t>,</w:t>
      </w:r>
      <w:r w:rsidR="005653A5" w:rsidRPr="00E421F4">
        <w:rPr>
          <w:rFonts w:ascii="Garamond" w:hAnsi="Garamond"/>
        </w:rPr>
        <w:t xml:space="preserve"> ADAB remained functionally separate</w:t>
      </w:r>
      <w:r w:rsidR="00502DD6" w:rsidRPr="00E421F4">
        <w:rPr>
          <w:rFonts w:ascii="Garamond" w:hAnsi="Garamond"/>
        </w:rPr>
        <w:t xml:space="preserve"> from Foreign Affairs</w:t>
      </w:r>
      <w:r w:rsidR="005653A5" w:rsidRPr="00E421F4">
        <w:rPr>
          <w:rFonts w:ascii="Garamond" w:hAnsi="Garamond"/>
        </w:rPr>
        <w:t xml:space="preserve">. As Table 1 shows, initially its budget was cut. But, after </w:t>
      </w:r>
      <w:r w:rsidR="000654F6" w:rsidRPr="00E421F4">
        <w:rPr>
          <w:rFonts w:ascii="Garamond" w:hAnsi="Garamond"/>
        </w:rPr>
        <w:t>integration</w:t>
      </w:r>
      <w:r w:rsidR="005653A5" w:rsidRPr="00E421F4">
        <w:rPr>
          <w:rFonts w:ascii="Garamond" w:hAnsi="Garamond"/>
        </w:rPr>
        <w:t xml:space="preserve">, ADAB muddled through due to a combination of astute leadership and ministerial support. </w:t>
      </w:r>
    </w:p>
    <w:p w14:paraId="21699FAC" w14:textId="1B249F90" w:rsidR="005653A5" w:rsidRPr="00E421F4" w:rsidRDefault="005653A5" w:rsidP="00BC5ACE">
      <w:pPr>
        <w:spacing w:line="360" w:lineRule="auto"/>
        <w:rPr>
          <w:rFonts w:ascii="Garamond" w:hAnsi="Garamond"/>
        </w:rPr>
      </w:pPr>
      <w:r w:rsidRPr="00E421F4">
        <w:rPr>
          <w:rFonts w:ascii="Garamond" w:hAnsi="Garamond"/>
        </w:rPr>
        <w:t xml:space="preserve"> </w:t>
      </w:r>
    </w:p>
    <w:p w14:paraId="5283E14B" w14:textId="430B936C" w:rsidR="005653A5" w:rsidRPr="00E421F4" w:rsidRDefault="000872A0" w:rsidP="0027650D">
      <w:pPr>
        <w:spacing w:line="360" w:lineRule="auto"/>
        <w:jc w:val="center"/>
        <w:rPr>
          <w:rFonts w:ascii="Garamond" w:hAnsi="Garamond"/>
        </w:rPr>
      </w:pPr>
      <w:r w:rsidRPr="00E421F4">
        <w:rPr>
          <w:rFonts w:ascii="Garamond" w:hAnsi="Garamond"/>
        </w:rPr>
        <w:t xml:space="preserve">&lt;INSERT </w:t>
      </w:r>
      <w:r w:rsidR="00E421F4">
        <w:rPr>
          <w:rFonts w:ascii="Garamond" w:hAnsi="Garamond"/>
        </w:rPr>
        <w:t>FIGURE 1</w:t>
      </w:r>
      <w:r w:rsidR="005653A5" w:rsidRPr="00E421F4">
        <w:rPr>
          <w:rFonts w:ascii="Garamond" w:hAnsi="Garamond"/>
        </w:rPr>
        <w:t xml:space="preserve"> </w:t>
      </w:r>
      <w:r w:rsidRPr="00E421F4">
        <w:rPr>
          <w:rFonts w:ascii="Garamond" w:hAnsi="Garamond"/>
        </w:rPr>
        <w:t xml:space="preserve">ABOUT </w:t>
      </w:r>
      <w:r w:rsidR="005653A5" w:rsidRPr="00E421F4">
        <w:rPr>
          <w:rFonts w:ascii="Garamond" w:hAnsi="Garamond"/>
        </w:rPr>
        <w:t>HERE&gt;</w:t>
      </w:r>
    </w:p>
    <w:p w14:paraId="2866DAFB" w14:textId="77777777" w:rsidR="005653A5" w:rsidRPr="00E421F4" w:rsidRDefault="005653A5" w:rsidP="00BC5ACE">
      <w:pPr>
        <w:spacing w:line="360" w:lineRule="auto"/>
        <w:rPr>
          <w:rFonts w:ascii="Garamond" w:hAnsi="Garamond"/>
        </w:rPr>
      </w:pPr>
    </w:p>
    <w:p w14:paraId="098ECF17" w14:textId="6831592C" w:rsidR="008D09BF" w:rsidRPr="00E421F4" w:rsidRDefault="00502DD6" w:rsidP="00BC5ACE">
      <w:pPr>
        <w:spacing w:line="360" w:lineRule="auto"/>
        <w:rPr>
          <w:rFonts w:ascii="Garamond" w:hAnsi="Garamond"/>
        </w:rPr>
      </w:pPr>
      <w:r w:rsidRPr="00E421F4">
        <w:rPr>
          <w:rFonts w:ascii="Garamond" w:hAnsi="Garamond"/>
        </w:rPr>
        <w:t>By the end of the decade, however,</w:t>
      </w:r>
      <w:r w:rsidR="005653A5" w:rsidRPr="00E421F4">
        <w:rPr>
          <w:rFonts w:ascii="Garamond" w:hAnsi="Garamond"/>
        </w:rPr>
        <w:t xml:space="preserve"> with the economy contracting, a second round of bureaucratic rationalisation was scheduled. Despite strong opposition - the then Director leaked to the press i</w:t>
      </w:r>
      <w:r w:rsidR="000654F6" w:rsidRPr="00E421F4">
        <w:rPr>
          <w:rFonts w:ascii="Garamond" w:hAnsi="Garamond"/>
        </w:rPr>
        <w:t>n order to mobilise NGO support</w:t>
      </w:r>
      <w:r w:rsidR="005653A5" w:rsidRPr="00E421F4">
        <w:rPr>
          <w:rFonts w:ascii="Garamond" w:hAnsi="Garamond"/>
        </w:rPr>
        <w:t xml:space="preserve"> - ADAB was to be further integrated with the Department of Foreign Affairs, including the consolidation of all corporate functions.</w:t>
      </w:r>
      <w:r w:rsidR="008D09BF" w:rsidRPr="00E421F4">
        <w:rPr>
          <w:rFonts w:ascii="Garamond" w:hAnsi="Garamond"/>
        </w:rPr>
        <w:t xml:space="preserve"> Again, arguments about efficiency prevailed against those who envisioned a </w:t>
      </w:r>
      <w:r w:rsidR="00014B29" w:rsidRPr="00E421F4">
        <w:rPr>
          <w:rFonts w:ascii="Garamond" w:hAnsi="Garamond"/>
        </w:rPr>
        <w:t>more expansive</w:t>
      </w:r>
      <w:r w:rsidR="008D09BF" w:rsidRPr="00E421F4">
        <w:rPr>
          <w:rFonts w:ascii="Garamond" w:hAnsi="Garamond"/>
        </w:rPr>
        <w:t xml:space="preserve"> aid program. </w:t>
      </w:r>
      <w:r w:rsidR="005653A5" w:rsidRPr="00E421F4">
        <w:rPr>
          <w:rFonts w:ascii="Garamond" w:hAnsi="Garamond"/>
        </w:rPr>
        <w:t xml:space="preserve"> </w:t>
      </w:r>
    </w:p>
    <w:p w14:paraId="08EFA40A" w14:textId="4D945C5D" w:rsidR="005653A5" w:rsidRPr="00E421F4" w:rsidRDefault="008D09BF" w:rsidP="00BC5ACE">
      <w:pPr>
        <w:spacing w:line="360" w:lineRule="auto"/>
        <w:rPr>
          <w:rFonts w:ascii="Garamond" w:hAnsi="Garamond"/>
        </w:rPr>
      </w:pPr>
      <w:r w:rsidRPr="00E421F4">
        <w:rPr>
          <w:rFonts w:ascii="Garamond" w:hAnsi="Garamond"/>
        </w:rPr>
        <w:tab/>
        <w:t xml:space="preserve">So far, this story largely conforms to the established precepts of termination theory outlined above with the agency confronting the defeat of </w:t>
      </w:r>
      <w:r w:rsidR="00014B29" w:rsidRPr="00E421F4">
        <w:rPr>
          <w:rFonts w:ascii="Garamond" w:hAnsi="Garamond"/>
        </w:rPr>
        <w:t>its</w:t>
      </w:r>
      <w:r w:rsidRPr="00E421F4">
        <w:rPr>
          <w:rFonts w:ascii="Garamond" w:hAnsi="Garamond"/>
        </w:rPr>
        <w:t xml:space="preserve"> birth coalition soon after </w:t>
      </w:r>
      <w:r w:rsidR="00014B29" w:rsidRPr="00E421F4">
        <w:rPr>
          <w:rFonts w:ascii="Garamond" w:hAnsi="Garamond"/>
        </w:rPr>
        <w:t>being established</w:t>
      </w:r>
      <w:r w:rsidRPr="00E421F4">
        <w:rPr>
          <w:rFonts w:ascii="Garamond" w:hAnsi="Garamond"/>
        </w:rPr>
        <w:t xml:space="preserve"> and having its size reduced as a result. But, at the very point at which ADAB appeared to </w:t>
      </w:r>
      <w:r w:rsidR="00014B29" w:rsidRPr="00E421F4">
        <w:rPr>
          <w:rFonts w:ascii="Garamond" w:hAnsi="Garamond"/>
        </w:rPr>
        <w:t>be on the verge of complete termination</w:t>
      </w:r>
      <w:r w:rsidRPr="00E421F4">
        <w:rPr>
          <w:rFonts w:ascii="Garamond" w:hAnsi="Garamond"/>
        </w:rPr>
        <w:t>, fortune intervened in the form of the 1981 C</w:t>
      </w:r>
      <w:r w:rsidR="00FF0DED" w:rsidRPr="00E421F4">
        <w:rPr>
          <w:rFonts w:ascii="Garamond" w:hAnsi="Garamond"/>
        </w:rPr>
        <w:t xml:space="preserve">ommonwealth </w:t>
      </w:r>
      <w:r w:rsidRPr="00E421F4">
        <w:rPr>
          <w:rFonts w:ascii="Garamond" w:hAnsi="Garamond"/>
        </w:rPr>
        <w:t>H</w:t>
      </w:r>
      <w:r w:rsidR="00FF0DED" w:rsidRPr="00E421F4">
        <w:rPr>
          <w:rFonts w:ascii="Garamond" w:hAnsi="Garamond"/>
        </w:rPr>
        <w:t>eads of Government Meeting (CH</w:t>
      </w:r>
      <w:r w:rsidRPr="00E421F4">
        <w:rPr>
          <w:rFonts w:ascii="Garamond" w:hAnsi="Garamond"/>
        </w:rPr>
        <w:t>OGM</w:t>
      </w:r>
      <w:r w:rsidR="00FF0DED" w:rsidRPr="00E421F4">
        <w:rPr>
          <w:rFonts w:ascii="Garamond" w:hAnsi="Garamond"/>
        </w:rPr>
        <w:t xml:space="preserve">) </w:t>
      </w:r>
      <w:r w:rsidRPr="00E421F4">
        <w:rPr>
          <w:rFonts w:ascii="Garamond" w:hAnsi="Garamond"/>
        </w:rPr>
        <w:t xml:space="preserve">in Melbourne. </w:t>
      </w:r>
      <w:r w:rsidR="00EA0CBF" w:rsidRPr="00E421F4">
        <w:rPr>
          <w:rFonts w:ascii="Garamond" w:hAnsi="Garamond"/>
        </w:rPr>
        <w:t xml:space="preserve">PM </w:t>
      </w:r>
      <w:r w:rsidRPr="00E421F4">
        <w:rPr>
          <w:rFonts w:ascii="Garamond" w:hAnsi="Garamond"/>
        </w:rPr>
        <w:t xml:space="preserve">Fraser was due to host the meeting and his advisers were wary of criticism from developing countries about the diminishing size of the aid budget. </w:t>
      </w:r>
      <w:r w:rsidR="00132D81" w:rsidRPr="00E421F4">
        <w:rPr>
          <w:rFonts w:ascii="Garamond" w:hAnsi="Garamond"/>
        </w:rPr>
        <w:t>Concerned about</w:t>
      </w:r>
      <w:r w:rsidRPr="00E421F4">
        <w:rPr>
          <w:rFonts w:ascii="Garamond" w:hAnsi="Garamond"/>
        </w:rPr>
        <w:t xml:space="preserve"> the potential public backlash, Foreign Affairs and the Department of Prime</w:t>
      </w:r>
      <w:r w:rsidR="005653A5" w:rsidRPr="00E421F4">
        <w:rPr>
          <w:rFonts w:ascii="Garamond" w:hAnsi="Garamond"/>
        </w:rPr>
        <w:t xml:space="preserve"> </w:t>
      </w:r>
      <w:r w:rsidR="00FF0DED" w:rsidRPr="00E421F4">
        <w:rPr>
          <w:rFonts w:ascii="Garamond" w:hAnsi="Garamond"/>
        </w:rPr>
        <w:t xml:space="preserve">Minister </w:t>
      </w:r>
      <w:r w:rsidRPr="00E421F4">
        <w:rPr>
          <w:rFonts w:ascii="Garamond" w:hAnsi="Garamond"/>
        </w:rPr>
        <w:t xml:space="preserve">and Cabinet prevailed against Treasury and Finance opposition for a modest increase in the aid budget. This lifeline saw the aid budget increase slightly during the remainder of Fraser’s term in office. </w:t>
      </w:r>
    </w:p>
    <w:p w14:paraId="6C74D139" w14:textId="77777777" w:rsidR="005653A5" w:rsidRPr="00E421F4" w:rsidRDefault="005653A5" w:rsidP="00BC5ACE">
      <w:pPr>
        <w:spacing w:line="360" w:lineRule="auto"/>
        <w:rPr>
          <w:rFonts w:ascii="Garamond" w:hAnsi="Garamond"/>
        </w:rPr>
      </w:pPr>
    </w:p>
    <w:p w14:paraId="1809FA43" w14:textId="77777777" w:rsidR="005653A5" w:rsidRPr="00E421F4" w:rsidRDefault="005653A5" w:rsidP="005653A5">
      <w:pPr>
        <w:spacing w:line="360" w:lineRule="auto"/>
        <w:rPr>
          <w:rFonts w:ascii="Garamond" w:hAnsi="Garamond"/>
          <w:i/>
        </w:rPr>
      </w:pPr>
      <w:r w:rsidRPr="00E421F4">
        <w:rPr>
          <w:rFonts w:ascii="Garamond" w:hAnsi="Garamond"/>
          <w:i/>
        </w:rPr>
        <w:t>Recovery</w:t>
      </w:r>
    </w:p>
    <w:p w14:paraId="7233229A" w14:textId="77777777" w:rsidR="003607EC" w:rsidRPr="00E421F4" w:rsidRDefault="003607EC" w:rsidP="00BC5ACE">
      <w:pPr>
        <w:spacing w:line="360" w:lineRule="auto"/>
        <w:rPr>
          <w:rFonts w:ascii="Garamond" w:hAnsi="Garamond"/>
        </w:rPr>
      </w:pPr>
    </w:p>
    <w:p w14:paraId="6AF9316D" w14:textId="67FD388D" w:rsidR="00BC5ACE" w:rsidRPr="00E421F4" w:rsidRDefault="008D09BF" w:rsidP="002F7205">
      <w:pPr>
        <w:spacing w:line="360" w:lineRule="auto"/>
        <w:rPr>
          <w:rFonts w:ascii="Garamond" w:hAnsi="Garamond"/>
        </w:rPr>
      </w:pPr>
      <w:r w:rsidRPr="00E421F4">
        <w:rPr>
          <w:rFonts w:ascii="Garamond" w:hAnsi="Garamond"/>
        </w:rPr>
        <w:t>Despite the increase, the tenuous existence of the agency was not lost on senior staff who</w:t>
      </w:r>
      <w:r w:rsidR="003147A5" w:rsidRPr="00E421F4">
        <w:rPr>
          <w:rFonts w:ascii="Garamond" w:hAnsi="Garamond"/>
        </w:rPr>
        <w:t xml:space="preserve">, foreshadowing </w:t>
      </w:r>
      <w:proofErr w:type="spellStart"/>
      <w:r w:rsidR="003147A5" w:rsidRPr="00E421F4">
        <w:rPr>
          <w:rFonts w:ascii="Garamond" w:hAnsi="Garamond"/>
        </w:rPr>
        <w:t>Dommett</w:t>
      </w:r>
      <w:proofErr w:type="spellEnd"/>
      <w:r w:rsidR="003147A5" w:rsidRPr="00E421F4">
        <w:rPr>
          <w:rFonts w:ascii="Garamond" w:hAnsi="Garamond"/>
        </w:rPr>
        <w:t xml:space="preserve"> and </w:t>
      </w:r>
      <w:proofErr w:type="spellStart"/>
      <w:r w:rsidR="003147A5" w:rsidRPr="00E421F4">
        <w:rPr>
          <w:rFonts w:ascii="Garamond" w:hAnsi="Garamond"/>
        </w:rPr>
        <w:t>S</w:t>
      </w:r>
      <w:r w:rsidR="000872A0" w:rsidRPr="00E421F4">
        <w:rPr>
          <w:rFonts w:ascii="Garamond" w:hAnsi="Garamond"/>
        </w:rPr>
        <w:t>kelcher</w:t>
      </w:r>
      <w:proofErr w:type="spellEnd"/>
      <w:r w:rsidR="000872A0" w:rsidRPr="00E421F4">
        <w:rPr>
          <w:rFonts w:ascii="Garamond" w:hAnsi="Garamond"/>
        </w:rPr>
        <w:t xml:space="preserve"> (2014),</w:t>
      </w:r>
      <w:r w:rsidRPr="00E421F4">
        <w:rPr>
          <w:rFonts w:ascii="Garamond" w:hAnsi="Garamond"/>
        </w:rPr>
        <w:t xml:space="preserve"> </w:t>
      </w:r>
      <w:r w:rsidR="00BC5ACE" w:rsidRPr="00E421F4">
        <w:rPr>
          <w:rFonts w:ascii="Garamond" w:hAnsi="Garamond"/>
        </w:rPr>
        <w:t xml:space="preserve">believed that </w:t>
      </w:r>
      <w:r w:rsidRPr="00E421F4">
        <w:rPr>
          <w:rFonts w:ascii="Garamond" w:hAnsi="Garamond"/>
        </w:rPr>
        <w:t xml:space="preserve">unless they were more proactive they </w:t>
      </w:r>
      <w:r w:rsidR="004541AA" w:rsidRPr="00E421F4">
        <w:rPr>
          <w:rFonts w:ascii="Garamond" w:hAnsi="Garamond"/>
        </w:rPr>
        <w:t>would face termination sooner rather than later</w:t>
      </w:r>
      <w:r w:rsidR="002F7205" w:rsidRPr="00E421F4">
        <w:rPr>
          <w:rFonts w:ascii="Garamond" w:hAnsi="Garamond"/>
        </w:rPr>
        <w:t>. They sought a root and branch review of the program – known as the “Jackson Review” – that recommended an administrative restructure and a revival of the initial emphasis on technical specialisation. In making its recommendations Jackson essentially argued that the agency was administratively inept. It reasoned that this could only be rectified if ADAB was better resourced. As a result, the corporate functions lost under the rationalisation of the late 1970s and early 1980s were returned to ADAB and, symbolic of its growing status, the head of the agency was entitled Director General again.</w:t>
      </w:r>
    </w:p>
    <w:p w14:paraId="4CE6AE84" w14:textId="24E206C5" w:rsidR="002F7205" w:rsidRPr="00E421F4" w:rsidRDefault="00EA0CBF" w:rsidP="002F7205">
      <w:pPr>
        <w:spacing w:line="360" w:lineRule="auto"/>
        <w:rPr>
          <w:rFonts w:ascii="Garamond" w:hAnsi="Garamond"/>
        </w:rPr>
      </w:pPr>
      <w:r w:rsidRPr="00E421F4">
        <w:rPr>
          <w:rFonts w:ascii="Garamond" w:hAnsi="Garamond"/>
        </w:rPr>
        <w:tab/>
      </w:r>
      <w:r w:rsidR="00BC5ACE" w:rsidRPr="00E421F4">
        <w:rPr>
          <w:rFonts w:ascii="Garamond" w:hAnsi="Garamond"/>
        </w:rPr>
        <w:t xml:space="preserve">Economic downturn would see program funding cut during the late 1980s but Jackson delivered an increase to ADAB’s core budget, thus allowing it to prioritise specialist recruitment and staff development. </w:t>
      </w:r>
      <w:r w:rsidR="00D72675" w:rsidRPr="00E421F4">
        <w:rPr>
          <w:rFonts w:ascii="Garamond" w:hAnsi="Garamond"/>
        </w:rPr>
        <w:t xml:space="preserve">ADAB staff </w:t>
      </w:r>
      <w:r w:rsidR="000654F6" w:rsidRPr="00E421F4">
        <w:rPr>
          <w:rFonts w:ascii="Garamond" w:hAnsi="Garamond"/>
        </w:rPr>
        <w:t xml:space="preserve">nevertheless </w:t>
      </w:r>
      <w:r w:rsidR="00D72675" w:rsidRPr="00E421F4">
        <w:rPr>
          <w:rFonts w:ascii="Garamond" w:hAnsi="Garamond"/>
        </w:rPr>
        <w:t xml:space="preserve">remained wary of the threat of termination. </w:t>
      </w:r>
      <w:r w:rsidR="00F77267" w:rsidRPr="00E421F4">
        <w:rPr>
          <w:rFonts w:ascii="Garamond" w:hAnsi="Garamond"/>
        </w:rPr>
        <w:t xml:space="preserve">The then Director General of ADAB, Bob Dun, </w:t>
      </w:r>
      <w:r w:rsidR="00D72675" w:rsidRPr="00E421F4">
        <w:rPr>
          <w:rFonts w:ascii="Garamond" w:hAnsi="Garamond"/>
        </w:rPr>
        <w:t>u</w:t>
      </w:r>
      <w:r w:rsidR="00F77267" w:rsidRPr="00E421F4">
        <w:rPr>
          <w:rFonts w:ascii="Garamond" w:hAnsi="Garamond"/>
        </w:rPr>
        <w:t xml:space="preserve">sed to remind staff that the Bureau’s position </w:t>
      </w:r>
      <w:r w:rsidR="00F77267" w:rsidRPr="00E421F4">
        <w:rPr>
          <w:rFonts w:ascii="Garamond" w:hAnsi="Garamond"/>
        </w:rPr>
        <w:lastRenderedPageBreak/>
        <w:t>was similar to that of a “spaceship,” or an “orphan”; all alone in the vast universe of the Canberra bureaucracy with no friends or natural allies. His strategy for the agency was built on this assessment. C</w:t>
      </w:r>
      <w:r w:rsidR="00BC5ACE" w:rsidRPr="00E421F4">
        <w:rPr>
          <w:rFonts w:ascii="Garamond" w:hAnsi="Garamond"/>
        </w:rPr>
        <w:t>onscious of how past cockiness had eroded support</w:t>
      </w:r>
      <w:r w:rsidR="00D72675" w:rsidRPr="00E421F4">
        <w:rPr>
          <w:rFonts w:ascii="Garamond" w:hAnsi="Garamond"/>
        </w:rPr>
        <w:t xml:space="preserve"> among other agencies</w:t>
      </w:r>
      <w:r w:rsidR="00BC5ACE" w:rsidRPr="00E421F4">
        <w:rPr>
          <w:rFonts w:ascii="Garamond" w:hAnsi="Garamond"/>
        </w:rPr>
        <w:t xml:space="preserve">, </w:t>
      </w:r>
      <w:r w:rsidR="00F77267" w:rsidRPr="00E421F4">
        <w:rPr>
          <w:rFonts w:ascii="Garamond" w:hAnsi="Garamond"/>
        </w:rPr>
        <w:t>Dun implemented a small target strategy that included</w:t>
      </w:r>
      <w:r w:rsidR="00BC5ACE" w:rsidRPr="00E421F4">
        <w:rPr>
          <w:rFonts w:ascii="Garamond" w:hAnsi="Garamond"/>
        </w:rPr>
        <w:t xml:space="preserve"> adopting a humble and understated demeanour </w:t>
      </w:r>
      <w:r w:rsidR="00F77267" w:rsidRPr="00E421F4">
        <w:rPr>
          <w:rFonts w:ascii="Garamond" w:hAnsi="Garamond"/>
        </w:rPr>
        <w:t xml:space="preserve">in bureaucratic forums and </w:t>
      </w:r>
      <w:r w:rsidR="00BC5ACE" w:rsidRPr="00E421F4">
        <w:rPr>
          <w:rFonts w:ascii="Garamond" w:hAnsi="Garamond"/>
        </w:rPr>
        <w:t xml:space="preserve">only </w:t>
      </w:r>
      <w:r w:rsidR="00F77267" w:rsidRPr="00E421F4">
        <w:rPr>
          <w:rFonts w:ascii="Garamond" w:hAnsi="Garamond"/>
        </w:rPr>
        <w:t>seeking</w:t>
      </w:r>
      <w:r w:rsidR="00BC5ACE" w:rsidRPr="00E421F4">
        <w:rPr>
          <w:rFonts w:ascii="Garamond" w:hAnsi="Garamond"/>
        </w:rPr>
        <w:t xml:space="preserve"> budget increases when they had support from key agencies. Bureau staff were instructed to ‘love’ their counterparts, both in DFA but also Treasury and Finance, ‘to death’ in the hope of reducing past antagonism and even potentially winning friends and allies. This strategy included turning down the opportunity for greater autonomy in the belief that it would </w:t>
      </w:r>
      <w:r w:rsidR="000472F5" w:rsidRPr="00E421F4">
        <w:rPr>
          <w:rFonts w:ascii="Garamond" w:hAnsi="Garamond"/>
        </w:rPr>
        <w:t>jeopardise</w:t>
      </w:r>
      <w:r w:rsidR="00BC5ACE" w:rsidRPr="00E421F4">
        <w:rPr>
          <w:rFonts w:ascii="Garamond" w:hAnsi="Garamond"/>
        </w:rPr>
        <w:t xml:space="preserve"> their newly won size</w:t>
      </w:r>
      <w:r w:rsidR="002F7205" w:rsidRPr="00E421F4">
        <w:rPr>
          <w:rFonts w:ascii="Garamond" w:hAnsi="Garamond"/>
        </w:rPr>
        <w:t xml:space="preserve">. </w:t>
      </w:r>
    </w:p>
    <w:p w14:paraId="530FC3EF" w14:textId="55498063" w:rsidR="00BC5ACE" w:rsidRPr="00E421F4" w:rsidRDefault="00EA0CBF" w:rsidP="00D72675">
      <w:pPr>
        <w:spacing w:line="360" w:lineRule="auto"/>
        <w:rPr>
          <w:rFonts w:ascii="Garamond" w:hAnsi="Garamond"/>
        </w:rPr>
      </w:pPr>
      <w:r w:rsidRPr="00E421F4">
        <w:rPr>
          <w:rFonts w:ascii="Garamond" w:hAnsi="Garamond"/>
        </w:rPr>
        <w:tab/>
      </w:r>
      <w:r w:rsidR="00D72675" w:rsidRPr="00E421F4">
        <w:rPr>
          <w:rFonts w:ascii="Garamond" w:hAnsi="Garamond"/>
        </w:rPr>
        <w:t>In the aftermath of the most recent termination, past officers often look back with a great deal of nostalgia on Dun’s small target strategy in the belief that it was the most tried and tested means of ensuring the agency’s survival. And, their view was shared by others at the time, with</w:t>
      </w:r>
      <w:r w:rsidR="00BC5ACE" w:rsidRPr="00E421F4">
        <w:rPr>
          <w:rFonts w:ascii="Garamond" w:hAnsi="Garamond"/>
        </w:rPr>
        <w:t xml:space="preserve"> the Joint Committee on Foreign Affairs, Defence and Trade prais</w:t>
      </w:r>
      <w:r w:rsidR="00D72675" w:rsidRPr="00E421F4">
        <w:rPr>
          <w:rFonts w:ascii="Garamond" w:hAnsi="Garamond"/>
        </w:rPr>
        <w:t xml:space="preserve">ing the agency </w:t>
      </w:r>
      <w:r w:rsidR="00BC5ACE" w:rsidRPr="00E421F4">
        <w:rPr>
          <w:rFonts w:ascii="Garamond" w:hAnsi="Garamond"/>
        </w:rPr>
        <w:t>as a</w:t>
      </w:r>
      <w:r w:rsidR="004541AA" w:rsidRPr="00E421F4">
        <w:rPr>
          <w:rFonts w:ascii="Garamond" w:hAnsi="Garamond"/>
        </w:rPr>
        <w:t>n</w:t>
      </w:r>
      <w:r w:rsidR="00BC5ACE" w:rsidRPr="00E421F4">
        <w:rPr>
          <w:rFonts w:ascii="Garamond" w:hAnsi="Garamond"/>
        </w:rPr>
        <w:t xml:space="preserve"> ‘efficient organisation capable of achieving [its] objectives’ (JCFADT 1989, p. 129</w:t>
      </w:r>
      <w:r w:rsidR="000872A0" w:rsidRPr="00E421F4">
        <w:rPr>
          <w:rFonts w:ascii="Garamond" w:hAnsi="Garamond"/>
        </w:rPr>
        <w:t>; see also Davis 2011</w:t>
      </w:r>
      <w:r w:rsidR="00BC5ACE" w:rsidRPr="00E421F4">
        <w:rPr>
          <w:rFonts w:ascii="Garamond" w:hAnsi="Garamond"/>
        </w:rPr>
        <w:t xml:space="preserve">). </w:t>
      </w:r>
    </w:p>
    <w:p w14:paraId="1EDC7DB2" w14:textId="77777777" w:rsidR="00BC5ACE" w:rsidRPr="00E421F4" w:rsidRDefault="00BC5ACE" w:rsidP="00BC5ACE">
      <w:pPr>
        <w:spacing w:line="360" w:lineRule="auto"/>
        <w:rPr>
          <w:rFonts w:ascii="Garamond" w:hAnsi="Garamond"/>
        </w:rPr>
      </w:pPr>
    </w:p>
    <w:p w14:paraId="0BCECF4A" w14:textId="77777777" w:rsidR="00BC5ACE" w:rsidRPr="00E421F4" w:rsidRDefault="00BC5ACE" w:rsidP="00BC5ACE">
      <w:pPr>
        <w:spacing w:line="360" w:lineRule="auto"/>
        <w:rPr>
          <w:rFonts w:ascii="Garamond" w:hAnsi="Garamond"/>
          <w:i/>
        </w:rPr>
      </w:pPr>
      <w:r w:rsidRPr="00E421F4">
        <w:rPr>
          <w:rFonts w:ascii="Garamond" w:hAnsi="Garamond"/>
          <w:i/>
        </w:rPr>
        <w:t>Consolidation</w:t>
      </w:r>
    </w:p>
    <w:p w14:paraId="17F2F126" w14:textId="77777777" w:rsidR="00BC5ACE" w:rsidRPr="00E421F4" w:rsidRDefault="00BC5ACE" w:rsidP="00BC5ACE">
      <w:pPr>
        <w:spacing w:line="360" w:lineRule="auto"/>
        <w:rPr>
          <w:rFonts w:ascii="Garamond" w:hAnsi="Garamond"/>
        </w:rPr>
      </w:pPr>
    </w:p>
    <w:p w14:paraId="5E19F92C" w14:textId="1436CD5E" w:rsidR="00BC5ACE" w:rsidRPr="00E421F4" w:rsidRDefault="00D72675" w:rsidP="00BC5ACE">
      <w:pPr>
        <w:spacing w:line="360" w:lineRule="auto"/>
        <w:rPr>
          <w:rFonts w:ascii="Garamond" w:hAnsi="Garamond"/>
        </w:rPr>
      </w:pPr>
      <w:r w:rsidRPr="00E421F4">
        <w:rPr>
          <w:rFonts w:ascii="Garamond" w:hAnsi="Garamond"/>
        </w:rPr>
        <w:t xml:space="preserve">The end of the Cold War reduced the immediate strategic relevance of aid but the groundwork laid by </w:t>
      </w:r>
      <w:r w:rsidR="00E01C06" w:rsidRPr="00E421F4">
        <w:rPr>
          <w:rFonts w:ascii="Garamond" w:hAnsi="Garamond"/>
        </w:rPr>
        <w:t xml:space="preserve">the </w:t>
      </w:r>
      <w:r w:rsidRPr="00E421F4">
        <w:rPr>
          <w:rFonts w:ascii="Garamond" w:hAnsi="Garamond"/>
        </w:rPr>
        <w:t xml:space="preserve">Jackson Review ensured that the </w:t>
      </w:r>
      <w:r w:rsidR="00BC5ACE" w:rsidRPr="00E421F4">
        <w:rPr>
          <w:rFonts w:ascii="Garamond" w:hAnsi="Garamond"/>
        </w:rPr>
        <w:t>Bureau’s position became stable throughout the 1990s</w:t>
      </w:r>
      <w:r w:rsidRPr="00E421F4">
        <w:rPr>
          <w:rFonts w:ascii="Garamond" w:hAnsi="Garamond"/>
        </w:rPr>
        <w:t>.</w:t>
      </w:r>
      <w:r w:rsidR="00BC5ACE" w:rsidRPr="00E421F4">
        <w:rPr>
          <w:rFonts w:ascii="Garamond" w:hAnsi="Garamond"/>
        </w:rPr>
        <w:t xml:space="preserve"> A key reason for this was the support of the then Minister for Foreign Affairs, Gareth Evans, who was an active champion of a liberal-internationalist world order. The budget grew marginally, although it </w:t>
      </w:r>
      <w:r w:rsidR="004541AA" w:rsidRPr="00E421F4">
        <w:rPr>
          <w:rFonts w:ascii="Garamond" w:hAnsi="Garamond"/>
        </w:rPr>
        <w:t>was perceived as</w:t>
      </w:r>
      <w:r w:rsidR="00BC5ACE" w:rsidRPr="00E421F4">
        <w:rPr>
          <w:rFonts w:ascii="Garamond" w:hAnsi="Garamond"/>
        </w:rPr>
        <w:t xml:space="preserve"> small. Later, in the mid-1990s, the Bureau was assigned to a dedicated junior minister. One in particular, Gordon </w:t>
      </w:r>
      <w:proofErr w:type="spellStart"/>
      <w:r w:rsidR="00BC5ACE" w:rsidRPr="00E421F4">
        <w:rPr>
          <w:rFonts w:ascii="Garamond" w:hAnsi="Garamond"/>
        </w:rPr>
        <w:t>Bilney</w:t>
      </w:r>
      <w:proofErr w:type="spellEnd"/>
      <w:r w:rsidR="00BC5ACE" w:rsidRPr="00E421F4">
        <w:rPr>
          <w:rFonts w:ascii="Garamond" w:hAnsi="Garamond"/>
        </w:rPr>
        <w:t xml:space="preserve">, sought to increase the Bureau’s profile, changing the name to </w:t>
      </w:r>
      <w:proofErr w:type="spellStart"/>
      <w:r w:rsidR="00BC5ACE" w:rsidRPr="00E421F4">
        <w:rPr>
          <w:rFonts w:ascii="Garamond" w:hAnsi="Garamond"/>
        </w:rPr>
        <w:t>AusAID</w:t>
      </w:r>
      <w:proofErr w:type="spellEnd"/>
      <w:r w:rsidR="00BC5ACE" w:rsidRPr="00E421F4">
        <w:rPr>
          <w:rFonts w:ascii="Garamond" w:hAnsi="Garamond"/>
        </w:rPr>
        <w:t xml:space="preserve"> in the process. The rationale was that AIDAB, as it was </w:t>
      </w:r>
      <w:r w:rsidR="00E01C06" w:rsidRPr="00E421F4">
        <w:rPr>
          <w:rFonts w:ascii="Garamond" w:hAnsi="Garamond"/>
        </w:rPr>
        <w:t xml:space="preserve">then </w:t>
      </w:r>
      <w:r w:rsidR="00BC5ACE" w:rsidRPr="00E421F4">
        <w:rPr>
          <w:rFonts w:ascii="Garamond" w:hAnsi="Garamond"/>
        </w:rPr>
        <w:t>called, had poor public recognition. Developing a strong public constituency ha</w:t>
      </w:r>
      <w:r w:rsidR="00E01C06" w:rsidRPr="00E421F4">
        <w:rPr>
          <w:rFonts w:ascii="Garamond" w:hAnsi="Garamond"/>
        </w:rPr>
        <w:t>d</w:t>
      </w:r>
      <w:r w:rsidR="00BC5ACE" w:rsidRPr="00E421F4">
        <w:rPr>
          <w:rFonts w:ascii="Garamond" w:hAnsi="Garamond"/>
        </w:rPr>
        <w:t xml:space="preserve"> always been the Holy Grail for the Australian aid lobby. But, for the most part this goal ha</w:t>
      </w:r>
      <w:r w:rsidR="00E01C06" w:rsidRPr="00E421F4">
        <w:rPr>
          <w:rFonts w:ascii="Garamond" w:hAnsi="Garamond"/>
        </w:rPr>
        <w:t>d</w:t>
      </w:r>
      <w:r w:rsidR="00BC5ACE" w:rsidRPr="00E421F4">
        <w:rPr>
          <w:rFonts w:ascii="Garamond" w:hAnsi="Garamond"/>
        </w:rPr>
        <w:t xml:space="preserve"> proved elusive. Public support ha</w:t>
      </w:r>
      <w:r w:rsidR="00E01C06" w:rsidRPr="00E421F4">
        <w:rPr>
          <w:rFonts w:ascii="Garamond" w:hAnsi="Garamond"/>
        </w:rPr>
        <w:t>d</w:t>
      </w:r>
      <w:r w:rsidR="00BC5ACE" w:rsidRPr="00E421F4">
        <w:rPr>
          <w:rFonts w:ascii="Garamond" w:hAnsi="Garamond"/>
        </w:rPr>
        <w:t xml:space="preserve"> never played a prominent let alone decisive role during elections. In this sense aid policy is similar to Australian foreign policy more generally (Gyngell and Wesley 2007). It just has a </w:t>
      </w:r>
      <w:r w:rsidR="00DF1286" w:rsidRPr="00E421F4">
        <w:rPr>
          <w:rFonts w:ascii="Garamond" w:hAnsi="Garamond"/>
        </w:rPr>
        <w:t xml:space="preserve">bigger </w:t>
      </w:r>
      <w:r w:rsidR="00DF1286">
        <w:rPr>
          <w:rFonts w:ascii="Garamond" w:hAnsi="Garamond"/>
        </w:rPr>
        <w:t xml:space="preserve">program </w:t>
      </w:r>
      <w:r w:rsidR="00BC5ACE" w:rsidRPr="00E421F4">
        <w:rPr>
          <w:rFonts w:ascii="Garamond" w:hAnsi="Garamond"/>
        </w:rPr>
        <w:t>budget.</w:t>
      </w:r>
    </w:p>
    <w:p w14:paraId="2D18FD59" w14:textId="6C955E11" w:rsidR="00BC5ACE" w:rsidRPr="00E421F4" w:rsidRDefault="00BC5ACE" w:rsidP="00BC5ACE">
      <w:pPr>
        <w:spacing w:line="360" w:lineRule="auto"/>
        <w:rPr>
          <w:rFonts w:ascii="Garamond" w:hAnsi="Garamond"/>
        </w:rPr>
      </w:pPr>
      <w:r w:rsidRPr="00E421F4">
        <w:rPr>
          <w:rFonts w:ascii="Garamond" w:hAnsi="Garamond"/>
        </w:rPr>
        <w:tab/>
        <w:t xml:space="preserve">In the late 1990s and early 2000s the Australian government either initiated or took part in a series of overseas interventions, both in its immediate region – East Timor, Solomon Islands and to a </w:t>
      </w:r>
      <w:proofErr w:type="spellStart"/>
      <w:r w:rsidRPr="00E421F4">
        <w:rPr>
          <w:rFonts w:ascii="Garamond" w:hAnsi="Garamond"/>
        </w:rPr>
        <w:t>lessor</w:t>
      </w:r>
      <w:proofErr w:type="spellEnd"/>
      <w:r w:rsidRPr="00E421F4">
        <w:rPr>
          <w:rFonts w:ascii="Garamond" w:hAnsi="Garamond"/>
        </w:rPr>
        <w:t xml:space="preserve"> extent PNG – and further abroad – Afghanistan and Iraq – in service of broader foreign policy objectives. The post-September 11 terrorist attacks further consolidated the </w:t>
      </w:r>
      <w:r w:rsidRPr="00E421F4">
        <w:rPr>
          <w:rFonts w:ascii="Garamond" w:hAnsi="Garamond"/>
        </w:rPr>
        <w:lastRenderedPageBreak/>
        <w:t>emerging security-development nexus as a feature of global discourse</w:t>
      </w:r>
      <w:r w:rsidR="004541AA" w:rsidRPr="00E421F4">
        <w:rPr>
          <w:rFonts w:ascii="Garamond" w:hAnsi="Garamond"/>
        </w:rPr>
        <w:t xml:space="preserve"> (Corbett and </w:t>
      </w:r>
      <w:proofErr w:type="spellStart"/>
      <w:r w:rsidR="004541AA" w:rsidRPr="00E421F4">
        <w:rPr>
          <w:rFonts w:ascii="Garamond" w:hAnsi="Garamond"/>
        </w:rPr>
        <w:t>Dinnen</w:t>
      </w:r>
      <w:proofErr w:type="spellEnd"/>
      <w:r w:rsidR="004541AA" w:rsidRPr="00E421F4">
        <w:rPr>
          <w:rFonts w:ascii="Garamond" w:hAnsi="Garamond"/>
        </w:rPr>
        <w:t xml:space="preserve"> 2016)</w:t>
      </w:r>
      <w:r w:rsidRPr="00E421F4">
        <w:rPr>
          <w:rFonts w:ascii="Garamond" w:hAnsi="Garamond"/>
        </w:rPr>
        <w:t xml:space="preserve">. Initially, the security-development nexus represented a considerable threat to the aid program as other departments – especially Treasury and Finance – claimed to be more capable of implementing aid programs. Moreover, there was a view that </w:t>
      </w:r>
      <w:proofErr w:type="spellStart"/>
      <w:r w:rsidRPr="00E421F4">
        <w:rPr>
          <w:rFonts w:ascii="Garamond" w:hAnsi="Garamond"/>
        </w:rPr>
        <w:t>AusAID</w:t>
      </w:r>
      <w:proofErr w:type="spellEnd"/>
      <w:r w:rsidRPr="00E421F4">
        <w:rPr>
          <w:rFonts w:ascii="Garamond" w:hAnsi="Garamond"/>
        </w:rPr>
        <w:t xml:space="preserve"> was partly responsible for the deterioration of governance in neighbouring countries like Solomon Islands, Fiji and Papua New Guinea. A common view was that other departments needed to clean up </w:t>
      </w:r>
      <w:proofErr w:type="spellStart"/>
      <w:r w:rsidRPr="00E421F4">
        <w:rPr>
          <w:rFonts w:ascii="Garamond" w:hAnsi="Garamond"/>
        </w:rPr>
        <w:t>AusAID’s</w:t>
      </w:r>
      <w:proofErr w:type="spellEnd"/>
      <w:r w:rsidRPr="00E421F4">
        <w:rPr>
          <w:rFonts w:ascii="Garamond" w:hAnsi="Garamond"/>
        </w:rPr>
        <w:t xml:space="preserve"> mess:  </w:t>
      </w:r>
    </w:p>
    <w:p w14:paraId="32BC09A9" w14:textId="77777777" w:rsidR="00BC5ACE" w:rsidRPr="00E421F4" w:rsidRDefault="00BC5ACE" w:rsidP="00BC5ACE">
      <w:pPr>
        <w:spacing w:line="360" w:lineRule="auto"/>
        <w:rPr>
          <w:rFonts w:ascii="Garamond" w:hAnsi="Garamond"/>
        </w:rPr>
      </w:pPr>
    </w:p>
    <w:p w14:paraId="72CB796D" w14:textId="3EDC9C3D" w:rsidR="00BC5ACE" w:rsidRPr="00E421F4" w:rsidRDefault="004541AA" w:rsidP="004541AA">
      <w:pPr>
        <w:ind w:left="720"/>
        <w:rPr>
          <w:rFonts w:ascii="Garamond" w:hAnsi="Garamond"/>
          <w:sz w:val="20"/>
          <w:szCs w:val="20"/>
        </w:rPr>
      </w:pPr>
      <w:r w:rsidRPr="00E421F4">
        <w:rPr>
          <w:rFonts w:ascii="Garamond" w:hAnsi="Garamond"/>
          <w:sz w:val="20"/>
          <w:szCs w:val="20"/>
        </w:rPr>
        <w:t>And I think there was a feeling that – in fact I heard Treasury officials say this</w:t>
      </w:r>
      <w:r w:rsidR="00EA0CBF" w:rsidRPr="00E421F4">
        <w:rPr>
          <w:rFonts w:ascii="Garamond" w:hAnsi="Garamond"/>
          <w:sz w:val="20"/>
          <w:szCs w:val="20"/>
        </w:rPr>
        <w:t>:</w:t>
      </w:r>
      <w:r w:rsidRPr="00E421F4">
        <w:rPr>
          <w:rFonts w:ascii="Garamond" w:hAnsi="Garamond"/>
          <w:sz w:val="20"/>
          <w:szCs w:val="20"/>
        </w:rPr>
        <w:t xml:space="preserve"> “</w:t>
      </w:r>
      <w:proofErr w:type="spellStart"/>
      <w:r w:rsidRPr="00E421F4">
        <w:rPr>
          <w:rFonts w:ascii="Garamond" w:hAnsi="Garamond"/>
          <w:sz w:val="20"/>
          <w:szCs w:val="20"/>
        </w:rPr>
        <w:t>AusAID</w:t>
      </w:r>
      <w:proofErr w:type="spellEnd"/>
      <w:r w:rsidRPr="00E421F4">
        <w:rPr>
          <w:rFonts w:ascii="Garamond" w:hAnsi="Garamond"/>
          <w:sz w:val="20"/>
          <w:szCs w:val="20"/>
        </w:rPr>
        <w:t xml:space="preserve"> staff were there for 20 years, we’ll fix it up in two” ... it was a tense period and I think there was a sense in some parts of </w:t>
      </w:r>
      <w:proofErr w:type="spellStart"/>
      <w:r w:rsidRPr="00E421F4">
        <w:rPr>
          <w:rFonts w:ascii="Garamond" w:hAnsi="Garamond"/>
          <w:sz w:val="20"/>
          <w:szCs w:val="20"/>
        </w:rPr>
        <w:t>AusAID</w:t>
      </w:r>
      <w:proofErr w:type="spellEnd"/>
      <w:r w:rsidRPr="00E421F4">
        <w:rPr>
          <w:rFonts w:ascii="Garamond" w:hAnsi="Garamond"/>
          <w:sz w:val="20"/>
          <w:szCs w:val="20"/>
        </w:rPr>
        <w:t xml:space="preserve"> that our future was on the line ... I remember a staff meeting where [we were] … summoned in by the Executive and basically told “there’s a new agenda in town, it’s security, it’s whole of government, we have no choice but to get on board this train.”</w:t>
      </w:r>
      <w:r w:rsidR="00014B29" w:rsidRPr="00E421F4">
        <w:rPr>
          <w:rFonts w:ascii="Garamond" w:hAnsi="Garamond"/>
          <w:sz w:val="20"/>
          <w:szCs w:val="20"/>
        </w:rPr>
        <w:t xml:space="preserve"> </w:t>
      </w:r>
      <w:r w:rsidR="00BC5ACE" w:rsidRPr="00E421F4">
        <w:rPr>
          <w:rFonts w:ascii="Garamond" w:hAnsi="Garamond"/>
          <w:sz w:val="20"/>
          <w:szCs w:val="20"/>
        </w:rPr>
        <w:t>(</w:t>
      </w:r>
      <w:proofErr w:type="gramStart"/>
      <w:r w:rsidR="00BC5ACE" w:rsidRPr="00E421F4">
        <w:rPr>
          <w:rFonts w:ascii="Garamond" w:hAnsi="Garamond"/>
          <w:sz w:val="20"/>
          <w:szCs w:val="20"/>
        </w:rPr>
        <w:t>interview</w:t>
      </w:r>
      <w:proofErr w:type="gramEnd"/>
      <w:r w:rsidR="00BC5ACE" w:rsidRPr="00E421F4">
        <w:rPr>
          <w:rFonts w:ascii="Garamond" w:hAnsi="Garamond"/>
          <w:sz w:val="20"/>
          <w:szCs w:val="20"/>
        </w:rPr>
        <w:t xml:space="preserve"> with senior official, 5 March 2015).</w:t>
      </w:r>
    </w:p>
    <w:p w14:paraId="02FE2D0F" w14:textId="77777777" w:rsidR="00BC5ACE" w:rsidRPr="00E421F4" w:rsidRDefault="00BC5ACE" w:rsidP="00BC5ACE">
      <w:pPr>
        <w:spacing w:line="360" w:lineRule="auto"/>
        <w:rPr>
          <w:rFonts w:ascii="Garamond" w:hAnsi="Garamond"/>
        </w:rPr>
      </w:pPr>
    </w:p>
    <w:p w14:paraId="6C133FA2" w14:textId="4DEA9B28" w:rsidR="00BC5ACE" w:rsidRPr="00E421F4" w:rsidRDefault="00BC5ACE" w:rsidP="00BC5ACE">
      <w:pPr>
        <w:spacing w:line="360" w:lineRule="auto"/>
        <w:rPr>
          <w:rFonts w:ascii="Garamond" w:hAnsi="Garamond"/>
        </w:rPr>
      </w:pPr>
      <w:proofErr w:type="spellStart"/>
      <w:r w:rsidRPr="00E421F4">
        <w:rPr>
          <w:rFonts w:ascii="Garamond" w:hAnsi="Garamond"/>
        </w:rPr>
        <w:t>AusAID</w:t>
      </w:r>
      <w:proofErr w:type="spellEnd"/>
      <w:r w:rsidRPr="00E421F4">
        <w:rPr>
          <w:rFonts w:ascii="Garamond" w:hAnsi="Garamond"/>
        </w:rPr>
        <w:t xml:space="preserve"> leadership responded to this threat </w:t>
      </w:r>
      <w:r w:rsidR="004541AA" w:rsidRPr="00E421F4">
        <w:rPr>
          <w:rFonts w:ascii="Garamond" w:hAnsi="Garamond"/>
        </w:rPr>
        <w:t>by</w:t>
      </w:r>
      <w:r w:rsidRPr="00E421F4">
        <w:rPr>
          <w:rFonts w:ascii="Garamond" w:hAnsi="Garamond"/>
        </w:rPr>
        <w:t xml:space="preserve"> recruiting internationally renowned development experts</w:t>
      </w:r>
      <w:r w:rsidR="004541AA" w:rsidRPr="00E421F4">
        <w:rPr>
          <w:rFonts w:ascii="Garamond" w:hAnsi="Garamond"/>
        </w:rPr>
        <w:t xml:space="preserve"> to </w:t>
      </w:r>
      <w:r w:rsidR="000654F6" w:rsidRPr="00E421F4">
        <w:rPr>
          <w:rFonts w:ascii="Garamond" w:hAnsi="Garamond"/>
        </w:rPr>
        <w:t>increase</w:t>
      </w:r>
      <w:r w:rsidR="004541AA" w:rsidRPr="00E421F4">
        <w:rPr>
          <w:rFonts w:ascii="Garamond" w:hAnsi="Garamond"/>
        </w:rPr>
        <w:t xml:space="preserve"> their technical expertise</w:t>
      </w:r>
      <w:r w:rsidRPr="00E421F4">
        <w:rPr>
          <w:rFonts w:ascii="Garamond" w:hAnsi="Garamond"/>
        </w:rPr>
        <w:t xml:space="preserve">. They also set about building networks and relationships with key senior administrators across government and the Treasury in particular. </w:t>
      </w:r>
      <w:r w:rsidR="00EA0CBF" w:rsidRPr="00E421F4">
        <w:rPr>
          <w:rFonts w:ascii="Garamond" w:hAnsi="Garamond"/>
        </w:rPr>
        <w:t xml:space="preserve">Such activities align closely with </w:t>
      </w:r>
      <w:proofErr w:type="spellStart"/>
      <w:r w:rsidR="00EA0CBF" w:rsidRPr="00E421F4">
        <w:rPr>
          <w:rFonts w:ascii="Garamond" w:hAnsi="Garamond"/>
        </w:rPr>
        <w:t>Dommett</w:t>
      </w:r>
      <w:proofErr w:type="spellEnd"/>
      <w:r w:rsidR="00EA0CBF" w:rsidRPr="00E421F4">
        <w:rPr>
          <w:rFonts w:ascii="Garamond" w:hAnsi="Garamond"/>
        </w:rPr>
        <w:t xml:space="preserve"> and </w:t>
      </w:r>
      <w:proofErr w:type="spellStart"/>
      <w:r w:rsidR="00EA0CBF" w:rsidRPr="00E421F4">
        <w:rPr>
          <w:rFonts w:ascii="Garamond" w:hAnsi="Garamond"/>
        </w:rPr>
        <w:t>Skelcher’s</w:t>
      </w:r>
      <w:proofErr w:type="spellEnd"/>
      <w:r w:rsidR="00EA0CBF" w:rsidRPr="00E421F4">
        <w:rPr>
          <w:rFonts w:ascii="Garamond" w:hAnsi="Garamond"/>
        </w:rPr>
        <w:t xml:space="preserve"> (2014) aforementioned anti-termination strategies. </w:t>
      </w:r>
      <w:r w:rsidRPr="00E421F4">
        <w:rPr>
          <w:rFonts w:ascii="Garamond" w:hAnsi="Garamond"/>
        </w:rPr>
        <w:t xml:space="preserve">In time, rather than undermine the aid effort, the involvement of other departments in these ‘whole-of-government’ deployments actually came to improve the external view of the Agency’s technical competence as awareness of the complexity of aid delivery increased across the bureaucracy. As a result, </w:t>
      </w:r>
      <w:proofErr w:type="spellStart"/>
      <w:r w:rsidRPr="00E421F4">
        <w:rPr>
          <w:rFonts w:ascii="Garamond" w:hAnsi="Garamond"/>
        </w:rPr>
        <w:t>AusAID</w:t>
      </w:r>
      <w:proofErr w:type="spellEnd"/>
      <w:r w:rsidRPr="00E421F4">
        <w:rPr>
          <w:rFonts w:ascii="Garamond" w:hAnsi="Garamond"/>
        </w:rPr>
        <w:t xml:space="preserve"> found itself a more frequent participant at interdepartmental committees and other such bureaucratic forums. Whereas for the past two-decades it had basically been an administrative backwater – consciously out of sight and out of mind – by the mid-2000s it appeared that the institution ADAA’s founders envisaged had finally arrived. </w:t>
      </w:r>
    </w:p>
    <w:p w14:paraId="397D29FB" w14:textId="77777777" w:rsidR="00BC5ACE" w:rsidRPr="00E421F4" w:rsidRDefault="00BC5ACE" w:rsidP="00BC5ACE">
      <w:pPr>
        <w:spacing w:line="360" w:lineRule="auto"/>
        <w:rPr>
          <w:rFonts w:ascii="Garamond" w:hAnsi="Garamond"/>
        </w:rPr>
      </w:pPr>
    </w:p>
    <w:p w14:paraId="11C063F8" w14:textId="3946A557" w:rsidR="00BC5ACE" w:rsidRPr="00E421F4" w:rsidRDefault="00BC5ACE" w:rsidP="00BC5ACE">
      <w:pPr>
        <w:spacing w:line="360" w:lineRule="auto"/>
        <w:rPr>
          <w:rFonts w:ascii="Garamond" w:hAnsi="Garamond"/>
          <w:i/>
        </w:rPr>
      </w:pPr>
      <w:r w:rsidRPr="00E421F4">
        <w:rPr>
          <w:rFonts w:ascii="Garamond" w:hAnsi="Garamond"/>
          <w:i/>
        </w:rPr>
        <w:t xml:space="preserve">Expansion </w:t>
      </w:r>
    </w:p>
    <w:p w14:paraId="1CC7D625" w14:textId="77777777" w:rsidR="00BC5ACE" w:rsidRPr="00E421F4" w:rsidRDefault="00BC5ACE" w:rsidP="00BC5ACE">
      <w:pPr>
        <w:spacing w:line="360" w:lineRule="auto"/>
        <w:rPr>
          <w:rFonts w:ascii="Garamond" w:hAnsi="Garamond"/>
          <w:i/>
        </w:rPr>
      </w:pPr>
    </w:p>
    <w:p w14:paraId="787E1E9F" w14:textId="729BCA31" w:rsidR="00966C65" w:rsidRPr="00E421F4" w:rsidRDefault="00BC5ACE" w:rsidP="00966C65">
      <w:pPr>
        <w:spacing w:line="360" w:lineRule="auto"/>
        <w:rPr>
          <w:rFonts w:ascii="Times New Roman" w:eastAsia="MS Mincho" w:hAnsi="Times New Roman" w:cs="Times New Roman"/>
          <w:lang w:bidi="en-US"/>
        </w:rPr>
      </w:pPr>
      <w:r w:rsidRPr="00E421F4">
        <w:rPr>
          <w:rFonts w:ascii="Garamond" w:hAnsi="Garamond"/>
        </w:rPr>
        <w:t xml:space="preserve">On the back of this newly won </w:t>
      </w:r>
      <w:r w:rsidR="00D72675" w:rsidRPr="00E421F4">
        <w:rPr>
          <w:rFonts w:ascii="Garamond" w:hAnsi="Garamond"/>
        </w:rPr>
        <w:t>reputation</w:t>
      </w:r>
      <w:r w:rsidRPr="00E421F4">
        <w:rPr>
          <w:rFonts w:ascii="Garamond" w:hAnsi="Garamond"/>
        </w:rPr>
        <w:t xml:space="preserve">, successive governments, </w:t>
      </w:r>
      <w:r w:rsidR="004541AA" w:rsidRPr="00E421F4">
        <w:rPr>
          <w:rFonts w:ascii="Garamond" w:hAnsi="Garamond"/>
        </w:rPr>
        <w:t xml:space="preserve">first </w:t>
      </w:r>
      <w:r w:rsidRPr="00E421F4">
        <w:rPr>
          <w:rFonts w:ascii="Garamond" w:hAnsi="Garamond"/>
        </w:rPr>
        <w:t xml:space="preserve">the Liberal/Coalition under Howard in 2005 and </w:t>
      </w:r>
      <w:r w:rsidR="004541AA" w:rsidRPr="00E421F4">
        <w:rPr>
          <w:rFonts w:ascii="Garamond" w:hAnsi="Garamond"/>
        </w:rPr>
        <w:t>later the</w:t>
      </w:r>
      <w:r w:rsidRPr="00E421F4">
        <w:rPr>
          <w:rFonts w:ascii="Garamond" w:hAnsi="Garamond"/>
        </w:rPr>
        <w:t xml:space="preserve"> ALP under Rudd in 2007, committed to rapid growth in the aid budget. Initially, the </w:t>
      </w:r>
      <w:r w:rsidR="004541AA" w:rsidRPr="00E421F4">
        <w:rPr>
          <w:rFonts w:ascii="Garamond" w:hAnsi="Garamond"/>
        </w:rPr>
        <w:t>political</w:t>
      </w:r>
      <w:r w:rsidRPr="00E421F4">
        <w:rPr>
          <w:rFonts w:ascii="Garamond" w:hAnsi="Garamond"/>
        </w:rPr>
        <w:t xml:space="preserve"> case for an increase was based on the impact that aid was having in Australia’s immediate neighbourhood and on the global fight against terrorism in particular. The economy was also growing rapidly and the government was awash with revenue. Privately, the scale up was also a sign of the government’s trust in </w:t>
      </w:r>
      <w:proofErr w:type="spellStart"/>
      <w:r w:rsidRPr="00E421F4">
        <w:rPr>
          <w:rFonts w:ascii="Garamond" w:hAnsi="Garamond"/>
        </w:rPr>
        <w:t>AusAID</w:t>
      </w:r>
      <w:proofErr w:type="spellEnd"/>
      <w:r w:rsidRPr="00E421F4">
        <w:rPr>
          <w:rFonts w:ascii="Garamond" w:hAnsi="Garamond"/>
        </w:rPr>
        <w:t xml:space="preserve">, it processes, and its leadership. But, while </w:t>
      </w:r>
      <w:proofErr w:type="spellStart"/>
      <w:r w:rsidRPr="00E421F4">
        <w:rPr>
          <w:rFonts w:ascii="Garamond" w:hAnsi="Garamond"/>
        </w:rPr>
        <w:t>AusAID’s</w:t>
      </w:r>
      <w:proofErr w:type="spellEnd"/>
      <w:r w:rsidRPr="00E421F4">
        <w:rPr>
          <w:rFonts w:ascii="Garamond" w:hAnsi="Garamond"/>
        </w:rPr>
        <w:t xml:space="preserve"> leadership was optimistic about the increase, it was also ca</w:t>
      </w:r>
      <w:r w:rsidR="004541AA" w:rsidRPr="00E421F4">
        <w:rPr>
          <w:rFonts w:ascii="Garamond" w:hAnsi="Garamond"/>
        </w:rPr>
        <w:t xml:space="preserve">utious about </w:t>
      </w:r>
      <w:r w:rsidR="00E01C06" w:rsidRPr="00E421F4">
        <w:rPr>
          <w:rFonts w:ascii="Garamond" w:hAnsi="Garamond"/>
        </w:rPr>
        <w:t xml:space="preserve">the </w:t>
      </w:r>
      <w:r w:rsidR="004541AA" w:rsidRPr="00E421F4">
        <w:rPr>
          <w:rFonts w:ascii="Garamond" w:hAnsi="Garamond"/>
        </w:rPr>
        <w:lastRenderedPageBreak/>
        <w:t>possibility of new-</w:t>
      </w:r>
      <w:r w:rsidRPr="00E421F4">
        <w:rPr>
          <w:rFonts w:ascii="Garamond" w:hAnsi="Garamond"/>
        </w:rPr>
        <w:t xml:space="preserve">found riches </w:t>
      </w:r>
      <w:r w:rsidR="00D72675" w:rsidRPr="00E421F4">
        <w:rPr>
          <w:rFonts w:ascii="Garamond" w:hAnsi="Garamond"/>
        </w:rPr>
        <w:t xml:space="preserve">altering perceptions of its size </w:t>
      </w:r>
      <w:r w:rsidR="000654F6" w:rsidRPr="00E421F4">
        <w:rPr>
          <w:rFonts w:ascii="Garamond" w:hAnsi="Garamond"/>
        </w:rPr>
        <w:t xml:space="preserve">among </w:t>
      </w:r>
      <w:r w:rsidR="00D72675" w:rsidRPr="00E421F4">
        <w:rPr>
          <w:rFonts w:ascii="Garamond" w:hAnsi="Garamond"/>
        </w:rPr>
        <w:t>other departments</w:t>
      </w:r>
      <w:r w:rsidRPr="00E421F4">
        <w:rPr>
          <w:rFonts w:ascii="Garamond" w:hAnsi="Garamond"/>
        </w:rPr>
        <w:t xml:space="preserve">. </w:t>
      </w:r>
      <w:r w:rsidR="00966C65" w:rsidRPr="00E421F4">
        <w:rPr>
          <w:rFonts w:ascii="Garamond" w:hAnsi="Garamond"/>
        </w:rPr>
        <w:t>Senior officials recall</w:t>
      </w:r>
      <w:r w:rsidR="00E01C06" w:rsidRPr="00E421F4">
        <w:rPr>
          <w:rFonts w:ascii="Garamond" w:hAnsi="Garamond"/>
        </w:rPr>
        <w:t>ed</w:t>
      </w:r>
      <w:r w:rsidR="00966C65" w:rsidRPr="00E421F4">
        <w:rPr>
          <w:rFonts w:ascii="Garamond" w:hAnsi="Garamond"/>
        </w:rPr>
        <w:t xml:space="preserve"> that the executive remained wary of the Agency’s vulnerabilities</w:t>
      </w:r>
      <w:r w:rsidR="00966C65" w:rsidRPr="00E421F4">
        <w:rPr>
          <w:rFonts w:ascii="Times New Roman" w:eastAsia="MS Mincho" w:hAnsi="Times New Roman" w:cs="Times New Roman"/>
          <w:lang w:bidi="en-US"/>
        </w:rPr>
        <w:t>:</w:t>
      </w:r>
    </w:p>
    <w:p w14:paraId="755EED35" w14:textId="0E2A6AF1" w:rsidR="00BC5ACE" w:rsidRPr="00E421F4" w:rsidRDefault="00966C65" w:rsidP="00966C65">
      <w:pPr>
        <w:ind w:left="720"/>
        <w:rPr>
          <w:rFonts w:ascii="Garamond" w:hAnsi="Garamond"/>
          <w:sz w:val="20"/>
          <w:szCs w:val="20"/>
        </w:rPr>
      </w:pPr>
      <w:r w:rsidRPr="00E421F4">
        <w:rPr>
          <w:rFonts w:ascii="Garamond" w:hAnsi="Garamond"/>
          <w:sz w:val="20"/>
          <w:szCs w:val="20"/>
        </w:rPr>
        <w:t>Look, I didn't go home every night and wonder if it was going to</w:t>
      </w:r>
      <w:r w:rsidR="00582E68" w:rsidRPr="00E421F4">
        <w:rPr>
          <w:rFonts w:ascii="Garamond" w:hAnsi="Garamond"/>
          <w:sz w:val="20"/>
          <w:szCs w:val="20"/>
        </w:rPr>
        <w:t xml:space="preserve"> be</w:t>
      </w:r>
      <w:r w:rsidRPr="00E421F4">
        <w:rPr>
          <w:rFonts w:ascii="Garamond" w:hAnsi="Garamond"/>
          <w:sz w:val="20"/>
          <w:szCs w:val="20"/>
        </w:rPr>
        <w:t xml:space="preserve"> gone tomorrow morning. But I always had a view that there isn’t a right way to administer aid. History counts. So you know, what underpinned so much for me was – get on and do great things, ensure that you actually are delivering a pretty good program but at the same time, don’t lose sight of those vulnerabilities and part of the way to address those vulnerabilities is to be useful to others </w:t>
      </w:r>
      <w:r w:rsidR="000654F6" w:rsidRPr="00E421F4">
        <w:rPr>
          <w:rFonts w:ascii="Garamond" w:hAnsi="Garamond"/>
          <w:sz w:val="20"/>
          <w:szCs w:val="20"/>
        </w:rPr>
        <w:t>(I</w:t>
      </w:r>
      <w:r w:rsidR="00BC5ACE" w:rsidRPr="00E421F4">
        <w:rPr>
          <w:rFonts w:ascii="Garamond" w:hAnsi="Garamond"/>
          <w:sz w:val="20"/>
          <w:szCs w:val="20"/>
        </w:rPr>
        <w:t xml:space="preserve">nterview with </w:t>
      </w:r>
      <w:r w:rsidRPr="00E421F4">
        <w:rPr>
          <w:rFonts w:ascii="Garamond" w:hAnsi="Garamond"/>
          <w:sz w:val="20"/>
          <w:szCs w:val="20"/>
        </w:rPr>
        <w:t>senior official</w:t>
      </w:r>
      <w:r w:rsidR="00BC5ACE" w:rsidRPr="00E421F4">
        <w:rPr>
          <w:rFonts w:ascii="Garamond" w:hAnsi="Garamond"/>
          <w:sz w:val="20"/>
          <w:szCs w:val="20"/>
        </w:rPr>
        <w:t xml:space="preserve">, 27 August 2015). </w:t>
      </w:r>
    </w:p>
    <w:p w14:paraId="69C62C3B" w14:textId="77777777" w:rsidR="00E01C06" w:rsidRPr="00E421F4" w:rsidRDefault="00E01C06" w:rsidP="00966C65">
      <w:pPr>
        <w:ind w:left="720"/>
        <w:rPr>
          <w:rFonts w:ascii="Garamond" w:hAnsi="Garamond"/>
        </w:rPr>
      </w:pPr>
    </w:p>
    <w:p w14:paraId="1C7142B8" w14:textId="22A79B94" w:rsidR="00BC5ACE" w:rsidRPr="00E421F4" w:rsidRDefault="003E1C1D" w:rsidP="003E1C1D">
      <w:pPr>
        <w:spacing w:line="360" w:lineRule="auto"/>
        <w:rPr>
          <w:rFonts w:ascii="Garamond" w:hAnsi="Garamond"/>
        </w:rPr>
      </w:pPr>
      <w:r w:rsidRPr="00E421F4">
        <w:rPr>
          <w:rFonts w:ascii="Garamond" w:hAnsi="Garamond"/>
        </w:rPr>
        <w:t xml:space="preserve">This reflection would shape </w:t>
      </w:r>
      <w:proofErr w:type="spellStart"/>
      <w:r w:rsidRPr="00E421F4">
        <w:rPr>
          <w:rFonts w:ascii="Garamond" w:hAnsi="Garamond"/>
        </w:rPr>
        <w:t>AusAID</w:t>
      </w:r>
      <w:r w:rsidR="00582E68" w:rsidRPr="00E421F4">
        <w:rPr>
          <w:rFonts w:ascii="Garamond" w:hAnsi="Garamond"/>
        </w:rPr>
        <w:t>’s</w:t>
      </w:r>
      <w:proofErr w:type="spellEnd"/>
      <w:r w:rsidRPr="00E421F4">
        <w:rPr>
          <w:rFonts w:ascii="Garamond" w:hAnsi="Garamond"/>
        </w:rPr>
        <w:t xml:space="preserve"> initial response to budget increases, including delaying the largest changes to give the Agency time to adjust. Initially, l</w:t>
      </w:r>
      <w:r w:rsidR="00BC5ACE" w:rsidRPr="00E421F4">
        <w:rPr>
          <w:rFonts w:ascii="Garamond" w:hAnsi="Garamond"/>
        </w:rPr>
        <w:t>arge staffing increases were</w:t>
      </w:r>
      <w:r w:rsidRPr="00E421F4">
        <w:rPr>
          <w:rFonts w:ascii="Garamond" w:hAnsi="Garamond"/>
        </w:rPr>
        <w:t xml:space="preserve"> also</w:t>
      </w:r>
      <w:r w:rsidR="00BC5ACE" w:rsidRPr="00E421F4">
        <w:rPr>
          <w:rFonts w:ascii="Garamond" w:hAnsi="Garamond"/>
        </w:rPr>
        <w:t xml:space="preserve"> resisted. But, despite these efforts, the increase still had an effect on </w:t>
      </w:r>
      <w:r w:rsidRPr="00E421F4">
        <w:rPr>
          <w:rFonts w:ascii="Garamond" w:hAnsi="Garamond"/>
        </w:rPr>
        <w:t xml:space="preserve">how the </w:t>
      </w:r>
      <w:r w:rsidR="00BC5ACE" w:rsidRPr="00E421F4">
        <w:rPr>
          <w:rFonts w:ascii="Garamond" w:hAnsi="Garamond"/>
        </w:rPr>
        <w:t>agency</w:t>
      </w:r>
      <w:r w:rsidRPr="00E421F4">
        <w:rPr>
          <w:rFonts w:ascii="Garamond" w:hAnsi="Garamond"/>
        </w:rPr>
        <w:t xml:space="preserve"> operated</w:t>
      </w:r>
      <w:r w:rsidR="00BC5ACE" w:rsidRPr="00E421F4">
        <w:rPr>
          <w:rFonts w:ascii="Garamond" w:hAnsi="Garamond"/>
        </w:rPr>
        <w:t xml:space="preserve">, as one senior official recalls upon commencing work at </w:t>
      </w:r>
      <w:proofErr w:type="spellStart"/>
      <w:r w:rsidR="00BC5ACE" w:rsidRPr="00E421F4">
        <w:rPr>
          <w:rFonts w:ascii="Garamond" w:hAnsi="Garamond"/>
        </w:rPr>
        <w:t>AusAID</w:t>
      </w:r>
      <w:proofErr w:type="spellEnd"/>
      <w:r w:rsidR="00BC5ACE" w:rsidRPr="00E421F4">
        <w:rPr>
          <w:rFonts w:ascii="Garamond" w:hAnsi="Garamond"/>
        </w:rPr>
        <w:t xml:space="preserve"> during this period:</w:t>
      </w:r>
    </w:p>
    <w:p w14:paraId="71A03FB9" w14:textId="77777777" w:rsidR="00C57447" w:rsidRPr="00E421F4" w:rsidRDefault="00C57447" w:rsidP="003E1C1D">
      <w:pPr>
        <w:spacing w:line="360" w:lineRule="auto"/>
        <w:rPr>
          <w:rFonts w:ascii="Garamond" w:hAnsi="Garamond"/>
        </w:rPr>
      </w:pPr>
    </w:p>
    <w:p w14:paraId="26E197A4" w14:textId="0C555BF2" w:rsidR="00BC5ACE" w:rsidRPr="00E421F4" w:rsidRDefault="004541AA" w:rsidP="000654F6">
      <w:pPr>
        <w:spacing w:before="60" w:after="60"/>
        <w:ind w:left="720"/>
        <w:rPr>
          <w:rFonts w:ascii="Garamond" w:hAnsi="Garamond"/>
          <w:sz w:val="20"/>
          <w:szCs w:val="20"/>
        </w:rPr>
      </w:pPr>
      <w:r w:rsidRPr="00E421F4">
        <w:rPr>
          <w:rFonts w:ascii="Garamond" w:hAnsi="Garamond"/>
          <w:sz w:val="20"/>
          <w:szCs w:val="20"/>
        </w:rPr>
        <w:t>People pretty, not punch drunk, but a sense that it was an agency going through a lot of change. A lot of cultural change, a lot of institutional change and not all [of it was] over. But at the same time it was quite an exciting time because the budget’s growing really, really strongly and so there’s a lot of promotions, left right and centre. So a lot of people were moving around, there were positions being created so you know, it was a very interesting time</w:t>
      </w:r>
      <w:r w:rsidR="000654F6" w:rsidRPr="00E421F4">
        <w:rPr>
          <w:rFonts w:ascii="Garamond" w:hAnsi="Garamond"/>
          <w:sz w:val="20"/>
          <w:szCs w:val="20"/>
        </w:rPr>
        <w:t xml:space="preserve"> (I</w:t>
      </w:r>
      <w:r w:rsidR="00BC5ACE" w:rsidRPr="00E421F4">
        <w:rPr>
          <w:rFonts w:ascii="Garamond" w:hAnsi="Garamond"/>
          <w:sz w:val="20"/>
          <w:szCs w:val="20"/>
        </w:rPr>
        <w:t>nterview with senior official, 10 February 2015)</w:t>
      </w:r>
      <w:r w:rsidR="00EA0CBF" w:rsidRPr="00E421F4">
        <w:rPr>
          <w:rFonts w:ascii="Garamond" w:hAnsi="Garamond"/>
          <w:sz w:val="20"/>
          <w:szCs w:val="20"/>
        </w:rPr>
        <w:t>.</w:t>
      </w:r>
    </w:p>
    <w:p w14:paraId="2604E418" w14:textId="77777777" w:rsidR="00C57447" w:rsidRPr="00E421F4" w:rsidRDefault="00C57447" w:rsidP="0027650D">
      <w:pPr>
        <w:spacing w:line="360" w:lineRule="auto"/>
        <w:rPr>
          <w:rFonts w:ascii="Garamond" w:hAnsi="Garamond"/>
        </w:rPr>
      </w:pPr>
    </w:p>
    <w:p w14:paraId="4AFA8DBA" w14:textId="3696F120" w:rsidR="003E1C1D" w:rsidRPr="00E421F4" w:rsidRDefault="000872A0" w:rsidP="0027650D">
      <w:pPr>
        <w:spacing w:line="360" w:lineRule="auto"/>
        <w:rPr>
          <w:rFonts w:ascii="Garamond" w:hAnsi="Garamond"/>
        </w:rPr>
      </w:pPr>
      <w:r w:rsidRPr="00E421F4">
        <w:rPr>
          <w:rFonts w:ascii="Garamond" w:hAnsi="Garamond"/>
        </w:rPr>
        <w:t>C</w:t>
      </w:r>
      <w:r w:rsidR="00BC5ACE" w:rsidRPr="00E421F4">
        <w:rPr>
          <w:rFonts w:ascii="Garamond" w:hAnsi="Garamond"/>
        </w:rPr>
        <w:t xml:space="preserve">oncern </w:t>
      </w:r>
      <w:r w:rsidR="003E1C1D" w:rsidRPr="00E421F4">
        <w:rPr>
          <w:rFonts w:ascii="Garamond" w:hAnsi="Garamond"/>
        </w:rPr>
        <w:t>among other departments</w:t>
      </w:r>
      <w:r w:rsidR="00BC5ACE" w:rsidRPr="00E421F4">
        <w:rPr>
          <w:rFonts w:ascii="Garamond" w:hAnsi="Garamond"/>
        </w:rPr>
        <w:t xml:space="preserve"> that </w:t>
      </w:r>
      <w:proofErr w:type="spellStart"/>
      <w:r w:rsidR="00BC5ACE" w:rsidRPr="00E421F4">
        <w:rPr>
          <w:rFonts w:ascii="Garamond" w:hAnsi="Garamond"/>
        </w:rPr>
        <w:t>AusAID</w:t>
      </w:r>
      <w:proofErr w:type="spellEnd"/>
      <w:r w:rsidR="00BC5ACE" w:rsidRPr="00E421F4">
        <w:rPr>
          <w:rFonts w:ascii="Garamond" w:hAnsi="Garamond"/>
        </w:rPr>
        <w:t xml:space="preserve"> was too </w:t>
      </w:r>
      <w:r w:rsidR="003E1C1D" w:rsidRPr="00E421F4">
        <w:rPr>
          <w:rFonts w:ascii="Garamond" w:hAnsi="Garamond"/>
        </w:rPr>
        <w:t>large</w:t>
      </w:r>
      <w:r w:rsidRPr="00E421F4">
        <w:rPr>
          <w:rFonts w:ascii="Garamond" w:hAnsi="Garamond"/>
        </w:rPr>
        <w:t xml:space="preserve"> also increased</w:t>
      </w:r>
      <w:r w:rsidR="003E1C1D" w:rsidRPr="00E421F4">
        <w:rPr>
          <w:rFonts w:ascii="Garamond" w:hAnsi="Garamond"/>
        </w:rPr>
        <w:t xml:space="preserve">, as this DFAT officer reflects. </w:t>
      </w:r>
    </w:p>
    <w:p w14:paraId="7AC928B6" w14:textId="7A3D8AA7" w:rsidR="003E1C1D" w:rsidRPr="00E421F4" w:rsidRDefault="003E1C1D" w:rsidP="000654F6">
      <w:pPr>
        <w:spacing w:before="60" w:after="60"/>
        <w:ind w:left="720"/>
        <w:rPr>
          <w:rFonts w:ascii="Garamond" w:hAnsi="Garamond"/>
          <w:sz w:val="20"/>
          <w:szCs w:val="20"/>
        </w:rPr>
      </w:pPr>
      <w:r w:rsidRPr="00E421F4">
        <w:rPr>
          <w:rFonts w:ascii="Garamond" w:hAnsi="Garamond"/>
          <w:sz w:val="20"/>
          <w:szCs w:val="20"/>
        </w:rPr>
        <w:t xml:space="preserve">It just became so much bigger, more powerful, paid people more. ... </w:t>
      </w:r>
      <w:proofErr w:type="gramStart"/>
      <w:r w:rsidRPr="00E421F4">
        <w:rPr>
          <w:rFonts w:ascii="Garamond" w:hAnsi="Garamond"/>
          <w:sz w:val="20"/>
          <w:szCs w:val="20"/>
        </w:rPr>
        <w:t>the</w:t>
      </w:r>
      <w:proofErr w:type="gramEnd"/>
      <w:r w:rsidRPr="00E421F4">
        <w:rPr>
          <w:rFonts w:ascii="Garamond" w:hAnsi="Garamond"/>
          <w:sz w:val="20"/>
          <w:szCs w:val="20"/>
        </w:rPr>
        <w:t xml:space="preserve"> staff here [at post] would have cards with </w:t>
      </w:r>
      <w:proofErr w:type="spellStart"/>
      <w:r w:rsidRPr="00E421F4">
        <w:rPr>
          <w:rFonts w:ascii="Garamond" w:hAnsi="Garamond"/>
          <w:sz w:val="20"/>
          <w:szCs w:val="20"/>
        </w:rPr>
        <w:t>AusAID</w:t>
      </w:r>
      <w:proofErr w:type="spellEnd"/>
      <w:r w:rsidRPr="00E421F4">
        <w:rPr>
          <w:rFonts w:ascii="Garamond" w:hAnsi="Garamond"/>
          <w:sz w:val="20"/>
          <w:szCs w:val="20"/>
        </w:rPr>
        <w:t xml:space="preserve"> on it, and no reference that they worked for the High Commission. And so it was just seen as a completely separate entity. I mean just completely ridiculous given our interests [in the country] … (interview with senior official, 26 May 2015)</w:t>
      </w:r>
      <w:r w:rsidR="00B90ADA" w:rsidRPr="00E421F4">
        <w:rPr>
          <w:rFonts w:ascii="Garamond" w:hAnsi="Garamond"/>
          <w:sz w:val="20"/>
          <w:szCs w:val="20"/>
        </w:rPr>
        <w:t>.</w:t>
      </w:r>
    </w:p>
    <w:p w14:paraId="24AF3C12" w14:textId="77777777" w:rsidR="00C57447" w:rsidRPr="00E421F4" w:rsidRDefault="00C57447" w:rsidP="000654F6">
      <w:pPr>
        <w:spacing w:before="60" w:after="60"/>
        <w:ind w:left="720"/>
        <w:rPr>
          <w:rFonts w:ascii="Garamond" w:hAnsi="Garamond"/>
          <w:sz w:val="20"/>
          <w:szCs w:val="20"/>
        </w:rPr>
      </w:pPr>
    </w:p>
    <w:p w14:paraId="0E47CFD9" w14:textId="70210249" w:rsidR="003E1C1D" w:rsidRPr="00E421F4" w:rsidRDefault="000872A0" w:rsidP="00BC5ACE">
      <w:pPr>
        <w:spacing w:line="360" w:lineRule="auto"/>
        <w:rPr>
          <w:rFonts w:ascii="Garamond" w:hAnsi="Garamond"/>
        </w:rPr>
      </w:pPr>
      <w:r w:rsidRPr="00E421F4">
        <w:rPr>
          <w:rFonts w:ascii="Garamond" w:hAnsi="Garamond"/>
        </w:rPr>
        <w:t>R</w:t>
      </w:r>
      <w:r w:rsidR="003E1C1D" w:rsidRPr="00E421F4">
        <w:rPr>
          <w:rFonts w:ascii="Garamond" w:hAnsi="Garamond"/>
        </w:rPr>
        <w:t>ealign</w:t>
      </w:r>
      <w:r w:rsidRPr="00E421F4">
        <w:rPr>
          <w:rFonts w:ascii="Garamond" w:hAnsi="Garamond"/>
        </w:rPr>
        <w:t>ing</w:t>
      </w:r>
      <w:r w:rsidR="003E1C1D" w:rsidRPr="00E421F4">
        <w:rPr>
          <w:rFonts w:ascii="Garamond" w:hAnsi="Garamond"/>
        </w:rPr>
        <w:t xml:space="preserve"> the aid program with Defence interests in Afghanistan </w:t>
      </w:r>
      <w:r w:rsidRPr="00E421F4">
        <w:rPr>
          <w:rFonts w:ascii="Garamond" w:hAnsi="Garamond"/>
        </w:rPr>
        <w:t xml:space="preserve">was on strategy </w:t>
      </w:r>
      <w:proofErr w:type="spellStart"/>
      <w:r w:rsidRPr="00E421F4">
        <w:rPr>
          <w:rFonts w:ascii="Garamond" w:hAnsi="Garamond"/>
        </w:rPr>
        <w:t>AusAID</w:t>
      </w:r>
      <w:proofErr w:type="spellEnd"/>
      <w:r w:rsidRPr="00E421F4">
        <w:rPr>
          <w:rFonts w:ascii="Garamond" w:hAnsi="Garamond"/>
        </w:rPr>
        <w:t xml:space="preserve"> leadership adopted to mitigate this but policy changes were offset by</w:t>
      </w:r>
      <w:r w:rsidR="00BC5ACE" w:rsidRPr="00E421F4">
        <w:rPr>
          <w:rFonts w:ascii="Garamond" w:hAnsi="Garamond"/>
        </w:rPr>
        <w:t xml:space="preserve"> substantial increases to its core budget. The rationale for doing so was that the Agency needed additional staffing to meet the needs of an expanding program</w:t>
      </w:r>
      <w:r w:rsidR="003E1C1D" w:rsidRPr="00E421F4">
        <w:rPr>
          <w:rFonts w:ascii="Garamond" w:hAnsi="Garamond"/>
        </w:rPr>
        <w:t>, which was due to more than double in size</w:t>
      </w:r>
      <w:r w:rsidR="00BC5ACE" w:rsidRPr="00E421F4">
        <w:rPr>
          <w:rFonts w:ascii="Garamond" w:hAnsi="Garamond"/>
        </w:rPr>
        <w:t xml:space="preserve">. </w:t>
      </w:r>
      <w:r w:rsidRPr="00E421F4">
        <w:rPr>
          <w:rFonts w:ascii="Garamond" w:hAnsi="Garamond"/>
        </w:rPr>
        <w:t>Rudd’s Cabinet supported</w:t>
      </w:r>
      <w:r w:rsidR="003E1C1D" w:rsidRPr="00E421F4">
        <w:rPr>
          <w:rFonts w:ascii="Garamond" w:hAnsi="Garamond"/>
        </w:rPr>
        <w:t xml:space="preserve"> this claim </w:t>
      </w:r>
      <w:r w:rsidR="00BC5ACE" w:rsidRPr="00E421F4">
        <w:rPr>
          <w:rFonts w:ascii="Garamond" w:hAnsi="Garamond"/>
        </w:rPr>
        <w:t xml:space="preserve">but </w:t>
      </w:r>
      <w:r w:rsidR="003E1C1D" w:rsidRPr="00E421F4">
        <w:rPr>
          <w:rFonts w:ascii="Garamond" w:hAnsi="Garamond"/>
        </w:rPr>
        <w:t xml:space="preserve">the increases </w:t>
      </w:r>
      <w:r w:rsidR="00BC5ACE" w:rsidRPr="00E421F4">
        <w:rPr>
          <w:rFonts w:ascii="Garamond" w:hAnsi="Garamond"/>
        </w:rPr>
        <w:t xml:space="preserve">created considerable interdepartmental jealousy nonetheless. The fact that </w:t>
      </w:r>
      <w:proofErr w:type="spellStart"/>
      <w:r w:rsidR="00BC5ACE" w:rsidRPr="00E421F4">
        <w:rPr>
          <w:rFonts w:ascii="Garamond" w:hAnsi="Garamond"/>
        </w:rPr>
        <w:t>AusAID</w:t>
      </w:r>
      <w:proofErr w:type="spellEnd"/>
      <w:r w:rsidR="00BC5ACE" w:rsidRPr="00E421F4">
        <w:rPr>
          <w:rFonts w:ascii="Garamond" w:hAnsi="Garamond"/>
        </w:rPr>
        <w:t xml:space="preserve"> was immune, by virtue of strong Prime Ministerial suppor</w:t>
      </w:r>
      <w:r w:rsidR="000654F6" w:rsidRPr="00E421F4">
        <w:rPr>
          <w:rFonts w:ascii="Garamond" w:hAnsi="Garamond"/>
        </w:rPr>
        <w:t>t, from the efficiency dividend</w:t>
      </w:r>
      <w:r w:rsidR="00BC5ACE" w:rsidRPr="00E421F4">
        <w:rPr>
          <w:rFonts w:ascii="Garamond" w:hAnsi="Garamond"/>
        </w:rPr>
        <w:t xml:space="preserve"> being applied across the public service in the wake of </w:t>
      </w:r>
      <w:r w:rsidR="003E1C1D" w:rsidRPr="00E421F4">
        <w:rPr>
          <w:rFonts w:ascii="Garamond" w:hAnsi="Garamond"/>
        </w:rPr>
        <w:t>a contracting economy</w:t>
      </w:r>
      <w:r w:rsidR="00BC5ACE" w:rsidRPr="00E421F4">
        <w:rPr>
          <w:rFonts w:ascii="Garamond" w:hAnsi="Garamond"/>
        </w:rPr>
        <w:t xml:space="preserve">, meant that it became one of the most attractive organisations for public servants seeking promotion.  </w:t>
      </w:r>
      <w:r w:rsidR="000654F6" w:rsidRPr="00E421F4">
        <w:rPr>
          <w:rFonts w:ascii="Garamond" w:hAnsi="Garamond"/>
        </w:rPr>
        <w:t>During this period</w:t>
      </w:r>
      <w:r w:rsidR="00BC5ACE" w:rsidRPr="00E421F4">
        <w:rPr>
          <w:rFonts w:ascii="Garamond" w:hAnsi="Garamond"/>
        </w:rPr>
        <w:t xml:space="preserve">, </w:t>
      </w:r>
      <w:proofErr w:type="spellStart"/>
      <w:r w:rsidR="00BC5ACE" w:rsidRPr="00E421F4">
        <w:rPr>
          <w:rFonts w:ascii="Garamond" w:hAnsi="Garamond"/>
        </w:rPr>
        <w:t>AusAID</w:t>
      </w:r>
      <w:proofErr w:type="spellEnd"/>
      <w:r w:rsidR="00BC5ACE" w:rsidRPr="00E421F4">
        <w:rPr>
          <w:rFonts w:ascii="Garamond" w:hAnsi="Garamond"/>
        </w:rPr>
        <w:t xml:space="preserve"> grew from an organisation of around 500 employees in the early 2000s to more than </w:t>
      </w:r>
      <w:r w:rsidR="00D822CB" w:rsidRPr="00E421F4">
        <w:rPr>
          <w:rFonts w:ascii="Garamond" w:hAnsi="Garamond"/>
        </w:rPr>
        <w:t>1700</w:t>
      </w:r>
      <w:r w:rsidR="00BC5ACE" w:rsidRPr="00E421F4">
        <w:rPr>
          <w:rFonts w:ascii="Garamond" w:hAnsi="Garamond"/>
        </w:rPr>
        <w:t xml:space="preserve"> in 2012</w:t>
      </w:r>
      <w:r w:rsidR="003E1C1D" w:rsidRPr="00E421F4">
        <w:rPr>
          <w:rFonts w:ascii="Garamond" w:hAnsi="Garamond"/>
        </w:rPr>
        <w:t xml:space="preserve">. </w:t>
      </w:r>
    </w:p>
    <w:p w14:paraId="0DEDEC50" w14:textId="3D61A913" w:rsidR="00BC5ACE" w:rsidRPr="00E421F4" w:rsidRDefault="00A82064" w:rsidP="00CA6AFE">
      <w:pPr>
        <w:spacing w:line="360" w:lineRule="auto"/>
        <w:rPr>
          <w:rFonts w:ascii="Garamond" w:hAnsi="Garamond"/>
        </w:rPr>
      </w:pPr>
      <w:r w:rsidRPr="00E421F4">
        <w:rPr>
          <w:rFonts w:ascii="Garamond" w:hAnsi="Garamond"/>
        </w:rPr>
        <w:tab/>
      </w:r>
      <w:r w:rsidR="003E1C1D" w:rsidRPr="00E421F4">
        <w:rPr>
          <w:rFonts w:ascii="Garamond" w:hAnsi="Garamond"/>
        </w:rPr>
        <w:t xml:space="preserve">The belief that the agency was too large was reinforced when </w:t>
      </w:r>
      <w:proofErr w:type="spellStart"/>
      <w:r w:rsidR="003E1C1D" w:rsidRPr="00E421F4">
        <w:rPr>
          <w:rFonts w:ascii="Garamond" w:hAnsi="Garamond"/>
        </w:rPr>
        <w:t>AusAID</w:t>
      </w:r>
      <w:proofErr w:type="spellEnd"/>
      <w:r w:rsidR="003E1C1D" w:rsidRPr="00E421F4">
        <w:rPr>
          <w:rFonts w:ascii="Garamond" w:hAnsi="Garamond"/>
        </w:rPr>
        <w:t xml:space="preserve"> was elevated to </w:t>
      </w:r>
      <w:r w:rsidR="00BC5ACE" w:rsidRPr="00E421F4">
        <w:rPr>
          <w:rFonts w:ascii="Garamond" w:hAnsi="Garamond"/>
        </w:rPr>
        <w:t>executive agency</w:t>
      </w:r>
      <w:r w:rsidR="003E1C1D" w:rsidRPr="00E421F4">
        <w:rPr>
          <w:rFonts w:ascii="Garamond" w:hAnsi="Garamond"/>
        </w:rPr>
        <w:t xml:space="preserve"> status in</w:t>
      </w:r>
      <w:r w:rsidR="00BC5ACE" w:rsidRPr="00E421F4">
        <w:rPr>
          <w:rFonts w:ascii="Garamond" w:hAnsi="Garamond"/>
        </w:rPr>
        <w:t xml:space="preserve"> 2010. A whole new executive layer was added. For its critics, </w:t>
      </w:r>
      <w:proofErr w:type="spellStart"/>
      <w:r w:rsidR="00BC5ACE" w:rsidRPr="00E421F4">
        <w:rPr>
          <w:rFonts w:ascii="Garamond" w:hAnsi="Garamond"/>
        </w:rPr>
        <w:t>AusAID</w:t>
      </w:r>
      <w:proofErr w:type="spellEnd"/>
      <w:r w:rsidR="00BC5ACE" w:rsidRPr="00E421F4">
        <w:rPr>
          <w:rFonts w:ascii="Garamond" w:hAnsi="Garamond"/>
        </w:rPr>
        <w:t xml:space="preserve"> came to symbolise Rudd government waste and mismanagement. </w:t>
      </w:r>
      <w:r w:rsidR="00CA6AFE" w:rsidRPr="00E421F4">
        <w:rPr>
          <w:rFonts w:ascii="Garamond" w:hAnsi="Garamond"/>
        </w:rPr>
        <w:t>Despite this, h</w:t>
      </w:r>
      <w:r w:rsidR="00BC5ACE" w:rsidRPr="00E421F4">
        <w:rPr>
          <w:rFonts w:ascii="Garamond" w:hAnsi="Garamond"/>
        </w:rPr>
        <w:t>eading into the 2013 election there was bipartisan consensus for continued increase</w:t>
      </w:r>
      <w:r w:rsidR="00CA6AFE" w:rsidRPr="00E421F4">
        <w:rPr>
          <w:rFonts w:ascii="Garamond" w:hAnsi="Garamond"/>
        </w:rPr>
        <w:t>s</w:t>
      </w:r>
      <w:r w:rsidR="00BC5ACE" w:rsidRPr="00E421F4">
        <w:rPr>
          <w:rFonts w:ascii="Garamond" w:hAnsi="Garamond"/>
        </w:rPr>
        <w:t xml:space="preserve"> in aid funding. There was even a view among </w:t>
      </w:r>
      <w:proofErr w:type="spellStart"/>
      <w:r w:rsidR="00BC5ACE" w:rsidRPr="00E421F4">
        <w:rPr>
          <w:rFonts w:ascii="Garamond" w:hAnsi="Garamond"/>
        </w:rPr>
        <w:t>AusAID’s</w:t>
      </w:r>
      <w:proofErr w:type="spellEnd"/>
      <w:r w:rsidR="00BC5ACE" w:rsidRPr="00E421F4">
        <w:rPr>
          <w:rFonts w:ascii="Garamond" w:hAnsi="Garamond"/>
        </w:rPr>
        <w:t xml:space="preserve"> leadershi</w:t>
      </w:r>
      <w:r w:rsidR="000654F6" w:rsidRPr="00E421F4">
        <w:rPr>
          <w:rFonts w:ascii="Garamond" w:hAnsi="Garamond"/>
        </w:rPr>
        <w:t>p that if Rudd won the a</w:t>
      </w:r>
      <w:r w:rsidR="00BC5ACE" w:rsidRPr="00E421F4">
        <w:rPr>
          <w:rFonts w:ascii="Garamond" w:hAnsi="Garamond"/>
        </w:rPr>
        <w:t>gency would be made a stand-</w:t>
      </w:r>
      <w:r w:rsidR="00BC5ACE" w:rsidRPr="00E421F4">
        <w:rPr>
          <w:rFonts w:ascii="Garamond" w:hAnsi="Garamond"/>
        </w:rPr>
        <w:lastRenderedPageBreak/>
        <w:t>alone departmen</w:t>
      </w:r>
      <w:r w:rsidR="000654F6" w:rsidRPr="00E421F4">
        <w:rPr>
          <w:rFonts w:ascii="Garamond" w:hAnsi="Garamond"/>
        </w:rPr>
        <w:t xml:space="preserve">t along the lines of the UK’s </w:t>
      </w:r>
      <w:proofErr w:type="spellStart"/>
      <w:r w:rsidR="000654F6" w:rsidRPr="00E421F4">
        <w:rPr>
          <w:rFonts w:ascii="Garamond" w:hAnsi="Garamond"/>
        </w:rPr>
        <w:t>D</w:t>
      </w:r>
      <w:r w:rsidR="004659BA" w:rsidRPr="00E421F4">
        <w:rPr>
          <w:rFonts w:ascii="Garamond" w:hAnsi="Garamond"/>
        </w:rPr>
        <w:t>f</w:t>
      </w:r>
      <w:r w:rsidR="00BC5ACE" w:rsidRPr="00E421F4">
        <w:rPr>
          <w:rFonts w:ascii="Garamond" w:hAnsi="Garamond"/>
        </w:rPr>
        <w:t>ID</w:t>
      </w:r>
      <w:proofErr w:type="spellEnd"/>
      <w:r w:rsidR="00BC5ACE" w:rsidRPr="00E421F4">
        <w:rPr>
          <w:rFonts w:ascii="Garamond" w:hAnsi="Garamond"/>
        </w:rPr>
        <w:t xml:space="preserve">. The Coalition had also indicated that it would give aid a dedicated minister. Either way, the growth trajectory appeared secure despite internal bureaucratic grumblings and questions about the value of </w:t>
      </w:r>
      <w:proofErr w:type="spellStart"/>
      <w:r w:rsidR="00BC5ACE" w:rsidRPr="00E421F4">
        <w:rPr>
          <w:rFonts w:ascii="Garamond" w:hAnsi="Garamond"/>
        </w:rPr>
        <w:t>AusAID’s</w:t>
      </w:r>
      <w:proofErr w:type="spellEnd"/>
      <w:r w:rsidR="00BC5ACE" w:rsidRPr="00E421F4">
        <w:rPr>
          <w:rFonts w:ascii="Garamond" w:hAnsi="Garamond"/>
        </w:rPr>
        <w:t xml:space="preserve"> technical expertise. </w:t>
      </w:r>
    </w:p>
    <w:p w14:paraId="7B8F7620" w14:textId="77777777" w:rsidR="00BC5ACE" w:rsidRPr="00E421F4" w:rsidRDefault="00BC5ACE" w:rsidP="00BC5ACE">
      <w:pPr>
        <w:spacing w:line="360" w:lineRule="auto"/>
        <w:rPr>
          <w:rFonts w:ascii="Garamond" w:hAnsi="Garamond"/>
          <w:i/>
        </w:rPr>
      </w:pPr>
    </w:p>
    <w:p w14:paraId="1A58F6CD" w14:textId="32A375A6" w:rsidR="00CA6AFE" w:rsidRPr="00E421F4" w:rsidRDefault="00CA6AFE" w:rsidP="00BC5ACE">
      <w:pPr>
        <w:spacing w:line="360" w:lineRule="auto"/>
        <w:rPr>
          <w:rFonts w:ascii="Garamond" w:hAnsi="Garamond"/>
          <w:i/>
        </w:rPr>
      </w:pPr>
      <w:r w:rsidRPr="00E421F4">
        <w:rPr>
          <w:rFonts w:ascii="Garamond" w:hAnsi="Garamond"/>
          <w:i/>
        </w:rPr>
        <w:t>Termination</w:t>
      </w:r>
    </w:p>
    <w:p w14:paraId="6200E5BF" w14:textId="77777777" w:rsidR="00CA6AFE" w:rsidRPr="00E421F4" w:rsidRDefault="00CA6AFE" w:rsidP="00BC5ACE">
      <w:pPr>
        <w:spacing w:line="360" w:lineRule="auto"/>
        <w:rPr>
          <w:rFonts w:ascii="Garamond" w:hAnsi="Garamond"/>
          <w:i/>
        </w:rPr>
      </w:pPr>
    </w:p>
    <w:p w14:paraId="49B3AB40" w14:textId="258AF368" w:rsidR="00BC5ACE" w:rsidRPr="00E421F4" w:rsidRDefault="00BC5ACE" w:rsidP="00BC5ACE">
      <w:pPr>
        <w:spacing w:line="360" w:lineRule="auto"/>
        <w:rPr>
          <w:rFonts w:ascii="Garamond" w:hAnsi="Garamond"/>
        </w:rPr>
      </w:pPr>
      <w:r w:rsidRPr="00E421F4">
        <w:rPr>
          <w:rFonts w:ascii="Garamond" w:hAnsi="Garamond"/>
        </w:rPr>
        <w:t xml:space="preserve">Rudd lost the 2013 election to Tony Abbott and within a week </w:t>
      </w:r>
      <w:r w:rsidR="002F7B02" w:rsidRPr="00E421F4">
        <w:rPr>
          <w:rFonts w:ascii="Garamond" w:hAnsi="Garamond"/>
        </w:rPr>
        <w:t>the new</w:t>
      </w:r>
      <w:r w:rsidRPr="00E421F4">
        <w:rPr>
          <w:rFonts w:ascii="Garamond" w:hAnsi="Garamond"/>
        </w:rPr>
        <w:t xml:space="preserve"> government abolished </w:t>
      </w:r>
      <w:proofErr w:type="spellStart"/>
      <w:r w:rsidRPr="00E421F4">
        <w:rPr>
          <w:rFonts w:ascii="Garamond" w:hAnsi="Garamond"/>
        </w:rPr>
        <w:t>AusAID</w:t>
      </w:r>
      <w:proofErr w:type="spellEnd"/>
      <w:r w:rsidRPr="00E421F4">
        <w:rPr>
          <w:rFonts w:ascii="Garamond" w:hAnsi="Garamond"/>
        </w:rPr>
        <w:t xml:space="preserve"> and absorbed its functions back into DFAT. But, unlike in 1976, </w:t>
      </w:r>
      <w:r w:rsidR="00404219" w:rsidRPr="00E421F4">
        <w:rPr>
          <w:rFonts w:ascii="Garamond" w:hAnsi="Garamond"/>
        </w:rPr>
        <w:t>they</w:t>
      </w:r>
      <w:r w:rsidRPr="00E421F4">
        <w:rPr>
          <w:rFonts w:ascii="Garamond" w:hAnsi="Garamond"/>
        </w:rPr>
        <w:t xml:space="preserve"> did not </w:t>
      </w:r>
      <w:r w:rsidR="000872A0" w:rsidRPr="00E421F4">
        <w:rPr>
          <w:rFonts w:ascii="Garamond" w:hAnsi="Garamond"/>
        </w:rPr>
        <w:t>recreate</w:t>
      </w:r>
      <w:r w:rsidRPr="00E421F4">
        <w:rPr>
          <w:rFonts w:ascii="Garamond" w:hAnsi="Garamond"/>
        </w:rPr>
        <w:t xml:space="preserve"> </w:t>
      </w:r>
      <w:r w:rsidR="00404219" w:rsidRPr="00E421F4">
        <w:rPr>
          <w:rFonts w:ascii="Garamond" w:hAnsi="Garamond"/>
        </w:rPr>
        <w:t xml:space="preserve">it as </w:t>
      </w:r>
      <w:r w:rsidRPr="00E421F4">
        <w:rPr>
          <w:rFonts w:ascii="Garamond" w:hAnsi="Garamond"/>
        </w:rPr>
        <w:t>a distinct bureaucratic entity. Indeed, the complete rather than partial absorption was a key ministerial directive. The size of the agency was a key factor in this decision with the Shadow Parliamentary Secretary for International Development Assistance, previously stating:</w:t>
      </w:r>
    </w:p>
    <w:p w14:paraId="60B203FD" w14:textId="2FEBA603" w:rsidR="00BC5ACE" w:rsidRPr="00E421F4" w:rsidRDefault="00BC5ACE" w:rsidP="000654F6">
      <w:pPr>
        <w:spacing w:before="60" w:after="60"/>
        <w:ind w:left="720"/>
        <w:rPr>
          <w:rFonts w:ascii="Garamond" w:hAnsi="Garamond"/>
          <w:sz w:val="20"/>
          <w:szCs w:val="20"/>
        </w:rPr>
      </w:pPr>
      <w:r w:rsidRPr="00E421F4">
        <w:rPr>
          <w:rFonts w:ascii="Garamond" w:hAnsi="Garamond"/>
          <w:sz w:val="20"/>
          <w:szCs w:val="20"/>
        </w:rPr>
        <w:t xml:space="preserve">Australia's aid program is on schedule to be doubled and I am deeply concerned that there is not the capacity even now to make sure this money is appropriately and effectively spent (quoted in </w:t>
      </w:r>
      <w:r w:rsidRPr="00E421F4">
        <w:rPr>
          <w:rFonts w:ascii="Garamond" w:hAnsi="Garamond"/>
          <w:i/>
          <w:sz w:val="20"/>
          <w:szCs w:val="20"/>
        </w:rPr>
        <w:t xml:space="preserve">The Australia, </w:t>
      </w:r>
      <w:r w:rsidRPr="00E421F4">
        <w:rPr>
          <w:rFonts w:ascii="Garamond" w:hAnsi="Garamond"/>
          <w:sz w:val="20"/>
          <w:szCs w:val="20"/>
        </w:rPr>
        <w:t>3 May 2012).</w:t>
      </w:r>
    </w:p>
    <w:p w14:paraId="2491A3B4" w14:textId="77777777" w:rsidR="00A82064" w:rsidRPr="00E421F4" w:rsidRDefault="00A82064" w:rsidP="000654F6">
      <w:pPr>
        <w:spacing w:before="60" w:after="60"/>
        <w:ind w:left="720"/>
        <w:rPr>
          <w:rFonts w:ascii="Garamond" w:hAnsi="Garamond"/>
          <w:sz w:val="20"/>
          <w:szCs w:val="20"/>
        </w:rPr>
      </w:pPr>
    </w:p>
    <w:p w14:paraId="3C2E2CE0" w14:textId="05DAECD2" w:rsidR="00404219" w:rsidRPr="00E421F4" w:rsidRDefault="00BC5ACE" w:rsidP="00BC5ACE">
      <w:pPr>
        <w:spacing w:line="360" w:lineRule="auto"/>
        <w:rPr>
          <w:rFonts w:ascii="Garamond" w:hAnsi="Garamond"/>
        </w:rPr>
      </w:pPr>
      <w:r w:rsidRPr="00E421F4">
        <w:rPr>
          <w:rFonts w:ascii="Garamond" w:hAnsi="Garamond"/>
        </w:rPr>
        <w:t xml:space="preserve">The decision took </w:t>
      </w:r>
      <w:proofErr w:type="spellStart"/>
      <w:r w:rsidRPr="00E421F4">
        <w:rPr>
          <w:rFonts w:ascii="Garamond" w:hAnsi="Garamond"/>
        </w:rPr>
        <w:t>AusAID’s</w:t>
      </w:r>
      <w:proofErr w:type="spellEnd"/>
      <w:r w:rsidRPr="00E421F4">
        <w:rPr>
          <w:rFonts w:ascii="Garamond" w:hAnsi="Garamond"/>
        </w:rPr>
        <w:t xml:space="preserve"> leadership completely by surprise. The public rationale for the abolition was based on the advent of a ‘new aid </w:t>
      </w:r>
      <w:proofErr w:type="gramStart"/>
      <w:r w:rsidRPr="00E421F4">
        <w:rPr>
          <w:rFonts w:ascii="Garamond" w:hAnsi="Garamond"/>
        </w:rPr>
        <w:t>paradigm’,</w:t>
      </w:r>
      <w:proofErr w:type="gramEnd"/>
      <w:r w:rsidRPr="00E421F4">
        <w:rPr>
          <w:rFonts w:ascii="Garamond" w:hAnsi="Garamond"/>
        </w:rPr>
        <w:t xml:space="preserve"> one in which aid and foreign policy objectives would be better aligned. Program coherence had always been a key means by which the Agency had argued its case for existence. However, whereas previously a coherent aid program slightly removed from diplomatic goals was the ideal, the new coalition paradigm </w:t>
      </w:r>
      <w:r w:rsidR="000872A0" w:rsidRPr="00E421F4">
        <w:rPr>
          <w:rFonts w:ascii="Garamond" w:hAnsi="Garamond"/>
        </w:rPr>
        <w:t>sought</w:t>
      </w:r>
      <w:r w:rsidRPr="00E421F4">
        <w:rPr>
          <w:rFonts w:ascii="Garamond" w:hAnsi="Garamond"/>
        </w:rPr>
        <w:t xml:space="preserve"> greater coherence between aid and diplomacy. The government had also committed to returning a surplus, and the size of </w:t>
      </w:r>
      <w:proofErr w:type="spellStart"/>
      <w:r w:rsidRPr="00E421F4">
        <w:rPr>
          <w:rFonts w:ascii="Garamond" w:hAnsi="Garamond"/>
        </w:rPr>
        <w:t>AusAID’s</w:t>
      </w:r>
      <w:proofErr w:type="spellEnd"/>
      <w:r w:rsidRPr="00E421F4">
        <w:rPr>
          <w:rFonts w:ascii="Garamond" w:hAnsi="Garamond"/>
        </w:rPr>
        <w:t xml:space="preserve"> core budget represented a considerable saving. Later, the program budget was also </w:t>
      </w:r>
      <w:proofErr w:type="gramStart"/>
      <w:r w:rsidRPr="00E421F4">
        <w:rPr>
          <w:rFonts w:ascii="Garamond" w:hAnsi="Garamond"/>
        </w:rPr>
        <w:t>slashed,</w:t>
      </w:r>
      <w:proofErr w:type="gramEnd"/>
      <w:r w:rsidRPr="00E421F4">
        <w:rPr>
          <w:rFonts w:ascii="Garamond" w:hAnsi="Garamond"/>
        </w:rPr>
        <w:t xml:space="preserve"> with Australia’s aid as a proportion of GNI now scheduled to fall to its lowest ever levels. </w:t>
      </w:r>
    </w:p>
    <w:p w14:paraId="284FF460" w14:textId="77B87D67" w:rsidR="00BC5ACE" w:rsidRPr="00E421F4" w:rsidRDefault="00BC5ACE" w:rsidP="00404219">
      <w:pPr>
        <w:spacing w:line="360" w:lineRule="auto"/>
        <w:ind w:firstLine="720"/>
        <w:rPr>
          <w:rFonts w:ascii="Garamond" w:hAnsi="Garamond"/>
        </w:rPr>
      </w:pPr>
      <w:r w:rsidRPr="00E421F4">
        <w:rPr>
          <w:rFonts w:ascii="Garamond" w:hAnsi="Garamond"/>
        </w:rPr>
        <w:t xml:space="preserve">Other less-public rationales about the abolition abound. As above, </w:t>
      </w:r>
      <w:proofErr w:type="spellStart"/>
      <w:r w:rsidRPr="00E421F4">
        <w:rPr>
          <w:rFonts w:ascii="Garamond" w:hAnsi="Garamond"/>
        </w:rPr>
        <w:t>AusAID</w:t>
      </w:r>
      <w:proofErr w:type="spellEnd"/>
      <w:r w:rsidRPr="00E421F4">
        <w:rPr>
          <w:rFonts w:ascii="Garamond" w:hAnsi="Garamond"/>
        </w:rPr>
        <w:t xml:space="preserve"> had become a symbol of Rudd-era largesse and thus its abolition was meant as a statement of intent. The perceived arrogance of its leadership </w:t>
      </w:r>
      <w:r w:rsidR="000654F6" w:rsidRPr="00E421F4">
        <w:rPr>
          <w:rFonts w:ascii="Garamond" w:hAnsi="Garamond"/>
        </w:rPr>
        <w:t xml:space="preserve">about its increased size </w:t>
      </w:r>
      <w:r w:rsidRPr="00E421F4">
        <w:rPr>
          <w:rFonts w:ascii="Garamond" w:hAnsi="Garamond"/>
        </w:rPr>
        <w:t xml:space="preserve">is also widely believed to have cost it friends and allies among other government departments. Australia had since withdrawn troops from Iraq and Afghanistan, </w:t>
      </w:r>
      <w:r w:rsidR="00DF1286">
        <w:rPr>
          <w:rFonts w:ascii="Garamond" w:hAnsi="Garamond"/>
        </w:rPr>
        <w:t xml:space="preserve">thus </w:t>
      </w:r>
      <w:r w:rsidRPr="00E421F4">
        <w:rPr>
          <w:rFonts w:ascii="Garamond" w:hAnsi="Garamond"/>
        </w:rPr>
        <w:t xml:space="preserve">reducing </w:t>
      </w:r>
      <w:proofErr w:type="spellStart"/>
      <w:r w:rsidR="00DF1286">
        <w:rPr>
          <w:rFonts w:ascii="Garamond" w:hAnsi="Garamond"/>
        </w:rPr>
        <w:t>AusAID’s</w:t>
      </w:r>
      <w:proofErr w:type="spellEnd"/>
      <w:r w:rsidR="00DF1286" w:rsidRPr="00E421F4">
        <w:rPr>
          <w:rFonts w:ascii="Garamond" w:hAnsi="Garamond"/>
        </w:rPr>
        <w:t xml:space="preserve"> </w:t>
      </w:r>
      <w:r w:rsidRPr="00E421F4">
        <w:rPr>
          <w:rFonts w:ascii="Garamond" w:hAnsi="Garamond"/>
        </w:rPr>
        <w:t>importance to the security agencies in particular. More generally, the security-development nexus so critical to its</w:t>
      </w:r>
      <w:r w:rsidR="000872A0" w:rsidRPr="00E421F4">
        <w:rPr>
          <w:rFonts w:ascii="Garamond" w:hAnsi="Garamond"/>
        </w:rPr>
        <w:t xml:space="preserve"> recent</w:t>
      </w:r>
      <w:r w:rsidRPr="00E421F4">
        <w:rPr>
          <w:rFonts w:ascii="Garamond" w:hAnsi="Garamond"/>
        </w:rPr>
        <w:t xml:space="preserve"> rise was unravelling globally as the </w:t>
      </w:r>
      <w:r w:rsidR="00404219" w:rsidRPr="00E421F4">
        <w:rPr>
          <w:rFonts w:ascii="Garamond" w:hAnsi="Garamond"/>
        </w:rPr>
        <w:t>global financial crisis</w:t>
      </w:r>
      <w:r w:rsidRPr="00E421F4">
        <w:rPr>
          <w:rFonts w:ascii="Garamond" w:hAnsi="Garamond"/>
        </w:rPr>
        <w:t xml:space="preserve"> exposed the unsustainable cost</w:t>
      </w:r>
      <w:r w:rsidR="002F7B02" w:rsidRPr="00E421F4">
        <w:rPr>
          <w:rFonts w:ascii="Garamond" w:hAnsi="Garamond"/>
        </w:rPr>
        <w:t>s</w:t>
      </w:r>
      <w:r w:rsidRPr="00E421F4">
        <w:rPr>
          <w:rFonts w:ascii="Garamond" w:hAnsi="Garamond"/>
        </w:rPr>
        <w:t xml:space="preserve"> of these so-called ‘new wars’ (</w:t>
      </w:r>
      <w:r w:rsidR="00E421F4" w:rsidRPr="00E421F4">
        <w:rPr>
          <w:rFonts w:ascii="Garamond" w:hAnsi="Garamond"/>
        </w:rPr>
        <w:t xml:space="preserve">Corbett and </w:t>
      </w:r>
      <w:proofErr w:type="spellStart"/>
      <w:r w:rsidR="00E421F4" w:rsidRPr="00E421F4">
        <w:rPr>
          <w:rFonts w:ascii="Garamond" w:hAnsi="Garamond"/>
        </w:rPr>
        <w:t>Dinnen</w:t>
      </w:r>
      <w:proofErr w:type="spellEnd"/>
      <w:r w:rsidR="00E421F4" w:rsidRPr="00E421F4">
        <w:rPr>
          <w:rFonts w:ascii="Garamond" w:hAnsi="Garamond"/>
        </w:rPr>
        <w:t xml:space="preserve"> 2016</w:t>
      </w:r>
      <w:r w:rsidRPr="00E421F4">
        <w:rPr>
          <w:rFonts w:ascii="Garamond" w:hAnsi="Garamond"/>
        </w:rPr>
        <w:t xml:space="preserve">). </w:t>
      </w:r>
      <w:r w:rsidR="00CA6AFE" w:rsidRPr="00E421F4">
        <w:rPr>
          <w:rFonts w:ascii="Garamond" w:hAnsi="Garamond"/>
        </w:rPr>
        <w:t>While</w:t>
      </w:r>
      <w:r w:rsidRPr="00E421F4">
        <w:rPr>
          <w:rFonts w:ascii="Garamond" w:hAnsi="Garamond"/>
        </w:rPr>
        <w:t xml:space="preserve"> Rudd was in Cabinet </w:t>
      </w:r>
      <w:proofErr w:type="spellStart"/>
      <w:r w:rsidRPr="00E421F4">
        <w:rPr>
          <w:rFonts w:ascii="Garamond" w:hAnsi="Garamond"/>
        </w:rPr>
        <w:t>AusAID</w:t>
      </w:r>
      <w:proofErr w:type="spellEnd"/>
      <w:r w:rsidRPr="00E421F4">
        <w:rPr>
          <w:rFonts w:ascii="Garamond" w:hAnsi="Garamond"/>
        </w:rPr>
        <w:t xml:space="preserve"> was safe. His removal can explain the abolition but the </w:t>
      </w:r>
      <w:r w:rsidR="00CA6AFE" w:rsidRPr="00E421F4">
        <w:rPr>
          <w:rFonts w:ascii="Garamond" w:hAnsi="Garamond"/>
        </w:rPr>
        <w:t>strong belief among the Canberra foreign policy community that the agency had gotten too large</w:t>
      </w:r>
      <w:r w:rsidRPr="00E421F4">
        <w:rPr>
          <w:rFonts w:ascii="Garamond" w:hAnsi="Garamond"/>
        </w:rPr>
        <w:t xml:space="preserve"> is </w:t>
      </w:r>
      <w:proofErr w:type="gramStart"/>
      <w:r w:rsidRPr="00E421F4">
        <w:rPr>
          <w:rFonts w:ascii="Garamond" w:hAnsi="Garamond"/>
        </w:rPr>
        <w:t>key</w:t>
      </w:r>
      <w:proofErr w:type="gramEnd"/>
      <w:r w:rsidR="000654F6" w:rsidRPr="00E421F4">
        <w:rPr>
          <w:rFonts w:ascii="Garamond" w:hAnsi="Garamond"/>
        </w:rPr>
        <w:t xml:space="preserve"> to</w:t>
      </w:r>
      <w:r w:rsidRPr="00E421F4">
        <w:rPr>
          <w:rFonts w:ascii="Garamond" w:hAnsi="Garamond"/>
        </w:rPr>
        <w:t xml:space="preserve"> understanding its severity. </w:t>
      </w:r>
    </w:p>
    <w:p w14:paraId="1E5EDD32" w14:textId="77777777" w:rsidR="00BC5ACE" w:rsidRPr="00E421F4" w:rsidRDefault="00BC5ACE" w:rsidP="00BC5ACE">
      <w:pPr>
        <w:spacing w:line="360" w:lineRule="auto"/>
        <w:rPr>
          <w:rFonts w:ascii="Garamond" w:hAnsi="Garamond"/>
        </w:rPr>
      </w:pPr>
    </w:p>
    <w:p w14:paraId="3858843B" w14:textId="77777777" w:rsidR="00BC5ACE" w:rsidRPr="00E421F4" w:rsidRDefault="00BC5ACE" w:rsidP="00BC5ACE">
      <w:pPr>
        <w:spacing w:line="360" w:lineRule="auto"/>
        <w:rPr>
          <w:rFonts w:ascii="Garamond" w:hAnsi="Garamond"/>
          <w:u w:val="single"/>
        </w:rPr>
      </w:pPr>
      <w:r w:rsidRPr="00E421F4">
        <w:rPr>
          <w:rFonts w:ascii="Garamond" w:hAnsi="Garamond"/>
          <w:u w:val="single"/>
        </w:rPr>
        <w:t>Conclusion</w:t>
      </w:r>
    </w:p>
    <w:p w14:paraId="319EB807" w14:textId="07F39ADF" w:rsidR="00DB376C" w:rsidRPr="00E421F4" w:rsidRDefault="00702EF6" w:rsidP="003A2873">
      <w:pPr>
        <w:spacing w:line="360" w:lineRule="auto"/>
        <w:rPr>
          <w:rFonts w:ascii="Garamond" w:hAnsi="Garamond"/>
        </w:rPr>
      </w:pPr>
      <w:r w:rsidRPr="00E421F4">
        <w:rPr>
          <w:rFonts w:ascii="Garamond" w:hAnsi="Garamond"/>
        </w:rPr>
        <w:lastRenderedPageBreak/>
        <w:tab/>
      </w:r>
      <w:proofErr w:type="spellStart"/>
      <w:r w:rsidR="00BC5ACE" w:rsidRPr="00E421F4">
        <w:rPr>
          <w:rFonts w:ascii="Garamond" w:hAnsi="Garamond"/>
        </w:rPr>
        <w:t>AusAID’s</w:t>
      </w:r>
      <w:proofErr w:type="spellEnd"/>
      <w:r w:rsidR="00BC5ACE" w:rsidRPr="00E421F4">
        <w:rPr>
          <w:rFonts w:ascii="Garamond" w:hAnsi="Garamond"/>
        </w:rPr>
        <w:t xml:space="preserve"> termination story provides a number of lessons for scholars interested in the relationship between size and organisational survival. </w:t>
      </w:r>
      <w:r w:rsidR="003A2873" w:rsidRPr="00E421F4">
        <w:rPr>
          <w:rFonts w:ascii="Garamond" w:hAnsi="Garamond"/>
        </w:rPr>
        <w:t xml:space="preserve">In retrospect, </w:t>
      </w:r>
      <w:proofErr w:type="spellStart"/>
      <w:r w:rsidR="003A2873" w:rsidRPr="00E421F4">
        <w:rPr>
          <w:rFonts w:ascii="Garamond" w:hAnsi="Garamond"/>
        </w:rPr>
        <w:t>AusAID</w:t>
      </w:r>
      <w:proofErr w:type="spellEnd"/>
      <w:r w:rsidR="003A2873" w:rsidRPr="00E421F4">
        <w:rPr>
          <w:rFonts w:ascii="Garamond" w:hAnsi="Garamond"/>
        </w:rPr>
        <w:t xml:space="preserve"> was safest when it was small and kept a low profile. Rather than ensuring its survival,</w:t>
      </w:r>
      <w:r w:rsidR="003A2873" w:rsidRPr="00E421F4" w:rsidDel="00CA6AFE">
        <w:rPr>
          <w:rFonts w:ascii="Garamond" w:hAnsi="Garamond"/>
        </w:rPr>
        <w:t xml:space="preserve"> </w:t>
      </w:r>
      <w:r w:rsidR="003A2873" w:rsidRPr="00E421F4">
        <w:rPr>
          <w:rFonts w:ascii="Garamond" w:hAnsi="Garamond"/>
        </w:rPr>
        <w:t xml:space="preserve">rapid expansion directly contributed to its death. </w:t>
      </w:r>
      <w:r w:rsidR="003A2873" w:rsidRPr="00E421F4">
        <w:rPr>
          <w:rFonts w:ascii="Garamond" w:hAnsi="Garamond"/>
          <w:i/>
        </w:rPr>
        <w:t>Theoretically</w:t>
      </w:r>
      <w:r w:rsidR="003A2873" w:rsidRPr="00E421F4">
        <w:rPr>
          <w:rFonts w:ascii="Garamond" w:hAnsi="Garamond"/>
        </w:rPr>
        <w:t xml:space="preserve"> this is important </w:t>
      </w:r>
      <w:r w:rsidR="00DB376C" w:rsidRPr="00E421F4">
        <w:rPr>
          <w:rFonts w:ascii="Garamond" w:hAnsi="Garamond"/>
        </w:rPr>
        <w:t>because it</w:t>
      </w:r>
      <w:r w:rsidR="000654F6" w:rsidRPr="00E421F4">
        <w:rPr>
          <w:rFonts w:ascii="Garamond" w:hAnsi="Garamond"/>
        </w:rPr>
        <w:t>: a</w:t>
      </w:r>
      <w:r w:rsidR="003A2873" w:rsidRPr="00E421F4">
        <w:rPr>
          <w:rFonts w:ascii="Garamond" w:hAnsi="Garamond"/>
        </w:rPr>
        <w:t>) problematizes one of public administration’s longest standing assumptions: that the bigger the agency the lower the risk of termination</w:t>
      </w:r>
      <w:r w:rsidR="000654F6" w:rsidRPr="00E421F4">
        <w:rPr>
          <w:rFonts w:ascii="Garamond" w:hAnsi="Garamond"/>
        </w:rPr>
        <w:t>; and b</w:t>
      </w:r>
      <w:r w:rsidR="003A2873" w:rsidRPr="00E421F4">
        <w:rPr>
          <w:rFonts w:ascii="Garamond" w:hAnsi="Garamond"/>
        </w:rPr>
        <w:t xml:space="preserve">) it shows that in addition to objective size, perceived size also matters for survival. </w:t>
      </w:r>
      <w:r w:rsidR="00DB376C" w:rsidRPr="00E421F4">
        <w:rPr>
          <w:rFonts w:ascii="Garamond" w:hAnsi="Garamond"/>
        </w:rPr>
        <w:t xml:space="preserve">That is, our contribution both affirms the old view, commonly associated with Downs, that size matters, but also extends it by demonstrating that the key is uncovering how it is perceived rather than objectively conferred. </w:t>
      </w:r>
      <w:r w:rsidR="000654F6" w:rsidRPr="00E421F4">
        <w:rPr>
          <w:rFonts w:ascii="Garamond" w:hAnsi="Garamond"/>
        </w:rPr>
        <w:t>Our case shows that t</w:t>
      </w:r>
      <w:r w:rsidR="00DB376C" w:rsidRPr="00E421F4">
        <w:rPr>
          <w:rFonts w:ascii="Garamond" w:hAnsi="Garamond"/>
        </w:rPr>
        <w:t>here is great range in the means by which this was achieved – from the title of the agency head through to reviews and the size of its core budget. The important point is that each serve</w:t>
      </w:r>
      <w:r w:rsidR="000654F6" w:rsidRPr="00E421F4">
        <w:rPr>
          <w:rFonts w:ascii="Garamond" w:hAnsi="Garamond"/>
        </w:rPr>
        <w:t>s</w:t>
      </w:r>
      <w:r w:rsidR="00DB376C" w:rsidRPr="00E421F4">
        <w:rPr>
          <w:rFonts w:ascii="Garamond" w:hAnsi="Garamond"/>
        </w:rPr>
        <w:t xml:space="preserve"> as a mechanism to project a perception of ideal size. And,</w:t>
      </w:r>
      <w:r w:rsidR="00273A05" w:rsidRPr="00E421F4">
        <w:rPr>
          <w:rFonts w:ascii="Garamond" w:hAnsi="Garamond"/>
        </w:rPr>
        <w:t xml:space="preserve"> consistent with the arguments of </w:t>
      </w:r>
      <w:proofErr w:type="spellStart"/>
      <w:r w:rsidR="00273A05" w:rsidRPr="00E421F4">
        <w:rPr>
          <w:rFonts w:ascii="Garamond" w:hAnsi="Garamond"/>
        </w:rPr>
        <w:t>Dommett</w:t>
      </w:r>
      <w:proofErr w:type="spellEnd"/>
      <w:r w:rsidR="00273A05" w:rsidRPr="00E421F4">
        <w:rPr>
          <w:rFonts w:ascii="Garamond" w:hAnsi="Garamond"/>
        </w:rPr>
        <w:t xml:space="preserve"> and </w:t>
      </w:r>
      <w:proofErr w:type="spellStart"/>
      <w:r w:rsidR="00273A05" w:rsidRPr="00E421F4">
        <w:rPr>
          <w:rFonts w:ascii="Garamond" w:hAnsi="Garamond"/>
        </w:rPr>
        <w:t>Skelcher</w:t>
      </w:r>
      <w:proofErr w:type="spellEnd"/>
      <w:r w:rsidR="00273A05" w:rsidRPr="00E421F4">
        <w:rPr>
          <w:rFonts w:ascii="Garamond" w:hAnsi="Garamond"/>
        </w:rPr>
        <w:t xml:space="preserve"> (2014),</w:t>
      </w:r>
      <w:r w:rsidR="00DB376C" w:rsidRPr="00E421F4">
        <w:rPr>
          <w:rFonts w:ascii="Garamond" w:hAnsi="Garamond"/>
        </w:rPr>
        <w:t xml:space="preserve"> actors revise their strategies</w:t>
      </w:r>
      <w:r w:rsidR="00273A05" w:rsidRPr="00E421F4">
        <w:rPr>
          <w:rFonts w:ascii="Garamond" w:hAnsi="Garamond"/>
        </w:rPr>
        <w:t xml:space="preserve"> in the light of their experience</w:t>
      </w:r>
      <w:r w:rsidR="00DB376C" w:rsidRPr="00E421F4">
        <w:rPr>
          <w:rFonts w:ascii="Garamond" w:hAnsi="Garamond"/>
        </w:rPr>
        <w:t xml:space="preserve">. </w:t>
      </w:r>
    </w:p>
    <w:p w14:paraId="31AED11C" w14:textId="0BDE296E" w:rsidR="003A2873" w:rsidRPr="00E421F4" w:rsidRDefault="00DB376C" w:rsidP="00DB376C">
      <w:pPr>
        <w:spacing w:line="360" w:lineRule="auto"/>
        <w:ind w:firstLine="720"/>
        <w:rPr>
          <w:rFonts w:ascii="Garamond" w:hAnsi="Garamond"/>
        </w:rPr>
      </w:pPr>
      <w:r w:rsidRPr="00E421F4">
        <w:rPr>
          <w:rFonts w:ascii="Garamond" w:hAnsi="Garamond"/>
        </w:rPr>
        <w:t xml:space="preserve">In relation to recent termination studies, our contribution supports the work of </w:t>
      </w:r>
      <w:proofErr w:type="spellStart"/>
      <w:r w:rsidRPr="00E421F4">
        <w:rPr>
          <w:rFonts w:ascii="Garamond" w:hAnsi="Garamond"/>
        </w:rPr>
        <w:t>Boin</w:t>
      </w:r>
      <w:proofErr w:type="spellEnd"/>
      <w:r w:rsidRPr="00E421F4">
        <w:rPr>
          <w:rFonts w:ascii="Garamond" w:hAnsi="Garamond"/>
        </w:rPr>
        <w:t xml:space="preserve"> et al (2010) and the correlation they establish between organisational adaptability and survival. But, it also extends this thinking by adopting an explicitly interpretive approach that looks at the history of one agency over time. </w:t>
      </w:r>
      <w:r w:rsidR="003A2873" w:rsidRPr="00E421F4">
        <w:rPr>
          <w:rFonts w:ascii="Garamond" w:hAnsi="Garamond"/>
        </w:rPr>
        <w:t>Perceived size is clearly related to objective</w:t>
      </w:r>
      <w:r w:rsidR="000654F6" w:rsidRPr="00E421F4">
        <w:rPr>
          <w:rFonts w:ascii="Garamond" w:hAnsi="Garamond"/>
        </w:rPr>
        <w:t xml:space="preserve"> size</w:t>
      </w:r>
      <w:r w:rsidR="003A2873" w:rsidRPr="00E421F4">
        <w:rPr>
          <w:rFonts w:ascii="Garamond" w:hAnsi="Garamond"/>
        </w:rPr>
        <w:t>, especially for those political parties who believe in a minimalist state. But, this alone does not determine the chances of survival</w:t>
      </w:r>
      <w:r w:rsidR="00A82064" w:rsidRPr="00E421F4">
        <w:rPr>
          <w:rFonts w:ascii="Garamond" w:hAnsi="Garamond"/>
        </w:rPr>
        <w:t xml:space="preserve"> for an individual agency</w:t>
      </w:r>
      <w:r w:rsidR="003A2873" w:rsidRPr="00E421F4">
        <w:rPr>
          <w:rFonts w:ascii="Garamond" w:hAnsi="Garamond"/>
        </w:rPr>
        <w:t>.  Rather, objective size creates constraints and opportunities, including stakeholder expectations, that vary according to context, and which can be shaped and managed.</w:t>
      </w:r>
      <w:r w:rsidR="00162A5D" w:rsidRPr="00E421F4">
        <w:rPr>
          <w:rFonts w:ascii="Garamond" w:hAnsi="Garamond"/>
        </w:rPr>
        <w:t xml:space="preserve"> </w:t>
      </w:r>
      <w:r w:rsidR="003A2873" w:rsidRPr="00E421F4">
        <w:rPr>
          <w:rFonts w:ascii="Garamond" w:hAnsi="Garamond"/>
        </w:rPr>
        <w:t xml:space="preserve">As such, both claims </w:t>
      </w:r>
      <w:r w:rsidR="000872A0" w:rsidRPr="00E421F4">
        <w:rPr>
          <w:rFonts w:ascii="Garamond" w:hAnsi="Garamond"/>
        </w:rPr>
        <w:t>support</w:t>
      </w:r>
      <w:r w:rsidR="003A2873" w:rsidRPr="00E421F4">
        <w:rPr>
          <w:rFonts w:ascii="Garamond" w:hAnsi="Garamond"/>
        </w:rPr>
        <w:t xml:space="preserve"> the recent literature on the way reputation</w:t>
      </w:r>
      <w:r w:rsidR="002F7B02" w:rsidRPr="00E421F4">
        <w:rPr>
          <w:rFonts w:ascii="Garamond" w:hAnsi="Garamond"/>
        </w:rPr>
        <w:t>s</w:t>
      </w:r>
      <w:r w:rsidR="003A2873" w:rsidRPr="00E421F4">
        <w:rPr>
          <w:rFonts w:ascii="Garamond" w:hAnsi="Garamond"/>
        </w:rPr>
        <w:t xml:space="preserve"> shape survival chances (Boon and </w:t>
      </w:r>
      <w:proofErr w:type="spellStart"/>
      <w:r w:rsidR="003A2873" w:rsidRPr="00E421F4">
        <w:rPr>
          <w:rFonts w:ascii="Garamond" w:hAnsi="Garamond"/>
        </w:rPr>
        <w:t>Verhoest</w:t>
      </w:r>
      <w:proofErr w:type="spellEnd"/>
      <w:r w:rsidR="003A2873" w:rsidRPr="00E421F4">
        <w:rPr>
          <w:rFonts w:ascii="Garamond" w:hAnsi="Garamond"/>
        </w:rPr>
        <w:t xml:space="preserve"> 2014; Carpenter 2001, 201</w:t>
      </w:r>
      <w:r w:rsidR="00011F13" w:rsidRPr="00E421F4">
        <w:rPr>
          <w:rFonts w:ascii="Garamond" w:hAnsi="Garamond"/>
        </w:rPr>
        <w:t>4</w:t>
      </w:r>
      <w:r w:rsidR="003A2873" w:rsidRPr="00E421F4">
        <w:rPr>
          <w:rFonts w:ascii="Garamond" w:hAnsi="Garamond"/>
        </w:rPr>
        <w:t xml:space="preserve">; </w:t>
      </w:r>
      <w:proofErr w:type="spellStart"/>
      <w:r w:rsidR="003A2873" w:rsidRPr="00E421F4">
        <w:rPr>
          <w:rFonts w:ascii="Garamond" w:hAnsi="Garamond"/>
        </w:rPr>
        <w:t>Maor</w:t>
      </w:r>
      <w:proofErr w:type="spellEnd"/>
      <w:r w:rsidR="003A2873" w:rsidRPr="00E421F4">
        <w:rPr>
          <w:rFonts w:ascii="Garamond" w:hAnsi="Garamond"/>
        </w:rPr>
        <w:t xml:space="preserve"> 2011).</w:t>
      </w:r>
      <w:r w:rsidR="001A4F6C" w:rsidRPr="00E421F4">
        <w:rPr>
          <w:rFonts w:ascii="Garamond" w:hAnsi="Garamond"/>
        </w:rPr>
        <w:t xml:space="preserve"> Furthermore, our observations add to recent qualitative work on de-</w:t>
      </w:r>
      <w:proofErr w:type="spellStart"/>
      <w:r w:rsidR="001A4F6C" w:rsidRPr="00E421F4">
        <w:rPr>
          <w:rFonts w:ascii="Garamond" w:hAnsi="Garamond"/>
        </w:rPr>
        <w:t>agencification</w:t>
      </w:r>
      <w:proofErr w:type="spellEnd"/>
      <w:r w:rsidR="00D12861" w:rsidRPr="00E421F4">
        <w:rPr>
          <w:rFonts w:ascii="Garamond" w:hAnsi="Garamond"/>
        </w:rPr>
        <w:t xml:space="preserve"> in Europe and </w:t>
      </w:r>
      <w:r w:rsidR="00766DAD" w:rsidRPr="00E421F4">
        <w:rPr>
          <w:rFonts w:ascii="Garamond" w:hAnsi="Garamond"/>
        </w:rPr>
        <w:t>the antipodes</w:t>
      </w:r>
      <w:r w:rsidR="00D00E11" w:rsidRPr="00E421F4">
        <w:rPr>
          <w:rFonts w:ascii="Garamond" w:hAnsi="Garamond"/>
        </w:rPr>
        <w:t xml:space="preserve"> (Flinders, </w:t>
      </w:r>
      <w:proofErr w:type="spellStart"/>
      <w:r w:rsidR="00D00E11" w:rsidRPr="00E421F4">
        <w:rPr>
          <w:rFonts w:ascii="Garamond" w:hAnsi="Garamond"/>
        </w:rPr>
        <w:t>Dommett</w:t>
      </w:r>
      <w:proofErr w:type="spellEnd"/>
      <w:r w:rsidR="00D00E11" w:rsidRPr="00E421F4">
        <w:rPr>
          <w:rFonts w:ascii="Garamond" w:hAnsi="Garamond"/>
        </w:rPr>
        <w:t xml:space="preserve">, &amp; </w:t>
      </w:r>
      <w:proofErr w:type="spellStart"/>
      <w:r w:rsidR="00D00E11" w:rsidRPr="00E421F4">
        <w:rPr>
          <w:rFonts w:ascii="Garamond" w:hAnsi="Garamond"/>
        </w:rPr>
        <w:t>Tonkiss</w:t>
      </w:r>
      <w:proofErr w:type="spellEnd"/>
      <w:r w:rsidR="00D00E11" w:rsidRPr="00E421F4">
        <w:rPr>
          <w:rFonts w:ascii="Garamond" w:hAnsi="Garamond"/>
        </w:rPr>
        <w:t xml:space="preserve">, 2014; Flinders &amp; </w:t>
      </w:r>
      <w:proofErr w:type="spellStart"/>
      <w:r w:rsidR="00D00E11" w:rsidRPr="00E421F4">
        <w:rPr>
          <w:rFonts w:ascii="Garamond" w:hAnsi="Garamond"/>
        </w:rPr>
        <w:t>Skelcher</w:t>
      </w:r>
      <w:proofErr w:type="spellEnd"/>
      <w:r w:rsidR="00D00E11" w:rsidRPr="00E421F4">
        <w:rPr>
          <w:rFonts w:ascii="Garamond" w:hAnsi="Garamond"/>
        </w:rPr>
        <w:t>, 2012; Lodge and Hood 2012)</w:t>
      </w:r>
      <w:r w:rsidR="001A4F6C" w:rsidRPr="00E421F4">
        <w:rPr>
          <w:rFonts w:ascii="Garamond" w:hAnsi="Garamond"/>
        </w:rPr>
        <w:t xml:space="preserve">, by showing how perceptions of agency size are both influenced by, and feed into, </w:t>
      </w:r>
      <w:r w:rsidR="004358DB" w:rsidRPr="00E421F4">
        <w:rPr>
          <w:rFonts w:ascii="Garamond" w:hAnsi="Garamond"/>
        </w:rPr>
        <w:t xml:space="preserve">contemporary </w:t>
      </w:r>
      <w:r w:rsidR="001A4F6C" w:rsidRPr="00E421F4">
        <w:rPr>
          <w:rFonts w:ascii="Garamond" w:hAnsi="Garamond"/>
        </w:rPr>
        <w:t>anti-quango campaigns and austerity movements</w:t>
      </w:r>
      <w:r w:rsidR="00D00E11" w:rsidRPr="00E421F4">
        <w:rPr>
          <w:rFonts w:ascii="Garamond" w:hAnsi="Garamond"/>
        </w:rPr>
        <w:t>.</w:t>
      </w:r>
    </w:p>
    <w:p w14:paraId="1BDEF22D" w14:textId="1A63871E" w:rsidR="008D2BB4" w:rsidRPr="00E421F4" w:rsidRDefault="003A2873" w:rsidP="000D62B5">
      <w:pPr>
        <w:spacing w:line="360" w:lineRule="auto"/>
        <w:ind w:firstLine="720"/>
        <w:rPr>
          <w:rFonts w:ascii="Garamond" w:hAnsi="Garamond"/>
        </w:rPr>
      </w:pPr>
      <w:r w:rsidRPr="00E421F4">
        <w:rPr>
          <w:rFonts w:ascii="Garamond" w:hAnsi="Garamond"/>
        </w:rPr>
        <w:t>To make this theoretical</w:t>
      </w:r>
      <w:r w:rsidR="00DB376C" w:rsidRPr="00E421F4">
        <w:rPr>
          <w:rFonts w:ascii="Garamond" w:hAnsi="Garamond"/>
        </w:rPr>
        <w:t xml:space="preserve"> contribution we have</w:t>
      </w:r>
      <w:r w:rsidRPr="00E421F4">
        <w:rPr>
          <w:rFonts w:ascii="Garamond" w:hAnsi="Garamond"/>
        </w:rPr>
        <w:t xml:space="preserve"> built on and extended recent interpretive work, specifically </w:t>
      </w:r>
      <w:proofErr w:type="spellStart"/>
      <w:r w:rsidRPr="00E421F4">
        <w:rPr>
          <w:rFonts w:ascii="Garamond" w:hAnsi="Garamond"/>
        </w:rPr>
        <w:t>Smullen</w:t>
      </w:r>
      <w:proofErr w:type="spellEnd"/>
      <w:r w:rsidRPr="00E421F4">
        <w:rPr>
          <w:rFonts w:ascii="Garamond" w:hAnsi="Garamond"/>
        </w:rPr>
        <w:t xml:space="preserve"> (2010) and </w:t>
      </w:r>
      <w:proofErr w:type="spellStart"/>
      <w:r w:rsidRPr="00E421F4">
        <w:rPr>
          <w:rFonts w:ascii="Garamond" w:hAnsi="Garamond"/>
        </w:rPr>
        <w:t>Elston</w:t>
      </w:r>
      <w:proofErr w:type="spellEnd"/>
      <w:r w:rsidRPr="00E421F4">
        <w:rPr>
          <w:rFonts w:ascii="Garamond" w:hAnsi="Garamond"/>
        </w:rPr>
        <w:t xml:space="preserve"> (2014)</w:t>
      </w:r>
      <w:r w:rsidR="000654F6" w:rsidRPr="00E421F4">
        <w:rPr>
          <w:rFonts w:ascii="Garamond" w:hAnsi="Garamond"/>
        </w:rPr>
        <w:t>,</w:t>
      </w:r>
      <w:r w:rsidRPr="00E421F4">
        <w:rPr>
          <w:rFonts w:ascii="Garamond" w:hAnsi="Garamond"/>
        </w:rPr>
        <w:t xml:space="preserve"> on agencies. </w:t>
      </w:r>
      <w:r w:rsidR="002C6CAD" w:rsidRPr="00E421F4">
        <w:rPr>
          <w:rFonts w:ascii="Garamond" w:hAnsi="Garamond"/>
        </w:rPr>
        <w:t xml:space="preserve">These studies </w:t>
      </w:r>
      <w:r w:rsidRPr="00E421F4">
        <w:rPr>
          <w:rFonts w:ascii="Garamond" w:hAnsi="Garamond"/>
        </w:rPr>
        <w:t>show</w:t>
      </w:r>
      <w:r w:rsidR="002C6CAD" w:rsidRPr="00E421F4">
        <w:rPr>
          <w:rFonts w:ascii="Garamond" w:hAnsi="Garamond"/>
        </w:rPr>
        <w:t xml:space="preserve"> how discursive, historical and geo-spatial contexts shape stakeholders’ attitudes towards agencies. We add an explicit focus on how beliefs about organizational size influence termination.</w:t>
      </w:r>
      <w:r w:rsidRPr="00E421F4">
        <w:rPr>
          <w:rFonts w:ascii="Garamond" w:hAnsi="Garamond"/>
        </w:rPr>
        <w:t xml:space="preserve"> In doing so we have focused on how certain mechanisms – </w:t>
      </w:r>
      <w:r w:rsidR="000872A0" w:rsidRPr="00E421F4">
        <w:rPr>
          <w:rFonts w:ascii="Garamond" w:hAnsi="Garamond"/>
        </w:rPr>
        <w:t>specified in Table 1</w:t>
      </w:r>
      <w:r w:rsidRPr="00E421F4">
        <w:rPr>
          <w:rFonts w:ascii="Garamond" w:hAnsi="Garamond"/>
        </w:rPr>
        <w:t xml:space="preserve"> – provide actors with an opportunity to shape their perceived size. Our in-depth </w:t>
      </w:r>
      <w:r w:rsidR="002C6CAD" w:rsidRPr="00E421F4">
        <w:rPr>
          <w:rFonts w:ascii="Garamond" w:hAnsi="Garamond"/>
        </w:rPr>
        <w:t xml:space="preserve">historical case study </w:t>
      </w:r>
      <w:r w:rsidRPr="00E421F4">
        <w:rPr>
          <w:rFonts w:ascii="Garamond" w:hAnsi="Garamond"/>
        </w:rPr>
        <w:t>drew</w:t>
      </w:r>
      <w:r w:rsidR="002C6CAD" w:rsidRPr="00E421F4">
        <w:rPr>
          <w:rFonts w:ascii="Garamond" w:hAnsi="Garamond"/>
        </w:rPr>
        <w:t xml:space="preserve"> on more than 50 interviews with ministers and senior officials, archival and public source material</w:t>
      </w:r>
      <w:r w:rsidRPr="00E421F4">
        <w:rPr>
          <w:rFonts w:ascii="Garamond" w:hAnsi="Garamond"/>
        </w:rPr>
        <w:t xml:space="preserve"> to substantiate this argument</w:t>
      </w:r>
      <w:r w:rsidR="002C6CAD" w:rsidRPr="00E421F4">
        <w:rPr>
          <w:rFonts w:ascii="Garamond" w:hAnsi="Garamond"/>
        </w:rPr>
        <w:t>.</w:t>
      </w:r>
      <w:r w:rsidRPr="00E421F4">
        <w:rPr>
          <w:rFonts w:ascii="Garamond" w:hAnsi="Garamond"/>
        </w:rPr>
        <w:t xml:space="preserve"> To be sure, single case studies have their limitations and further </w:t>
      </w:r>
      <w:r w:rsidRPr="00E421F4">
        <w:rPr>
          <w:rFonts w:ascii="Garamond" w:hAnsi="Garamond"/>
        </w:rPr>
        <w:lastRenderedPageBreak/>
        <w:t xml:space="preserve">comparative work will be required to test and flesh out the veracity of the claims we make here. But, we argue that when used to illustrate temporal patterns a single case offers important explanatory insights from which we can draw more general theoretical conclusions (e.g. </w:t>
      </w:r>
      <w:proofErr w:type="spellStart"/>
      <w:r w:rsidRPr="00E421F4">
        <w:rPr>
          <w:rFonts w:ascii="Garamond" w:hAnsi="Garamond"/>
        </w:rPr>
        <w:t>Flyvbjerg</w:t>
      </w:r>
      <w:proofErr w:type="spellEnd"/>
      <w:r w:rsidRPr="00E421F4">
        <w:rPr>
          <w:rFonts w:ascii="Garamond" w:hAnsi="Garamond"/>
        </w:rPr>
        <w:t xml:space="preserve"> 2006). As such, our analysis also contributes to methodological debates by positing a framework that could be applied to other “objective” variables, such as age and formal autonomy. In each case, these variables need to be considered through the lens of actors</w:t>
      </w:r>
      <w:r w:rsidR="00DB376C" w:rsidRPr="00E421F4">
        <w:rPr>
          <w:rFonts w:ascii="Garamond" w:hAnsi="Garamond"/>
        </w:rPr>
        <w:t>’ perceptions</w:t>
      </w:r>
      <w:r w:rsidRPr="00E421F4">
        <w:rPr>
          <w:rFonts w:ascii="Garamond" w:hAnsi="Garamond"/>
        </w:rPr>
        <w:t xml:space="preserve">.  </w:t>
      </w:r>
    </w:p>
    <w:p w14:paraId="33EF62EF" w14:textId="77777777" w:rsidR="00BC5ACE" w:rsidRPr="00E421F4" w:rsidRDefault="00BC5ACE" w:rsidP="0027650D">
      <w:pPr>
        <w:spacing w:line="360" w:lineRule="auto"/>
        <w:rPr>
          <w:rFonts w:ascii="Garamond" w:hAnsi="Garamond"/>
        </w:rPr>
      </w:pPr>
    </w:p>
    <w:p w14:paraId="01B335E8" w14:textId="77777777" w:rsidR="00BC5ACE" w:rsidRPr="00E421F4" w:rsidRDefault="00BC5ACE" w:rsidP="00BC5ACE">
      <w:pPr>
        <w:spacing w:line="360" w:lineRule="auto"/>
        <w:rPr>
          <w:rFonts w:ascii="Garamond" w:hAnsi="Garamond"/>
          <w:u w:val="single"/>
        </w:rPr>
      </w:pPr>
      <w:r w:rsidRPr="00E421F4">
        <w:rPr>
          <w:rFonts w:ascii="Garamond" w:hAnsi="Garamond"/>
          <w:u w:val="single"/>
        </w:rPr>
        <w:t>References</w:t>
      </w:r>
    </w:p>
    <w:p w14:paraId="72B6C1FA" w14:textId="10399A57" w:rsidR="00BC5ACE" w:rsidRPr="00E421F4" w:rsidRDefault="00BC5ACE" w:rsidP="00BC5ACE">
      <w:pPr>
        <w:spacing w:line="360" w:lineRule="auto"/>
        <w:ind w:left="720" w:hanging="720"/>
        <w:rPr>
          <w:rFonts w:ascii="Garamond" w:hAnsi="Garamond"/>
        </w:rPr>
      </w:pPr>
      <w:r w:rsidRPr="00E421F4">
        <w:rPr>
          <w:rFonts w:ascii="Garamond" w:hAnsi="Garamond"/>
        </w:rPr>
        <w:t xml:space="preserve">Australia. </w:t>
      </w:r>
      <w:proofErr w:type="gramStart"/>
      <w:r w:rsidR="00802521" w:rsidRPr="00E421F4">
        <w:rPr>
          <w:rFonts w:ascii="Garamond" w:hAnsi="Garamond"/>
        </w:rPr>
        <w:t xml:space="preserve">(1984) </w:t>
      </w:r>
      <w:r w:rsidRPr="00E421F4">
        <w:rPr>
          <w:rFonts w:ascii="Garamond" w:hAnsi="Garamond"/>
        </w:rPr>
        <w:t>Committee to Review the Australian Overseas Aid Program.</w:t>
      </w:r>
      <w:proofErr w:type="gramEnd"/>
      <w:r w:rsidRPr="00E421F4">
        <w:rPr>
          <w:rFonts w:ascii="Garamond" w:hAnsi="Garamond"/>
        </w:rPr>
        <w:t xml:space="preserve"> </w:t>
      </w:r>
      <w:proofErr w:type="gramStart"/>
      <w:r w:rsidRPr="00E421F4">
        <w:rPr>
          <w:rFonts w:ascii="Garamond" w:hAnsi="Garamond"/>
          <w:i/>
        </w:rPr>
        <w:t>Report of the committee to review the Australian overseas aid program</w:t>
      </w:r>
      <w:r w:rsidRPr="00E421F4">
        <w:rPr>
          <w:rFonts w:ascii="Garamond" w:hAnsi="Garamond"/>
        </w:rPr>
        <w:t>.</w:t>
      </w:r>
      <w:proofErr w:type="gramEnd"/>
      <w:r w:rsidRPr="00E421F4">
        <w:rPr>
          <w:rFonts w:ascii="Garamond" w:hAnsi="Garamond"/>
        </w:rPr>
        <w:t xml:space="preserve"> </w:t>
      </w:r>
      <w:proofErr w:type="gramStart"/>
      <w:r w:rsidRPr="00E421F4">
        <w:rPr>
          <w:rFonts w:ascii="Garamond" w:hAnsi="Garamond"/>
        </w:rPr>
        <w:t>Australian Government Publishing Service.</w:t>
      </w:r>
      <w:proofErr w:type="gramEnd"/>
    </w:p>
    <w:p w14:paraId="683C8017" w14:textId="3D4DE17A" w:rsidR="00BC5ACE" w:rsidRPr="00E421F4" w:rsidRDefault="00BC5ACE" w:rsidP="00BC5ACE">
      <w:pPr>
        <w:spacing w:line="360" w:lineRule="auto"/>
        <w:ind w:left="720" w:hanging="720"/>
        <w:rPr>
          <w:rFonts w:ascii="Garamond" w:hAnsi="Garamond"/>
        </w:rPr>
      </w:pPr>
      <w:r w:rsidRPr="00E421F4">
        <w:rPr>
          <w:rFonts w:ascii="Garamond" w:hAnsi="Garamond"/>
        </w:rPr>
        <w:t xml:space="preserve">Australia. </w:t>
      </w:r>
      <w:r w:rsidR="0063541E" w:rsidRPr="00E421F4">
        <w:rPr>
          <w:rFonts w:ascii="Garamond" w:hAnsi="Garamond"/>
        </w:rPr>
        <w:t xml:space="preserve">Joint Committee on Foreign Affairs, Defence and Trade (JCFADT) </w:t>
      </w:r>
      <w:r w:rsidR="00802521" w:rsidRPr="00E421F4">
        <w:rPr>
          <w:rFonts w:ascii="Garamond" w:hAnsi="Garamond"/>
        </w:rPr>
        <w:t>(1989</w:t>
      </w:r>
      <w:r w:rsidR="0063541E" w:rsidRPr="00E421F4">
        <w:rPr>
          <w:rFonts w:ascii="Garamond" w:hAnsi="Garamond"/>
        </w:rPr>
        <w:t xml:space="preserve">) </w:t>
      </w:r>
      <w:proofErr w:type="gramStart"/>
      <w:r w:rsidRPr="00E421F4">
        <w:rPr>
          <w:rFonts w:ascii="Garamond" w:hAnsi="Garamond"/>
          <w:i/>
        </w:rPr>
        <w:t>A</w:t>
      </w:r>
      <w:proofErr w:type="gramEnd"/>
      <w:r w:rsidRPr="00E421F4">
        <w:rPr>
          <w:rFonts w:ascii="Garamond" w:hAnsi="Garamond"/>
          <w:i/>
        </w:rPr>
        <w:t xml:space="preserve"> review of the Australian International Development Assistance bureau and Australia’s Overseas Aid Program</w:t>
      </w:r>
      <w:r w:rsidRPr="00E421F4">
        <w:rPr>
          <w:rFonts w:ascii="Garamond" w:hAnsi="Garamond"/>
        </w:rPr>
        <w:t>. Canberra: Australia</w:t>
      </w:r>
      <w:r w:rsidR="00802521" w:rsidRPr="00E421F4">
        <w:rPr>
          <w:rFonts w:ascii="Garamond" w:hAnsi="Garamond"/>
        </w:rPr>
        <w:t>n Government Publishing Service.</w:t>
      </w:r>
    </w:p>
    <w:p w14:paraId="4135BB0A" w14:textId="153F1252" w:rsidR="00905722" w:rsidRPr="00E421F4" w:rsidRDefault="00905722" w:rsidP="00905722">
      <w:pPr>
        <w:spacing w:line="360" w:lineRule="auto"/>
        <w:ind w:left="720" w:hanging="720"/>
        <w:rPr>
          <w:rFonts w:ascii="Garamond" w:hAnsi="Garamond"/>
        </w:rPr>
      </w:pPr>
      <w:r w:rsidRPr="00E421F4">
        <w:rPr>
          <w:rFonts w:ascii="Garamond" w:hAnsi="Garamond"/>
        </w:rPr>
        <w:t xml:space="preserve">Bennett, A, and J T. </w:t>
      </w:r>
      <w:proofErr w:type="spellStart"/>
      <w:r w:rsidRPr="00E421F4">
        <w:rPr>
          <w:rFonts w:ascii="Garamond" w:hAnsi="Garamond"/>
        </w:rPr>
        <w:t>Checkel</w:t>
      </w:r>
      <w:proofErr w:type="spellEnd"/>
      <w:r w:rsidRPr="00E421F4">
        <w:rPr>
          <w:rFonts w:ascii="Garamond" w:hAnsi="Garamond"/>
        </w:rPr>
        <w:t xml:space="preserve">, </w:t>
      </w:r>
      <w:proofErr w:type="spellStart"/>
      <w:proofErr w:type="gramStart"/>
      <w:r w:rsidRPr="00E421F4">
        <w:rPr>
          <w:rFonts w:ascii="Garamond" w:hAnsi="Garamond"/>
        </w:rPr>
        <w:t>eds</w:t>
      </w:r>
      <w:proofErr w:type="spellEnd"/>
      <w:proofErr w:type="gramEnd"/>
      <w:r w:rsidRPr="00E421F4">
        <w:rPr>
          <w:rFonts w:ascii="Garamond" w:hAnsi="Garamond"/>
        </w:rPr>
        <w:t xml:space="preserve"> (2015). </w:t>
      </w:r>
      <w:proofErr w:type="gramStart"/>
      <w:r w:rsidRPr="00E421F4">
        <w:rPr>
          <w:rFonts w:ascii="Garamond" w:hAnsi="Garamond"/>
          <w:i/>
        </w:rPr>
        <w:t>Process tracing</w:t>
      </w:r>
      <w:r w:rsidRPr="00E421F4">
        <w:rPr>
          <w:rFonts w:ascii="Garamond" w:hAnsi="Garamond"/>
        </w:rPr>
        <w:t>.</w:t>
      </w:r>
      <w:proofErr w:type="gramEnd"/>
      <w:r w:rsidRPr="00E421F4">
        <w:rPr>
          <w:rFonts w:ascii="Garamond" w:hAnsi="Garamond"/>
        </w:rPr>
        <w:t xml:space="preserve"> Cambridge: Cambridge University Press.</w:t>
      </w:r>
    </w:p>
    <w:p w14:paraId="740ADE53" w14:textId="77777777" w:rsidR="00BC5ACE" w:rsidRPr="00E421F4" w:rsidRDefault="00BC5ACE" w:rsidP="00BC5ACE">
      <w:pPr>
        <w:spacing w:line="360" w:lineRule="auto"/>
        <w:ind w:left="720" w:hanging="720"/>
        <w:rPr>
          <w:rFonts w:ascii="Garamond" w:hAnsi="Garamond"/>
        </w:rPr>
      </w:pPr>
      <w:proofErr w:type="gramStart"/>
      <w:r w:rsidRPr="00E421F4">
        <w:rPr>
          <w:rFonts w:ascii="Garamond" w:hAnsi="Garamond"/>
        </w:rPr>
        <w:t>Berry, C. R., Burden, B. C., &amp; Howell, W. G. (2010).</w:t>
      </w:r>
      <w:proofErr w:type="gramEnd"/>
      <w:r w:rsidRPr="00E421F4">
        <w:rPr>
          <w:rFonts w:ascii="Garamond" w:hAnsi="Garamond"/>
        </w:rPr>
        <w:t xml:space="preserve"> After enactment: The lives and deaths of federal programs. </w:t>
      </w:r>
      <w:r w:rsidRPr="00E421F4">
        <w:rPr>
          <w:rFonts w:ascii="Garamond" w:hAnsi="Garamond"/>
          <w:i/>
        </w:rPr>
        <w:t>American Journal of Political Science</w:t>
      </w:r>
      <w:r w:rsidRPr="00E421F4">
        <w:rPr>
          <w:rFonts w:ascii="Garamond" w:hAnsi="Garamond"/>
        </w:rPr>
        <w:t xml:space="preserve">, 54(1), 1-17. </w:t>
      </w:r>
    </w:p>
    <w:p w14:paraId="60000C8A" w14:textId="77777777" w:rsidR="00BC5ACE" w:rsidRPr="00E421F4" w:rsidRDefault="00BC5ACE" w:rsidP="00BC5ACE">
      <w:pPr>
        <w:spacing w:line="360" w:lineRule="auto"/>
        <w:ind w:left="720" w:hanging="720"/>
        <w:rPr>
          <w:rFonts w:ascii="Garamond" w:hAnsi="Garamond"/>
        </w:rPr>
      </w:pPr>
      <w:proofErr w:type="spellStart"/>
      <w:proofErr w:type="gramStart"/>
      <w:r w:rsidRPr="00E421F4">
        <w:rPr>
          <w:rFonts w:ascii="Garamond" w:hAnsi="Garamond"/>
        </w:rPr>
        <w:t>Bevir</w:t>
      </w:r>
      <w:proofErr w:type="spellEnd"/>
      <w:r w:rsidRPr="00E421F4">
        <w:rPr>
          <w:rFonts w:ascii="Garamond" w:hAnsi="Garamond"/>
        </w:rPr>
        <w:t>, M., &amp; Rhodes, R. A. (2010).</w:t>
      </w:r>
      <w:proofErr w:type="gramEnd"/>
      <w:r w:rsidRPr="00E421F4">
        <w:rPr>
          <w:rFonts w:ascii="Garamond" w:hAnsi="Garamond"/>
        </w:rPr>
        <w:t xml:space="preserve"> </w:t>
      </w:r>
      <w:r w:rsidRPr="00E421F4">
        <w:rPr>
          <w:rFonts w:ascii="Garamond" w:hAnsi="Garamond"/>
          <w:i/>
        </w:rPr>
        <w:t>The state as cultural practice</w:t>
      </w:r>
      <w:r w:rsidRPr="00E421F4">
        <w:rPr>
          <w:rFonts w:ascii="Garamond" w:hAnsi="Garamond"/>
        </w:rPr>
        <w:t>: Oxford University Press.</w:t>
      </w:r>
    </w:p>
    <w:p w14:paraId="7CEDE3AB" w14:textId="77777777" w:rsidR="00BC5ACE" w:rsidRPr="00E421F4" w:rsidRDefault="00BC5ACE" w:rsidP="00BC5ACE">
      <w:pPr>
        <w:spacing w:line="360" w:lineRule="auto"/>
        <w:ind w:left="720" w:hanging="720"/>
        <w:rPr>
          <w:rFonts w:ascii="Garamond" w:hAnsi="Garamond"/>
        </w:rPr>
      </w:pPr>
      <w:proofErr w:type="spellStart"/>
      <w:proofErr w:type="gramStart"/>
      <w:r w:rsidRPr="00E421F4">
        <w:rPr>
          <w:rFonts w:ascii="Garamond" w:hAnsi="Garamond"/>
        </w:rPr>
        <w:t>Bevir</w:t>
      </w:r>
      <w:proofErr w:type="spellEnd"/>
      <w:r w:rsidRPr="00E421F4">
        <w:rPr>
          <w:rFonts w:ascii="Garamond" w:hAnsi="Garamond"/>
        </w:rPr>
        <w:t>, M., &amp; Rhodes, R. A. W. (2003).</w:t>
      </w:r>
      <w:proofErr w:type="gramEnd"/>
      <w:r w:rsidRPr="00E421F4">
        <w:rPr>
          <w:rFonts w:ascii="Garamond" w:hAnsi="Garamond"/>
        </w:rPr>
        <w:t xml:space="preserve"> </w:t>
      </w:r>
      <w:proofErr w:type="gramStart"/>
      <w:r w:rsidRPr="00E421F4">
        <w:rPr>
          <w:rFonts w:ascii="Garamond" w:hAnsi="Garamond"/>
          <w:i/>
        </w:rPr>
        <w:t>Interpreting British Governance</w:t>
      </w:r>
      <w:r w:rsidRPr="00E421F4">
        <w:rPr>
          <w:rFonts w:ascii="Garamond" w:hAnsi="Garamond"/>
        </w:rPr>
        <w:t>: Psychology Press.</w:t>
      </w:r>
      <w:proofErr w:type="gramEnd"/>
    </w:p>
    <w:p w14:paraId="5DCADF9E" w14:textId="77777777" w:rsidR="0085551D" w:rsidRPr="00E421F4" w:rsidRDefault="00BC5ACE" w:rsidP="0027650D">
      <w:pPr>
        <w:spacing w:line="360" w:lineRule="auto"/>
        <w:ind w:left="720" w:hanging="720"/>
        <w:rPr>
          <w:rFonts w:ascii="Garamond" w:hAnsi="Garamond"/>
        </w:rPr>
      </w:pPr>
      <w:proofErr w:type="spellStart"/>
      <w:r w:rsidRPr="00E421F4">
        <w:rPr>
          <w:rFonts w:ascii="Garamond" w:hAnsi="Garamond"/>
        </w:rPr>
        <w:t>Boin</w:t>
      </w:r>
      <w:proofErr w:type="spellEnd"/>
      <w:r w:rsidRPr="00E421F4">
        <w:rPr>
          <w:rFonts w:ascii="Garamond" w:hAnsi="Garamond"/>
        </w:rPr>
        <w:t xml:space="preserve">, A., </w:t>
      </w:r>
      <w:proofErr w:type="spellStart"/>
      <w:r w:rsidRPr="00E421F4">
        <w:rPr>
          <w:rFonts w:ascii="Garamond" w:hAnsi="Garamond"/>
        </w:rPr>
        <w:t>Kuipers</w:t>
      </w:r>
      <w:proofErr w:type="spellEnd"/>
      <w:r w:rsidRPr="00E421F4">
        <w:rPr>
          <w:rFonts w:ascii="Garamond" w:hAnsi="Garamond"/>
        </w:rPr>
        <w:t xml:space="preserve">, S., &amp; </w:t>
      </w:r>
      <w:proofErr w:type="spellStart"/>
      <w:r w:rsidRPr="00E421F4">
        <w:rPr>
          <w:rFonts w:ascii="Garamond" w:hAnsi="Garamond"/>
        </w:rPr>
        <w:t>Steenbergen</w:t>
      </w:r>
      <w:proofErr w:type="spellEnd"/>
      <w:r w:rsidRPr="00E421F4">
        <w:rPr>
          <w:rFonts w:ascii="Garamond" w:hAnsi="Garamond"/>
        </w:rPr>
        <w:t xml:space="preserve">, M. (2010). The life and death of public organizations: A question of institutional design? </w:t>
      </w:r>
      <w:r w:rsidRPr="00E421F4">
        <w:rPr>
          <w:rFonts w:ascii="Garamond" w:hAnsi="Garamond"/>
          <w:i/>
        </w:rPr>
        <w:t>Governance</w:t>
      </w:r>
      <w:r w:rsidRPr="00E421F4">
        <w:rPr>
          <w:rFonts w:ascii="Garamond" w:hAnsi="Garamond"/>
        </w:rPr>
        <w:t>, 23(3), 385-410.</w:t>
      </w:r>
    </w:p>
    <w:p w14:paraId="57B00E22" w14:textId="618EA087" w:rsidR="0085551D" w:rsidRPr="00E421F4" w:rsidRDefault="0085551D" w:rsidP="0027650D">
      <w:pPr>
        <w:spacing w:line="360" w:lineRule="auto"/>
        <w:ind w:left="720" w:hanging="720"/>
        <w:rPr>
          <w:rFonts w:ascii="Garamond" w:hAnsi="Garamond"/>
        </w:rPr>
      </w:pPr>
      <w:proofErr w:type="gramStart"/>
      <w:r w:rsidRPr="00E421F4">
        <w:rPr>
          <w:rFonts w:ascii="Garamond" w:eastAsia="Times New Roman" w:hAnsi="Garamond" w:cs="Arial"/>
          <w:shd w:val="clear" w:color="auto" w:fill="FFFFFF"/>
        </w:rPr>
        <w:t xml:space="preserve">Boon, J., &amp; </w:t>
      </w:r>
      <w:proofErr w:type="spellStart"/>
      <w:r w:rsidRPr="00E421F4">
        <w:rPr>
          <w:rFonts w:ascii="Garamond" w:eastAsia="Times New Roman" w:hAnsi="Garamond" w:cs="Arial"/>
          <w:shd w:val="clear" w:color="auto" w:fill="FFFFFF"/>
        </w:rPr>
        <w:t>Verhoest</w:t>
      </w:r>
      <w:proofErr w:type="spellEnd"/>
      <w:r w:rsidRPr="00E421F4">
        <w:rPr>
          <w:rFonts w:ascii="Garamond" w:eastAsia="Times New Roman" w:hAnsi="Garamond" w:cs="Arial"/>
          <w:shd w:val="clear" w:color="auto" w:fill="FFFFFF"/>
        </w:rPr>
        <w:t>, K. (2014).</w:t>
      </w:r>
      <w:proofErr w:type="gramEnd"/>
      <w:r w:rsidRPr="00E421F4">
        <w:rPr>
          <w:rFonts w:ascii="Garamond" w:eastAsia="Times New Roman" w:hAnsi="Garamond" w:cs="Arial"/>
          <w:shd w:val="clear" w:color="auto" w:fill="FFFFFF"/>
        </w:rPr>
        <w:t xml:space="preserve"> On a Diet: Explaining Differences in Overhead among Public Agencies in the Era of Austerity. </w:t>
      </w:r>
      <w:r w:rsidRPr="00E421F4">
        <w:rPr>
          <w:rFonts w:ascii="Garamond" w:eastAsia="Times New Roman" w:hAnsi="Garamond" w:cs="Arial"/>
          <w:i/>
          <w:iCs/>
          <w:shd w:val="clear" w:color="auto" w:fill="FFFFFF"/>
        </w:rPr>
        <w:t>Public Performance &amp; Management Review</w:t>
      </w:r>
      <w:r w:rsidRPr="00E421F4">
        <w:rPr>
          <w:rFonts w:ascii="Garamond" w:eastAsia="Times New Roman" w:hAnsi="Garamond" w:cs="Arial"/>
          <w:shd w:val="clear" w:color="auto" w:fill="FFFFFF"/>
        </w:rPr>
        <w:t>, </w:t>
      </w:r>
      <w:r w:rsidRPr="00E421F4">
        <w:rPr>
          <w:rFonts w:ascii="Garamond" w:eastAsia="Times New Roman" w:hAnsi="Garamond" w:cs="Arial"/>
          <w:i/>
          <w:iCs/>
          <w:shd w:val="clear" w:color="auto" w:fill="FFFFFF"/>
        </w:rPr>
        <w:t>38</w:t>
      </w:r>
      <w:r w:rsidRPr="00E421F4">
        <w:rPr>
          <w:rFonts w:ascii="Garamond" w:eastAsia="Times New Roman" w:hAnsi="Garamond" w:cs="Arial"/>
          <w:shd w:val="clear" w:color="auto" w:fill="FFFFFF"/>
        </w:rPr>
        <w:t>(2), 234-260.</w:t>
      </w:r>
    </w:p>
    <w:p w14:paraId="52D5A430" w14:textId="5EDED07B" w:rsidR="0085551D" w:rsidRPr="00E421F4" w:rsidRDefault="0085551D" w:rsidP="0027650D">
      <w:pPr>
        <w:spacing w:line="360" w:lineRule="auto"/>
        <w:ind w:left="720" w:hanging="720"/>
        <w:rPr>
          <w:rFonts w:ascii="Garamond" w:eastAsia="Times New Roman" w:hAnsi="Garamond" w:cs="Arial"/>
          <w:shd w:val="clear" w:color="auto" w:fill="FFFFFF"/>
        </w:rPr>
      </w:pPr>
      <w:proofErr w:type="gramStart"/>
      <w:r w:rsidRPr="00E421F4">
        <w:rPr>
          <w:rFonts w:ascii="Garamond" w:eastAsia="Times New Roman" w:hAnsi="Garamond" w:cs="Arial"/>
          <w:shd w:val="clear" w:color="auto" w:fill="FFFFFF"/>
        </w:rPr>
        <w:t>Carpenter, D. P. (2001).</w:t>
      </w:r>
      <w:proofErr w:type="gramEnd"/>
      <w:r w:rsidRPr="00E421F4">
        <w:rPr>
          <w:rFonts w:ascii="Garamond" w:eastAsia="Times New Roman" w:hAnsi="Garamond" w:cs="Arial"/>
          <w:shd w:val="clear" w:color="auto" w:fill="FFFFFF"/>
        </w:rPr>
        <w:t> </w:t>
      </w:r>
      <w:r w:rsidRPr="00E421F4">
        <w:rPr>
          <w:rFonts w:ascii="Garamond" w:eastAsia="Times New Roman" w:hAnsi="Garamond" w:cs="Arial"/>
          <w:i/>
          <w:iCs/>
          <w:shd w:val="clear" w:color="auto" w:fill="FFFFFF"/>
        </w:rPr>
        <w:t>The forging of bureaucratic autonomy: Reputations, networks, and policy innovation in executive agencies, 1862-1928</w:t>
      </w:r>
      <w:r w:rsidRPr="00E421F4">
        <w:rPr>
          <w:rFonts w:ascii="Garamond" w:eastAsia="Times New Roman" w:hAnsi="Garamond" w:cs="Arial"/>
          <w:shd w:val="clear" w:color="auto" w:fill="FFFFFF"/>
        </w:rPr>
        <w:t>. Princeton: Princeton University Press.</w:t>
      </w:r>
    </w:p>
    <w:p w14:paraId="464D921C" w14:textId="5C311F0B" w:rsidR="0085551D" w:rsidRPr="00E421F4" w:rsidRDefault="0085551D" w:rsidP="00BC5ACE">
      <w:pPr>
        <w:spacing w:line="360" w:lineRule="auto"/>
        <w:ind w:left="720" w:hanging="720"/>
        <w:rPr>
          <w:rFonts w:ascii="Garamond" w:eastAsia="Times New Roman" w:hAnsi="Garamond" w:cs="Arial"/>
          <w:shd w:val="clear" w:color="auto" w:fill="FFFFFF"/>
        </w:rPr>
      </w:pPr>
      <w:proofErr w:type="gramStart"/>
      <w:r w:rsidRPr="00E421F4">
        <w:rPr>
          <w:rFonts w:ascii="Garamond" w:eastAsia="Times New Roman" w:hAnsi="Garamond" w:cs="Arial"/>
          <w:shd w:val="clear" w:color="auto" w:fill="FFFFFF"/>
        </w:rPr>
        <w:t>Carpenter, D. (2014).</w:t>
      </w:r>
      <w:proofErr w:type="gramEnd"/>
      <w:r w:rsidRPr="00E421F4">
        <w:rPr>
          <w:rFonts w:ascii="Garamond" w:eastAsia="Times New Roman" w:hAnsi="Garamond" w:cs="Arial"/>
          <w:shd w:val="clear" w:color="auto" w:fill="FFFFFF"/>
        </w:rPr>
        <w:t> </w:t>
      </w:r>
      <w:r w:rsidRPr="00E421F4">
        <w:rPr>
          <w:rFonts w:ascii="Garamond" w:eastAsia="Times New Roman" w:hAnsi="Garamond" w:cs="Arial"/>
          <w:i/>
          <w:iCs/>
          <w:shd w:val="clear" w:color="auto" w:fill="FFFFFF"/>
        </w:rPr>
        <w:t>Reputation and power: organizational image and pharmaceutical regulation at the FDA</w:t>
      </w:r>
      <w:r w:rsidRPr="00E421F4">
        <w:rPr>
          <w:rFonts w:ascii="Garamond" w:eastAsia="Times New Roman" w:hAnsi="Garamond" w:cs="Arial"/>
          <w:shd w:val="clear" w:color="auto" w:fill="FFFFFF"/>
        </w:rPr>
        <w:t>. Princeton: Princeton University Press.</w:t>
      </w:r>
    </w:p>
    <w:p w14:paraId="4F491020" w14:textId="77777777" w:rsidR="00C80075" w:rsidRPr="00E421F4" w:rsidRDefault="00BC5ACE" w:rsidP="00F80DB6">
      <w:pPr>
        <w:spacing w:line="360" w:lineRule="auto"/>
        <w:ind w:left="720" w:hanging="720"/>
        <w:rPr>
          <w:rFonts w:ascii="Garamond" w:hAnsi="Garamond"/>
        </w:rPr>
      </w:pPr>
      <w:proofErr w:type="gramStart"/>
      <w:r w:rsidRPr="00E421F4">
        <w:rPr>
          <w:rFonts w:ascii="Garamond" w:hAnsi="Garamond"/>
        </w:rPr>
        <w:t>Carpenter, D. P., &amp; Lewis, D. E. (2004).</w:t>
      </w:r>
      <w:proofErr w:type="gramEnd"/>
      <w:r w:rsidRPr="00E421F4">
        <w:rPr>
          <w:rFonts w:ascii="Garamond" w:hAnsi="Garamond"/>
        </w:rPr>
        <w:t xml:space="preserve"> Political learning from rare events: Poisson inference, fiscal constraints, and the lifetime of bureaus. </w:t>
      </w:r>
      <w:r w:rsidRPr="00E421F4">
        <w:rPr>
          <w:rFonts w:ascii="Garamond" w:hAnsi="Garamond"/>
          <w:i/>
        </w:rPr>
        <w:t>Political Analysis</w:t>
      </w:r>
      <w:r w:rsidRPr="00E421F4">
        <w:rPr>
          <w:rFonts w:ascii="Garamond" w:hAnsi="Garamond"/>
        </w:rPr>
        <w:t xml:space="preserve">, 12(3), 201-232. </w:t>
      </w:r>
    </w:p>
    <w:p w14:paraId="0A65BE5A" w14:textId="31CB558A" w:rsidR="00C80075" w:rsidRPr="00E421F4" w:rsidRDefault="00C80075" w:rsidP="00BC5ACE">
      <w:pPr>
        <w:spacing w:line="360" w:lineRule="auto"/>
        <w:ind w:left="720" w:hanging="720"/>
        <w:rPr>
          <w:rFonts w:ascii="Garamond" w:eastAsia="Times New Roman" w:hAnsi="Garamond" w:cs="Arial"/>
          <w:shd w:val="clear" w:color="auto" w:fill="FFFFFF"/>
        </w:rPr>
      </w:pPr>
      <w:proofErr w:type="gramStart"/>
      <w:r w:rsidRPr="00E421F4">
        <w:rPr>
          <w:rFonts w:ascii="Garamond" w:eastAsia="Times New Roman" w:hAnsi="Garamond" w:cs="Arial"/>
          <w:shd w:val="clear" w:color="auto" w:fill="FFFFFF"/>
        </w:rPr>
        <w:t xml:space="preserve">Christensen, T., &amp; </w:t>
      </w:r>
      <w:proofErr w:type="spellStart"/>
      <w:r w:rsidRPr="00E421F4">
        <w:rPr>
          <w:rFonts w:ascii="Garamond" w:eastAsia="Times New Roman" w:hAnsi="Garamond" w:cs="Arial"/>
          <w:shd w:val="clear" w:color="auto" w:fill="FFFFFF"/>
        </w:rPr>
        <w:t>Lægreid</w:t>
      </w:r>
      <w:proofErr w:type="spellEnd"/>
      <w:r w:rsidRPr="00E421F4">
        <w:rPr>
          <w:rFonts w:ascii="Garamond" w:eastAsia="Times New Roman" w:hAnsi="Garamond" w:cs="Arial"/>
          <w:shd w:val="clear" w:color="auto" w:fill="FFFFFF"/>
        </w:rPr>
        <w:t>, P. (2011).</w:t>
      </w:r>
      <w:proofErr w:type="gramEnd"/>
      <w:r w:rsidRPr="00E421F4">
        <w:rPr>
          <w:rFonts w:ascii="Garamond" w:eastAsia="Times New Roman" w:hAnsi="Garamond" w:cs="Arial"/>
          <w:shd w:val="clear" w:color="auto" w:fill="FFFFFF"/>
        </w:rPr>
        <w:t xml:space="preserve"> </w:t>
      </w:r>
      <w:proofErr w:type="gramStart"/>
      <w:r w:rsidRPr="00E421F4">
        <w:rPr>
          <w:rFonts w:ascii="Garamond" w:eastAsia="Times New Roman" w:hAnsi="Garamond" w:cs="Arial"/>
          <w:shd w:val="clear" w:color="auto" w:fill="FFFFFF"/>
        </w:rPr>
        <w:t>Complexity and hybrid public administration—theoretical and empirical challenges.</w:t>
      </w:r>
      <w:proofErr w:type="gramEnd"/>
      <w:r w:rsidRPr="00E421F4">
        <w:rPr>
          <w:rFonts w:ascii="Garamond" w:eastAsia="Times New Roman" w:hAnsi="Garamond" w:cs="Arial"/>
          <w:shd w:val="clear" w:color="auto" w:fill="FFFFFF"/>
        </w:rPr>
        <w:t> </w:t>
      </w:r>
      <w:r w:rsidRPr="00E421F4">
        <w:rPr>
          <w:rFonts w:ascii="Garamond" w:eastAsia="Times New Roman" w:hAnsi="Garamond" w:cs="Arial"/>
          <w:i/>
          <w:iCs/>
          <w:shd w:val="clear" w:color="auto" w:fill="FFFFFF"/>
        </w:rPr>
        <w:t>Public Organization Review</w:t>
      </w:r>
      <w:r w:rsidRPr="00E421F4">
        <w:rPr>
          <w:rFonts w:ascii="Garamond" w:eastAsia="Times New Roman" w:hAnsi="Garamond" w:cs="Arial"/>
          <w:shd w:val="clear" w:color="auto" w:fill="FFFFFF"/>
        </w:rPr>
        <w:t>, </w:t>
      </w:r>
      <w:r w:rsidRPr="00E421F4">
        <w:rPr>
          <w:rFonts w:ascii="Garamond" w:eastAsia="Times New Roman" w:hAnsi="Garamond" w:cs="Arial"/>
          <w:iCs/>
          <w:shd w:val="clear" w:color="auto" w:fill="FFFFFF"/>
        </w:rPr>
        <w:t>11</w:t>
      </w:r>
      <w:r w:rsidRPr="00E421F4">
        <w:rPr>
          <w:rFonts w:ascii="Garamond" w:eastAsia="Times New Roman" w:hAnsi="Garamond" w:cs="Arial"/>
          <w:shd w:val="clear" w:color="auto" w:fill="FFFFFF"/>
        </w:rPr>
        <w:t>(4), 407-423.</w:t>
      </w:r>
    </w:p>
    <w:p w14:paraId="01A0D6D8" w14:textId="43A43DE6" w:rsidR="00E421F4" w:rsidRPr="00E421F4" w:rsidRDefault="00E421F4" w:rsidP="00BC5ACE">
      <w:pPr>
        <w:spacing w:line="360" w:lineRule="auto"/>
        <w:ind w:left="720" w:hanging="720"/>
        <w:rPr>
          <w:rFonts w:ascii="Garamond" w:eastAsia="Times New Roman" w:hAnsi="Garamond" w:cs="Arial"/>
          <w:shd w:val="clear" w:color="auto" w:fill="FFFFFF"/>
        </w:rPr>
      </w:pPr>
      <w:r w:rsidRPr="00E421F4">
        <w:rPr>
          <w:rFonts w:ascii="Garamond" w:eastAsia="Times New Roman" w:hAnsi="Garamond" w:cs="Arial"/>
          <w:shd w:val="clear" w:color="auto" w:fill="FFFFFF"/>
        </w:rPr>
        <w:t>Corbett, J. (</w:t>
      </w:r>
      <w:r w:rsidR="00512AB2">
        <w:rPr>
          <w:rFonts w:ascii="Garamond" w:eastAsia="Times New Roman" w:hAnsi="Garamond" w:cs="Arial"/>
          <w:shd w:val="clear" w:color="auto" w:fill="FFFFFF"/>
        </w:rPr>
        <w:t>2017</w:t>
      </w:r>
      <w:bookmarkStart w:id="0" w:name="_GoBack"/>
      <w:bookmarkEnd w:id="0"/>
      <w:r w:rsidRPr="00E421F4">
        <w:rPr>
          <w:rFonts w:ascii="Garamond" w:eastAsia="Times New Roman" w:hAnsi="Garamond" w:cs="Arial"/>
          <w:shd w:val="clear" w:color="auto" w:fill="FFFFFF"/>
        </w:rPr>
        <w:t>). Australia’s Foreign Aid Dilemma: Humanitarian Aspirations Confront Democratic Legitimacy. London: Routledge.</w:t>
      </w:r>
    </w:p>
    <w:p w14:paraId="77BEE0F9" w14:textId="66B54F5A" w:rsidR="00E421F4" w:rsidRPr="00E421F4" w:rsidRDefault="00E421F4" w:rsidP="00E421F4">
      <w:pPr>
        <w:spacing w:line="360" w:lineRule="auto"/>
        <w:ind w:left="720" w:hanging="720"/>
        <w:rPr>
          <w:rFonts w:ascii="Garamond" w:eastAsia="Times New Roman" w:hAnsi="Garamond" w:cs="Arial"/>
          <w:shd w:val="clear" w:color="auto" w:fill="FFFFFF"/>
        </w:rPr>
      </w:pPr>
      <w:proofErr w:type="gramStart"/>
      <w:r w:rsidRPr="00E421F4">
        <w:rPr>
          <w:rFonts w:ascii="Garamond" w:eastAsia="Times New Roman" w:hAnsi="Garamond" w:cs="Arial"/>
          <w:shd w:val="clear" w:color="auto" w:fill="FFFFFF"/>
        </w:rPr>
        <w:lastRenderedPageBreak/>
        <w:t xml:space="preserve">Corbett, Jack, and Sinclair </w:t>
      </w:r>
      <w:proofErr w:type="spellStart"/>
      <w:r w:rsidRPr="00E421F4">
        <w:rPr>
          <w:rFonts w:ascii="Garamond" w:eastAsia="Times New Roman" w:hAnsi="Garamond" w:cs="Arial"/>
          <w:shd w:val="clear" w:color="auto" w:fill="FFFFFF"/>
        </w:rPr>
        <w:t>Dinnen</w:t>
      </w:r>
      <w:proofErr w:type="spellEnd"/>
      <w:r w:rsidRPr="00E421F4">
        <w:rPr>
          <w:rFonts w:ascii="Garamond" w:eastAsia="Times New Roman" w:hAnsi="Garamond" w:cs="Arial"/>
          <w:shd w:val="clear" w:color="auto" w:fill="FFFFFF"/>
        </w:rPr>
        <w:t>.</w:t>
      </w:r>
      <w:proofErr w:type="gramEnd"/>
      <w:r w:rsidRPr="00E421F4">
        <w:rPr>
          <w:rFonts w:ascii="Garamond" w:eastAsia="Times New Roman" w:hAnsi="Garamond" w:cs="Arial"/>
          <w:shd w:val="clear" w:color="auto" w:fill="FFFFFF"/>
        </w:rPr>
        <w:t xml:space="preserve"> (2016) "Examining recent shifts in Australia's foreign aid policy: new paradigm or more incremental change</w:t>
      </w:r>
      <w:proofErr w:type="gramStart"/>
      <w:r w:rsidRPr="00E421F4">
        <w:rPr>
          <w:rFonts w:ascii="Garamond" w:eastAsia="Times New Roman" w:hAnsi="Garamond" w:cs="Arial"/>
          <w:shd w:val="clear" w:color="auto" w:fill="FFFFFF"/>
        </w:rPr>
        <w:t>?.</w:t>
      </w:r>
      <w:proofErr w:type="gramEnd"/>
      <w:r w:rsidRPr="00E421F4">
        <w:rPr>
          <w:rFonts w:ascii="Garamond" w:eastAsia="Times New Roman" w:hAnsi="Garamond" w:cs="Arial"/>
          <w:shd w:val="clear" w:color="auto" w:fill="FFFFFF"/>
        </w:rPr>
        <w:t>" </w:t>
      </w:r>
      <w:r w:rsidRPr="00E421F4">
        <w:rPr>
          <w:rFonts w:ascii="Garamond" w:eastAsia="Times New Roman" w:hAnsi="Garamond" w:cs="Arial"/>
          <w:i/>
          <w:shd w:val="clear" w:color="auto" w:fill="FFFFFF"/>
        </w:rPr>
        <w:t>Australian Journal of International Affairs </w:t>
      </w:r>
      <w:r w:rsidRPr="00E421F4">
        <w:rPr>
          <w:rFonts w:ascii="Garamond" w:eastAsia="Times New Roman" w:hAnsi="Garamond" w:cs="Arial"/>
          <w:shd w:val="clear" w:color="auto" w:fill="FFFFFF"/>
        </w:rPr>
        <w:t>70(1), 87-103</w:t>
      </w:r>
    </w:p>
    <w:p w14:paraId="6AEE1249" w14:textId="77777777" w:rsidR="00BC5ACE" w:rsidRPr="00E421F4" w:rsidRDefault="00BC5ACE" w:rsidP="00BC5ACE">
      <w:pPr>
        <w:spacing w:line="360" w:lineRule="auto"/>
        <w:ind w:left="720" w:hanging="720"/>
        <w:rPr>
          <w:rFonts w:ascii="Garamond" w:hAnsi="Garamond"/>
        </w:rPr>
      </w:pPr>
      <w:proofErr w:type="spellStart"/>
      <w:proofErr w:type="gramStart"/>
      <w:r w:rsidRPr="00E421F4">
        <w:rPr>
          <w:rFonts w:ascii="Garamond" w:hAnsi="Garamond"/>
        </w:rPr>
        <w:t>Corder</w:t>
      </w:r>
      <w:proofErr w:type="spellEnd"/>
      <w:r w:rsidRPr="00E421F4">
        <w:rPr>
          <w:rFonts w:ascii="Garamond" w:hAnsi="Garamond"/>
        </w:rPr>
        <w:t>, J. K. (2004).</w:t>
      </w:r>
      <w:proofErr w:type="gramEnd"/>
      <w:r w:rsidRPr="00E421F4">
        <w:rPr>
          <w:rFonts w:ascii="Garamond" w:hAnsi="Garamond"/>
        </w:rPr>
        <w:t xml:space="preserve"> Are federal programs immortal? </w:t>
      </w:r>
      <w:proofErr w:type="gramStart"/>
      <w:r w:rsidRPr="00E421F4">
        <w:rPr>
          <w:rFonts w:ascii="Garamond" w:hAnsi="Garamond"/>
        </w:rPr>
        <w:t>Estimating the hazard of program termination.</w:t>
      </w:r>
      <w:proofErr w:type="gramEnd"/>
      <w:r w:rsidRPr="00E421F4">
        <w:rPr>
          <w:rFonts w:ascii="Garamond" w:hAnsi="Garamond"/>
        </w:rPr>
        <w:t xml:space="preserve"> </w:t>
      </w:r>
      <w:r w:rsidRPr="00E421F4">
        <w:rPr>
          <w:rFonts w:ascii="Garamond" w:hAnsi="Garamond"/>
          <w:i/>
        </w:rPr>
        <w:t>American Politics Research</w:t>
      </w:r>
      <w:r w:rsidRPr="00E421F4">
        <w:rPr>
          <w:rFonts w:ascii="Garamond" w:hAnsi="Garamond"/>
        </w:rPr>
        <w:t>, 32(1), 3-25.</w:t>
      </w:r>
    </w:p>
    <w:p w14:paraId="4A40734E" w14:textId="07352ECA" w:rsidR="00BC5ACE" w:rsidRPr="00E421F4" w:rsidRDefault="00BC5ACE" w:rsidP="00BC5ACE">
      <w:pPr>
        <w:spacing w:line="360" w:lineRule="auto"/>
        <w:ind w:left="720" w:hanging="720"/>
        <w:rPr>
          <w:rFonts w:ascii="Garamond" w:hAnsi="Garamond"/>
        </w:rPr>
      </w:pPr>
      <w:r w:rsidRPr="00E421F4">
        <w:rPr>
          <w:rFonts w:ascii="Garamond" w:hAnsi="Garamond"/>
        </w:rPr>
        <w:t xml:space="preserve">Davis, Thomas WD. </w:t>
      </w:r>
      <w:r w:rsidR="00802521" w:rsidRPr="00E421F4">
        <w:rPr>
          <w:rFonts w:ascii="Garamond" w:hAnsi="Garamond"/>
        </w:rPr>
        <w:t xml:space="preserve">(2011) </w:t>
      </w:r>
      <w:r w:rsidRPr="00E421F4">
        <w:rPr>
          <w:rFonts w:ascii="Garamond" w:hAnsi="Garamond"/>
        </w:rPr>
        <w:t xml:space="preserve">"Foreign Aid in Australia's Relationship with the South: Institutional Narratives." </w:t>
      </w:r>
      <w:r w:rsidRPr="00E421F4">
        <w:rPr>
          <w:rFonts w:ascii="Garamond" w:hAnsi="Garamond"/>
          <w:i/>
        </w:rPr>
        <w:t>The Round Table</w:t>
      </w:r>
      <w:r w:rsidR="00802521" w:rsidRPr="00E421F4">
        <w:rPr>
          <w:rFonts w:ascii="Garamond" w:hAnsi="Garamond"/>
        </w:rPr>
        <w:t xml:space="preserve"> 100(415</w:t>
      </w:r>
      <w:r w:rsidRPr="00E421F4">
        <w:rPr>
          <w:rFonts w:ascii="Garamond" w:hAnsi="Garamond"/>
        </w:rPr>
        <w:t>): 389-406.</w:t>
      </w:r>
    </w:p>
    <w:p w14:paraId="259449AF" w14:textId="77777777" w:rsidR="00BC5ACE" w:rsidRPr="00E421F4" w:rsidRDefault="00BC5ACE" w:rsidP="00BC5ACE">
      <w:pPr>
        <w:spacing w:line="360" w:lineRule="auto"/>
        <w:ind w:left="720" w:hanging="720"/>
        <w:rPr>
          <w:rFonts w:ascii="Garamond" w:hAnsi="Garamond"/>
        </w:rPr>
      </w:pPr>
      <w:proofErr w:type="spellStart"/>
      <w:proofErr w:type="gramStart"/>
      <w:r w:rsidRPr="00E421F4">
        <w:rPr>
          <w:rFonts w:ascii="Garamond" w:hAnsi="Garamond"/>
        </w:rPr>
        <w:t>Dommett</w:t>
      </w:r>
      <w:proofErr w:type="spellEnd"/>
      <w:r w:rsidRPr="00E421F4">
        <w:rPr>
          <w:rFonts w:ascii="Garamond" w:hAnsi="Garamond"/>
        </w:rPr>
        <w:t xml:space="preserve">, K., &amp; </w:t>
      </w:r>
      <w:proofErr w:type="spellStart"/>
      <w:r w:rsidRPr="00E421F4">
        <w:rPr>
          <w:rFonts w:ascii="Garamond" w:hAnsi="Garamond"/>
        </w:rPr>
        <w:t>Skelcher</w:t>
      </w:r>
      <w:proofErr w:type="spellEnd"/>
      <w:r w:rsidRPr="00E421F4">
        <w:rPr>
          <w:rFonts w:ascii="Garamond" w:hAnsi="Garamond"/>
        </w:rPr>
        <w:t>, C. (2014).</w:t>
      </w:r>
      <w:proofErr w:type="gramEnd"/>
      <w:r w:rsidRPr="00E421F4">
        <w:rPr>
          <w:rFonts w:ascii="Garamond" w:hAnsi="Garamond"/>
        </w:rPr>
        <w:t xml:space="preserve"> </w:t>
      </w:r>
      <w:proofErr w:type="gramStart"/>
      <w:r w:rsidRPr="00E421F4">
        <w:rPr>
          <w:rFonts w:ascii="Garamond" w:hAnsi="Garamond"/>
        </w:rPr>
        <w:t>Opening the Black Box of Administrative Reform: A Strategic-Relational Analysis of Agency Responses to Termination Threats.</w:t>
      </w:r>
      <w:proofErr w:type="gramEnd"/>
      <w:r w:rsidRPr="00E421F4">
        <w:rPr>
          <w:rFonts w:ascii="Garamond" w:hAnsi="Garamond"/>
        </w:rPr>
        <w:t xml:space="preserve"> </w:t>
      </w:r>
      <w:r w:rsidRPr="00E421F4">
        <w:rPr>
          <w:rFonts w:ascii="Garamond" w:hAnsi="Garamond"/>
          <w:i/>
        </w:rPr>
        <w:t>International Public Management Journal</w:t>
      </w:r>
      <w:r w:rsidRPr="00E421F4">
        <w:rPr>
          <w:rFonts w:ascii="Garamond" w:hAnsi="Garamond"/>
        </w:rPr>
        <w:t xml:space="preserve">, 17(4), 540-563. </w:t>
      </w:r>
    </w:p>
    <w:p w14:paraId="44DB89F4" w14:textId="77777777" w:rsidR="00BC5ACE" w:rsidRPr="00E421F4" w:rsidRDefault="00BC5ACE" w:rsidP="00BC5ACE">
      <w:pPr>
        <w:spacing w:line="360" w:lineRule="auto"/>
        <w:ind w:left="720" w:hanging="720"/>
        <w:rPr>
          <w:rFonts w:ascii="Garamond" w:hAnsi="Garamond"/>
        </w:rPr>
      </w:pPr>
      <w:r w:rsidRPr="00E421F4">
        <w:rPr>
          <w:rFonts w:ascii="Garamond" w:hAnsi="Garamond"/>
        </w:rPr>
        <w:t xml:space="preserve">Downs, A. (1967). </w:t>
      </w:r>
      <w:proofErr w:type="gramStart"/>
      <w:r w:rsidRPr="00E421F4">
        <w:rPr>
          <w:rFonts w:ascii="Garamond" w:hAnsi="Garamond"/>
          <w:i/>
        </w:rPr>
        <w:t>Inside Bureaucracy</w:t>
      </w:r>
      <w:r w:rsidRPr="00E421F4">
        <w:rPr>
          <w:rFonts w:ascii="Garamond" w:hAnsi="Garamond"/>
        </w:rPr>
        <w:t>.</w:t>
      </w:r>
      <w:proofErr w:type="gramEnd"/>
      <w:r w:rsidRPr="00E421F4">
        <w:rPr>
          <w:rFonts w:ascii="Garamond" w:hAnsi="Garamond"/>
        </w:rPr>
        <w:t xml:space="preserve"> </w:t>
      </w:r>
      <w:proofErr w:type="gramStart"/>
      <w:r w:rsidRPr="00E421F4">
        <w:rPr>
          <w:rFonts w:ascii="Garamond" w:hAnsi="Garamond"/>
        </w:rPr>
        <w:t>Little.</w:t>
      </w:r>
      <w:proofErr w:type="gramEnd"/>
      <w:r w:rsidRPr="00E421F4">
        <w:rPr>
          <w:rFonts w:ascii="Garamond" w:hAnsi="Garamond"/>
        </w:rPr>
        <w:t xml:space="preserve"> Boston: Brown and Company.</w:t>
      </w:r>
    </w:p>
    <w:p w14:paraId="35482524" w14:textId="77777777" w:rsidR="00BC5ACE" w:rsidRPr="00E421F4" w:rsidRDefault="00BC5ACE" w:rsidP="00BC5ACE">
      <w:pPr>
        <w:spacing w:line="360" w:lineRule="auto"/>
        <w:ind w:left="720" w:hanging="720"/>
        <w:rPr>
          <w:rFonts w:ascii="Garamond" w:hAnsi="Garamond"/>
        </w:rPr>
      </w:pPr>
      <w:r w:rsidRPr="00E421F4">
        <w:rPr>
          <w:rFonts w:ascii="Garamond" w:hAnsi="Garamond"/>
        </w:rPr>
        <w:t xml:space="preserve">Dunleavy, P. (1985). Bureaucrats, budgets and the growth of the state: reconstructing an instrumental model. </w:t>
      </w:r>
      <w:r w:rsidRPr="00E421F4">
        <w:rPr>
          <w:rFonts w:ascii="Garamond" w:hAnsi="Garamond"/>
          <w:i/>
        </w:rPr>
        <w:t>British Journal of Political Science</w:t>
      </w:r>
      <w:r w:rsidRPr="00E421F4">
        <w:rPr>
          <w:rFonts w:ascii="Garamond" w:hAnsi="Garamond"/>
        </w:rPr>
        <w:t xml:space="preserve">, 15(03), 299-328. </w:t>
      </w:r>
    </w:p>
    <w:p w14:paraId="2BC5A534" w14:textId="77777777" w:rsidR="00BC5ACE" w:rsidRPr="00E421F4" w:rsidRDefault="00BC5ACE" w:rsidP="00BC5ACE">
      <w:pPr>
        <w:spacing w:line="360" w:lineRule="auto"/>
        <w:ind w:left="720" w:hanging="720"/>
        <w:rPr>
          <w:rFonts w:ascii="Garamond" w:hAnsi="Garamond"/>
        </w:rPr>
      </w:pPr>
      <w:proofErr w:type="spellStart"/>
      <w:proofErr w:type="gramStart"/>
      <w:r w:rsidRPr="00E421F4">
        <w:rPr>
          <w:rFonts w:ascii="Garamond" w:hAnsi="Garamond"/>
        </w:rPr>
        <w:t>Elston</w:t>
      </w:r>
      <w:proofErr w:type="spellEnd"/>
      <w:r w:rsidRPr="00E421F4">
        <w:rPr>
          <w:rFonts w:ascii="Garamond" w:hAnsi="Garamond"/>
        </w:rPr>
        <w:t>, T. (2014).</w:t>
      </w:r>
      <w:proofErr w:type="gramEnd"/>
      <w:r w:rsidRPr="00E421F4">
        <w:rPr>
          <w:rFonts w:ascii="Garamond" w:hAnsi="Garamond"/>
        </w:rPr>
        <w:t xml:space="preserve"> Not So "Arm's Length: Reinterpreting Agencies in UK Central Government. </w:t>
      </w:r>
      <w:r w:rsidRPr="00E421F4">
        <w:rPr>
          <w:rFonts w:ascii="Garamond" w:hAnsi="Garamond"/>
          <w:i/>
        </w:rPr>
        <w:t>Public Administration</w:t>
      </w:r>
      <w:r w:rsidRPr="00E421F4">
        <w:rPr>
          <w:rFonts w:ascii="Garamond" w:hAnsi="Garamond"/>
        </w:rPr>
        <w:t xml:space="preserve">, 92(2), 458-476. </w:t>
      </w:r>
    </w:p>
    <w:p w14:paraId="585F8E89" w14:textId="77777777" w:rsidR="00BC5ACE" w:rsidRPr="00E421F4" w:rsidRDefault="00BC5ACE" w:rsidP="00BC5ACE">
      <w:pPr>
        <w:spacing w:line="360" w:lineRule="auto"/>
        <w:ind w:left="720" w:hanging="720"/>
        <w:rPr>
          <w:rFonts w:ascii="Garamond" w:hAnsi="Garamond"/>
        </w:rPr>
      </w:pPr>
      <w:proofErr w:type="gramStart"/>
      <w:r w:rsidRPr="00E421F4">
        <w:rPr>
          <w:rFonts w:ascii="Garamond" w:hAnsi="Garamond"/>
        </w:rPr>
        <w:t xml:space="preserve">Flinders, M., </w:t>
      </w:r>
      <w:proofErr w:type="spellStart"/>
      <w:r w:rsidRPr="00E421F4">
        <w:rPr>
          <w:rFonts w:ascii="Garamond" w:hAnsi="Garamond"/>
        </w:rPr>
        <w:t>Dommett</w:t>
      </w:r>
      <w:proofErr w:type="spellEnd"/>
      <w:r w:rsidRPr="00E421F4">
        <w:rPr>
          <w:rFonts w:ascii="Garamond" w:hAnsi="Garamond"/>
        </w:rPr>
        <w:t xml:space="preserve">, K., &amp; </w:t>
      </w:r>
      <w:proofErr w:type="spellStart"/>
      <w:r w:rsidRPr="00E421F4">
        <w:rPr>
          <w:rFonts w:ascii="Garamond" w:hAnsi="Garamond"/>
        </w:rPr>
        <w:t>Tonkiss</w:t>
      </w:r>
      <w:proofErr w:type="spellEnd"/>
      <w:r w:rsidRPr="00E421F4">
        <w:rPr>
          <w:rFonts w:ascii="Garamond" w:hAnsi="Garamond"/>
        </w:rPr>
        <w:t>, K. (2014).</w:t>
      </w:r>
      <w:proofErr w:type="gramEnd"/>
      <w:r w:rsidRPr="00E421F4">
        <w:rPr>
          <w:rFonts w:ascii="Garamond" w:hAnsi="Garamond"/>
        </w:rPr>
        <w:t xml:space="preserve"> Bonfires and Barbecues: Coalition Governance and the Politics of Quango Reform. </w:t>
      </w:r>
      <w:r w:rsidRPr="00E421F4">
        <w:rPr>
          <w:rFonts w:ascii="Garamond" w:hAnsi="Garamond"/>
          <w:i/>
        </w:rPr>
        <w:t>Contemporary British History</w:t>
      </w:r>
      <w:r w:rsidRPr="00E421F4">
        <w:rPr>
          <w:rFonts w:ascii="Garamond" w:hAnsi="Garamond"/>
        </w:rPr>
        <w:t xml:space="preserve">, 28(1), 56-80. </w:t>
      </w:r>
    </w:p>
    <w:p w14:paraId="64EC0505" w14:textId="77777777" w:rsidR="00BC5ACE" w:rsidRPr="00E421F4" w:rsidRDefault="00BC5ACE" w:rsidP="00BC5ACE">
      <w:pPr>
        <w:spacing w:line="360" w:lineRule="auto"/>
        <w:ind w:left="720" w:hanging="720"/>
        <w:rPr>
          <w:rFonts w:ascii="Garamond" w:hAnsi="Garamond"/>
        </w:rPr>
      </w:pPr>
      <w:proofErr w:type="gramStart"/>
      <w:r w:rsidRPr="00E421F4">
        <w:rPr>
          <w:rFonts w:ascii="Garamond" w:hAnsi="Garamond"/>
        </w:rPr>
        <w:t xml:space="preserve">Flinders, M., &amp; </w:t>
      </w:r>
      <w:proofErr w:type="spellStart"/>
      <w:r w:rsidRPr="00E421F4">
        <w:rPr>
          <w:rFonts w:ascii="Garamond" w:hAnsi="Garamond"/>
        </w:rPr>
        <w:t>Skelcher</w:t>
      </w:r>
      <w:proofErr w:type="spellEnd"/>
      <w:r w:rsidRPr="00E421F4">
        <w:rPr>
          <w:rFonts w:ascii="Garamond" w:hAnsi="Garamond"/>
        </w:rPr>
        <w:t>, C. (2012).</w:t>
      </w:r>
      <w:proofErr w:type="gramEnd"/>
      <w:r w:rsidRPr="00E421F4">
        <w:rPr>
          <w:rFonts w:ascii="Garamond" w:hAnsi="Garamond"/>
        </w:rPr>
        <w:t xml:space="preserve"> </w:t>
      </w:r>
      <w:proofErr w:type="gramStart"/>
      <w:r w:rsidRPr="00E421F4">
        <w:rPr>
          <w:rFonts w:ascii="Garamond" w:hAnsi="Garamond"/>
        </w:rPr>
        <w:t>Shrinking the quango state: five challenges in reforming quangos.</w:t>
      </w:r>
      <w:proofErr w:type="gramEnd"/>
      <w:r w:rsidRPr="00E421F4">
        <w:rPr>
          <w:rFonts w:ascii="Garamond" w:hAnsi="Garamond"/>
        </w:rPr>
        <w:t xml:space="preserve"> </w:t>
      </w:r>
      <w:r w:rsidRPr="00E421F4">
        <w:rPr>
          <w:rFonts w:ascii="Garamond" w:hAnsi="Garamond"/>
          <w:i/>
        </w:rPr>
        <w:t>Public Money &amp; Management</w:t>
      </w:r>
      <w:r w:rsidRPr="00E421F4">
        <w:rPr>
          <w:rFonts w:ascii="Garamond" w:hAnsi="Garamond"/>
        </w:rPr>
        <w:t xml:space="preserve">, 32(5), 327-334. </w:t>
      </w:r>
    </w:p>
    <w:p w14:paraId="70056955" w14:textId="2AA5E118" w:rsidR="004659BA" w:rsidRPr="00E421F4" w:rsidRDefault="004659BA" w:rsidP="004659BA">
      <w:pPr>
        <w:spacing w:line="360" w:lineRule="auto"/>
        <w:ind w:left="720" w:hanging="720"/>
        <w:rPr>
          <w:rFonts w:ascii="Garamond" w:hAnsi="Garamond"/>
        </w:rPr>
      </w:pPr>
      <w:proofErr w:type="spellStart"/>
      <w:r w:rsidRPr="00E421F4">
        <w:rPr>
          <w:rFonts w:ascii="Garamond" w:hAnsi="Garamond"/>
        </w:rPr>
        <w:t>Flyvbjerg</w:t>
      </w:r>
      <w:proofErr w:type="spellEnd"/>
      <w:r w:rsidRPr="00E421F4">
        <w:rPr>
          <w:rFonts w:ascii="Garamond" w:hAnsi="Garamond"/>
        </w:rPr>
        <w:t xml:space="preserve">, B. (2006). </w:t>
      </w:r>
      <w:proofErr w:type="gramStart"/>
      <w:r w:rsidRPr="00E421F4">
        <w:rPr>
          <w:rFonts w:ascii="Garamond" w:hAnsi="Garamond"/>
        </w:rPr>
        <w:t>"Five misunderstandings about case-study research."</w:t>
      </w:r>
      <w:proofErr w:type="gramEnd"/>
      <w:r w:rsidRPr="00E421F4">
        <w:rPr>
          <w:rFonts w:ascii="Garamond" w:hAnsi="Garamond"/>
        </w:rPr>
        <w:t xml:space="preserve"> </w:t>
      </w:r>
      <w:r w:rsidRPr="00E421F4">
        <w:rPr>
          <w:rFonts w:ascii="Garamond" w:hAnsi="Garamond"/>
          <w:i/>
        </w:rPr>
        <w:t>Qualitative Inquiry</w:t>
      </w:r>
      <w:r w:rsidRPr="00E421F4">
        <w:rPr>
          <w:rFonts w:ascii="Garamond" w:hAnsi="Garamond"/>
        </w:rPr>
        <w:t> 12(2): 219-245.</w:t>
      </w:r>
    </w:p>
    <w:p w14:paraId="4D897632" w14:textId="4F302EEE" w:rsidR="00BC5ACE" w:rsidRPr="00E421F4" w:rsidRDefault="00802521" w:rsidP="00BC5ACE">
      <w:pPr>
        <w:spacing w:line="360" w:lineRule="auto"/>
        <w:ind w:left="720" w:hanging="720"/>
        <w:rPr>
          <w:rFonts w:ascii="Garamond" w:hAnsi="Garamond"/>
        </w:rPr>
      </w:pPr>
      <w:proofErr w:type="gramStart"/>
      <w:r w:rsidRPr="00E421F4">
        <w:rPr>
          <w:rFonts w:ascii="Garamond" w:hAnsi="Garamond"/>
        </w:rPr>
        <w:t>Gyngell, A.</w:t>
      </w:r>
      <w:r w:rsidR="00BC5ACE" w:rsidRPr="00E421F4">
        <w:rPr>
          <w:rFonts w:ascii="Garamond" w:hAnsi="Garamond"/>
        </w:rPr>
        <w:t>, and M Wesley.</w:t>
      </w:r>
      <w:proofErr w:type="gramEnd"/>
      <w:r w:rsidRPr="00E421F4">
        <w:rPr>
          <w:rFonts w:ascii="Garamond" w:hAnsi="Garamond"/>
        </w:rPr>
        <w:t xml:space="preserve"> </w:t>
      </w:r>
      <w:proofErr w:type="gramStart"/>
      <w:r w:rsidRPr="00E421F4">
        <w:rPr>
          <w:rFonts w:ascii="Garamond" w:hAnsi="Garamond"/>
        </w:rPr>
        <w:t>(2007)</w:t>
      </w:r>
      <w:r w:rsidR="00BC5ACE" w:rsidRPr="00E421F4">
        <w:rPr>
          <w:rFonts w:ascii="Garamond" w:hAnsi="Garamond"/>
        </w:rPr>
        <w:t xml:space="preserve"> </w:t>
      </w:r>
      <w:r w:rsidR="00BC5ACE" w:rsidRPr="00E421F4">
        <w:rPr>
          <w:rFonts w:ascii="Garamond" w:hAnsi="Garamond"/>
          <w:i/>
        </w:rPr>
        <w:t>Making Australian foreign policy</w:t>
      </w:r>
      <w:r w:rsidR="00BC5ACE" w:rsidRPr="00E421F4">
        <w:rPr>
          <w:rFonts w:ascii="Garamond" w:hAnsi="Garamond"/>
        </w:rPr>
        <w:t>.</w:t>
      </w:r>
      <w:proofErr w:type="gramEnd"/>
      <w:r w:rsidR="00BC5ACE" w:rsidRPr="00E421F4">
        <w:rPr>
          <w:rFonts w:ascii="Garamond" w:hAnsi="Garamond"/>
        </w:rPr>
        <w:t xml:space="preserve"> </w:t>
      </w:r>
      <w:proofErr w:type="gramStart"/>
      <w:r w:rsidR="00BC5ACE" w:rsidRPr="00E421F4">
        <w:rPr>
          <w:rFonts w:ascii="Garamond" w:hAnsi="Garamond"/>
        </w:rPr>
        <w:t>Cambridge University Press.</w:t>
      </w:r>
      <w:proofErr w:type="gramEnd"/>
    </w:p>
    <w:p w14:paraId="53702D41" w14:textId="77777777" w:rsidR="009D375D" w:rsidRPr="009D375D" w:rsidRDefault="00BC5ACE" w:rsidP="00E220BA">
      <w:pPr>
        <w:spacing w:line="360" w:lineRule="auto"/>
        <w:ind w:left="720" w:hanging="720"/>
        <w:rPr>
          <w:rFonts w:ascii="Garamond" w:hAnsi="Garamond"/>
        </w:rPr>
      </w:pPr>
      <w:r w:rsidRPr="009D375D">
        <w:rPr>
          <w:rFonts w:ascii="Garamond" w:hAnsi="Garamond"/>
        </w:rPr>
        <w:t xml:space="preserve">Hood, C. (1991). </w:t>
      </w:r>
      <w:proofErr w:type="gramStart"/>
      <w:r w:rsidRPr="009D375D">
        <w:rPr>
          <w:rFonts w:ascii="Garamond" w:hAnsi="Garamond"/>
        </w:rPr>
        <w:t>A public management for all seasons.</w:t>
      </w:r>
      <w:proofErr w:type="gramEnd"/>
      <w:r w:rsidRPr="009D375D">
        <w:rPr>
          <w:rFonts w:ascii="Garamond" w:hAnsi="Garamond"/>
        </w:rPr>
        <w:t xml:space="preserve"> </w:t>
      </w:r>
      <w:r w:rsidRPr="009D375D">
        <w:rPr>
          <w:rFonts w:ascii="Garamond" w:hAnsi="Garamond"/>
          <w:i/>
        </w:rPr>
        <w:t>Public Administration</w:t>
      </w:r>
      <w:r w:rsidRPr="009D375D">
        <w:rPr>
          <w:rFonts w:ascii="Garamond" w:hAnsi="Garamond"/>
        </w:rPr>
        <w:t xml:space="preserve">, 69(1), 3-19. </w:t>
      </w:r>
    </w:p>
    <w:p w14:paraId="4E7392BA" w14:textId="6E71320D" w:rsidR="009D375D" w:rsidRPr="009D375D" w:rsidRDefault="009D375D" w:rsidP="00BC5ACE">
      <w:pPr>
        <w:spacing w:line="360" w:lineRule="auto"/>
        <w:ind w:left="720" w:hanging="720"/>
        <w:rPr>
          <w:rFonts w:ascii="Garamond" w:hAnsi="Garamond"/>
        </w:rPr>
      </w:pPr>
      <w:r w:rsidRPr="00E220BA">
        <w:rPr>
          <w:rFonts w:ascii="Garamond" w:eastAsia="Times New Roman" w:hAnsi="Garamond" w:cs="Arial"/>
          <w:color w:val="222222"/>
          <w:shd w:val="clear" w:color="auto" w:fill="FFFFFF"/>
        </w:rPr>
        <w:t xml:space="preserve">Howard, C. (2015). Rethinking Post-NPM Governance: The bureaucratic struggle to implement one-stop-shopping for government services in Alberta. </w:t>
      </w:r>
      <w:r w:rsidRPr="00E220BA">
        <w:rPr>
          <w:rFonts w:ascii="Garamond" w:eastAsia="Times New Roman" w:hAnsi="Garamond" w:cs="Arial"/>
          <w:i/>
          <w:iCs/>
          <w:color w:val="222222"/>
          <w:shd w:val="clear" w:color="auto" w:fill="FFFFFF"/>
        </w:rPr>
        <w:t>Public Organization Review</w:t>
      </w:r>
      <w:r w:rsidRPr="00E220BA">
        <w:rPr>
          <w:rFonts w:ascii="Garamond" w:eastAsia="Times New Roman" w:hAnsi="Garamond" w:cs="Arial"/>
          <w:color w:val="222222"/>
          <w:shd w:val="clear" w:color="auto" w:fill="FFFFFF"/>
        </w:rPr>
        <w:t>, </w:t>
      </w:r>
      <w:r w:rsidRPr="00E220BA">
        <w:rPr>
          <w:rFonts w:ascii="Garamond" w:eastAsia="Times New Roman" w:hAnsi="Garamond" w:cs="Arial"/>
          <w:iCs/>
          <w:color w:val="222222"/>
          <w:shd w:val="clear" w:color="auto" w:fill="FFFFFF"/>
        </w:rPr>
        <w:t>15</w:t>
      </w:r>
      <w:r w:rsidRPr="00E220BA">
        <w:rPr>
          <w:rFonts w:ascii="Garamond" w:eastAsia="Times New Roman" w:hAnsi="Garamond" w:cs="Arial"/>
          <w:color w:val="222222"/>
          <w:shd w:val="clear" w:color="auto" w:fill="FFFFFF"/>
        </w:rPr>
        <w:t>(2), 237-254.</w:t>
      </w:r>
    </w:p>
    <w:p w14:paraId="5C2B05F1" w14:textId="77777777" w:rsidR="00BC5ACE" w:rsidRPr="00E421F4" w:rsidRDefault="00BC5ACE" w:rsidP="00BC5ACE">
      <w:pPr>
        <w:spacing w:line="360" w:lineRule="auto"/>
        <w:ind w:left="720" w:hanging="720"/>
        <w:rPr>
          <w:rFonts w:ascii="Garamond" w:hAnsi="Garamond"/>
        </w:rPr>
      </w:pPr>
      <w:r w:rsidRPr="00E220BA">
        <w:rPr>
          <w:rFonts w:ascii="Garamond" w:hAnsi="Garamond"/>
        </w:rPr>
        <w:t>Kaufman, H. (</w:t>
      </w:r>
      <w:r w:rsidRPr="00E421F4">
        <w:rPr>
          <w:rFonts w:ascii="Garamond" w:hAnsi="Garamond"/>
        </w:rPr>
        <w:t xml:space="preserve">1976). </w:t>
      </w:r>
      <w:r w:rsidRPr="00E421F4">
        <w:rPr>
          <w:rFonts w:ascii="Garamond" w:hAnsi="Garamond"/>
          <w:i/>
        </w:rPr>
        <w:t>Are government organizations immortal?</w:t>
      </w:r>
      <w:r w:rsidRPr="00E421F4">
        <w:rPr>
          <w:rFonts w:ascii="Garamond" w:hAnsi="Garamond"/>
        </w:rPr>
        <w:t xml:space="preserve"> : Brookings Inst Pr.</w:t>
      </w:r>
    </w:p>
    <w:p w14:paraId="798FD01B" w14:textId="25D355E0" w:rsidR="00BC5ACE" w:rsidRPr="00E421F4" w:rsidRDefault="00BC5ACE" w:rsidP="00BC5ACE">
      <w:pPr>
        <w:spacing w:line="360" w:lineRule="auto"/>
        <w:ind w:left="720" w:hanging="720"/>
        <w:rPr>
          <w:rFonts w:ascii="Garamond" w:hAnsi="Garamond"/>
        </w:rPr>
      </w:pPr>
      <w:proofErr w:type="gramStart"/>
      <w:r w:rsidRPr="00E421F4">
        <w:rPr>
          <w:rFonts w:ascii="Garamond" w:hAnsi="Garamond"/>
        </w:rPr>
        <w:t xml:space="preserve">Levitt, Steven D., and James M. Snyder, Jr. </w:t>
      </w:r>
      <w:r w:rsidR="00802521" w:rsidRPr="00E421F4">
        <w:rPr>
          <w:rFonts w:ascii="Garamond" w:hAnsi="Garamond"/>
        </w:rPr>
        <w:t>(</w:t>
      </w:r>
      <w:r w:rsidRPr="00E421F4">
        <w:rPr>
          <w:rFonts w:ascii="Garamond" w:hAnsi="Garamond"/>
        </w:rPr>
        <w:t>1997</w:t>
      </w:r>
      <w:r w:rsidR="00802521" w:rsidRPr="00E421F4">
        <w:rPr>
          <w:rFonts w:ascii="Garamond" w:hAnsi="Garamond"/>
        </w:rPr>
        <w:t>)</w:t>
      </w:r>
      <w:r w:rsidRPr="00E421F4">
        <w:rPr>
          <w:rFonts w:ascii="Garamond" w:hAnsi="Garamond"/>
        </w:rPr>
        <w:t>.</w:t>
      </w:r>
      <w:proofErr w:type="gramEnd"/>
      <w:r w:rsidRPr="00E421F4">
        <w:rPr>
          <w:rFonts w:ascii="Garamond" w:hAnsi="Garamond"/>
        </w:rPr>
        <w:t xml:space="preserve"> </w:t>
      </w:r>
      <w:proofErr w:type="gramStart"/>
      <w:r w:rsidRPr="00E421F4">
        <w:rPr>
          <w:rFonts w:ascii="Garamond" w:hAnsi="Garamond"/>
        </w:rPr>
        <w:t>"The Impact of Federal Spending on House Election Outcomes."</w:t>
      </w:r>
      <w:proofErr w:type="gramEnd"/>
      <w:r w:rsidRPr="00E421F4">
        <w:rPr>
          <w:rFonts w:ascii="Garamond" w:hAnsi="Garamond"/>
        </w:rPr>
        <w:t xml:space="preserve"> </w:t>
      </w:r>
      <w:r w:rsidRPr="00E421F4">
        <w:rPr>
          <w:rFonts w:ascii="Garamond" w:hAnsi="Garamond"/>
          <w:i/>
        </w:rPr>
        <w:t>Journal of Political Economy</w:t>
      </w:r>
      <w:r w:rsidRPr="00E421F4">
        <w:rPr>
          <w:rFonts w:ascii="Garamond" w:hAnsi="Garamond"/>
        </w:rPr>
        <w:t xml:space="preserve"> 105(1): 30-53.</w:t>
      </w:r>
    </w:p>
    <w:p w14:paraId="1D2F88AF" w14:textId="77777777" w:rsidR="00BC5ACE" w:rsidRPr="00E421F4" w:rsidRDefault="00BC5ACE" w:rsidP="00BC5ACE">
      <w:pPr>
        <w:spacing w:line="360" w:lineRule="auto"/>
        <w:ind w:left="720" w:hanging="720"/>
        <w:rPr>
          <w:rFonts w:ascii="Garamond" w:hAnsi="Garamond"/>
        </w:rPr>
      </w:pPr>
      <w:proofErr w:type="gramStart"/>
      <w:r w:rsidRPr="00E421F4">
        <w:rPr>
          <w:rFonts w:ascii="Garamond" w:hAnsi="Garamond"/>
        </w:rPr>
        <w:t>Lewis, D. E. (2002).</w:t>
      </w:r>
      <w:proofErr w:type="gramEnd"/>
      <w:r w:rsidRPr="00E421F4">
        <w:rPr>
          <w:rFonts w:ascii="Garamond" w:hAnsi="Garamond"/>
        </w:rPr>
        <w:t xml:space="preserve"> The politics of agency termination: Confronting the myth of agency immortality. </w:t>
      </w:r>
      <w:r w:rsidRPr="00E421F4">
        <w:rPr>
          <w:rFonts w:ascii="Garamond" w:hAnsi="Garamond"/>
          <w:i/>
        </w:rPr>
        <w:t>The Journal of Politics</w:t>
      </w:r>
      <w:r w:rsidRPr="00E421F4">
        <w:rPr>
          <w:rFonts w:ascii="Garamond" w:hAnsi="Garamond"/>
        </w:rPr>
        <w:t xml:space="preserve">, 64(01), 89-107. </w:t>
      </w:r>
    </w:p>
    <w:p w14:paraId="32935D71" w14:textId="77777777" w:rsidR="00A0747F" w:rsidRPr="00E421F4" w:rsidRDefault="00BC5ACE" w:rsidP="00DB376C">
      <w:pPr>
        <w:spacing w:line="360" w:lineRule="auto"/>
        <w:ind w:left="720" w:hanging="720"/>
        <w:rPr>
          <w:rFonts w:ascii="Garamond" w:hAnsi="Garamond"/>
        </w:rPr>
      </w:pPr>
      <w:proofErr w:type="gramStart"/>
      <w:r w:rsidRPr="00E421F4">
        <w:rPr>
          <w:rFonts w:ascii="Garamond" w:hAnsi="Garamond"/>
        </w:rPr>
        <w:t>Lewis, D. E. (2004).</w:t>
      </w:r>
      <w:proofErr w:type="gramEnd"/>
      <w:r w:rsidRPr="00E421F4">
        <w:rPr>
          <w:rFonts w:ascii="Garamond" w:hAnsi="Garamond"/>
        </w:rPr>
        <w:t xml:space="preserve"> The adverse consequences of the politics of agency design for presidential management in the United States: The relative durability of insulated agencies. </w:t>
      </w:r>
      <w:r w:rsidRPr="00E421F4">
        <w:rPr>
          <w:rFonts w:ascii="Garamond" w:hAnsi="Garamond"/>
          <w:i/>
        </w:rPr>
        <w:t>British Journal of Political Science</w:t>
      </w:r>
      <w:r w:rsidRPr="00E421F4">
        <w:rPr>
          <w:rFonts w:ascii="Garamond" w:hAnsi="Garamond"/>
        </w:rPr>
        <w:t xml:space="preserve">, 34(03), 377-404. </w:t>
      </w:r>
    </w:p>
    <w:p w14:paraId="4DB8FE85" w14:textId="31F76336" w:rsidR="00A0747F" w:rsidRPr="00E421F4" w:rsidRDefault="00A0747F" w:rsidP="00BC5ACE">
      <w:pPr>
        <w:spacing w:line="360" w:lineRule="auto"/>
        <w:ind w:left="720" w:hanging="720"/>
        <w:rPr>
          <w:rFonts w:ascii="Garamond" w:hAnsi="Garamond"/>
        </w:rPr>
      </w:pPr>
      <w:proofErr w:type="gramStart"/>
      <w:r w:rsidRPr="00E421F4">
        <w:rPr>
          <w:rFonts w:ascii="Garamond" w:eastAsia="Times New Roman" w:hAnsi="Garamond" w:cs="Arial"/>
          <w:shd w:val="clear" w:color="auto" w:fill="FFFFFF"/>
        </w:rPr>
        <w:lastRenderedPageBreak/>
        <w:t>Lodge, M., &amp; Hood, C. (2012).</w:t>
      </w:r>
      <w:proofErr w:type="gramEnd"/>
      <w:r w:rsidRPr="00E421F4">
        <w:rPr>
          <w:rFonts w:ascii="Garamond" w:eastAsia="Times New Roman" w:hAnsi="Garamond" w:cs="Arial"/>
          <w:shd w:val="clear" w:color="auto" w:fill="FFFFFF"/>
        </w:rPr>
        <w:t xml:space="preserve"> </w:t>
      </w:r>
      <w:proofErr w:type="gramStart"/>
      <w:r w:rsidRPr="00E421F4">
        <w:rPr>
          <w:rFonts w:ascii="Garamond" w:eastAsia="Times New Roman" w:hAnsi="Garamond" w:cs="Arial"/>
          <w:shd w:val="clear" w:color="auto" w:fill="FFFFFF"/>
        </w:rPr>
        <w:t>Into an age of multiple austerities?</w:t>
      </w:r>
      <w:proofErr w:type="gramEnd"/>
      <w:r w:rsidRPr="00E421F4">
        <w:rPr>
          <w:rFonts w:ascii="Garamond" w:eastAsia="Times New Roman" w:hAnsi="Garamond" w:cs="Arial"/>
          <w:shd w:val="clear" w:color="auto" w:fill="FFFFFF"/>
        </w:rPr>
        <w:t xml:space="preserve"> </w:t>
      </w:r>
      <w:proofErr w:type="gramStart"/>
      <w:r w:rsidRPr="00E421F4">
        <w:rPr>
          <w:rFonts w:ascii="Garamond" w:eastAsia="Times New Roman" w:hAnsi="Garamond" w:cs="Arial"/>
          <w:shd w:val="clear" w:color="auto" w:fill="FFFFFF"/>
        </w:rPr>
        <w:t>Public management and public service bargains across OECD countries.</w:t>
      </w:r>
      <w:proofErr w:type="gramEnd"/>
      <w:r w:rsidR="00197291" w:rsidRPr="00E421F4">
        <w:rPr>
          <w:rFonts w:ascii="Garamond" w:eastAsia="Times New Roman" w:hAnsi="Garamond" w:cs="Arial"/>
          <w:shd w:val="clear" w:color="auto" w:fill="FFFFFF"/>
        </w:rPr>
        <w:t xml:space="preserve"> </w:t>
      </w:r>
      <w:r w:rsidRPr="00E421F4">
        <w:rPr>
          <w:rFonts w:ascii="Garamond" w:eastAsia="Times New Roman" w:hAnsi="Garamond" w:cs="Arial"/>
          <w:i/>
          <w:iCs/>
          <w:shd w:val="clear" w:color="auto" w:fill="FFFFFF"/>
        </w:rPr>
        <w:t>Governance</w:t>
      </w:r>
      <w:r w:rsidRPr="00E421F4">
        <w:rPr>
          <w:rFonts w:ascii="Garamond" w:eastAsia="Times New Roman" w:hAnsi="Garamond" w:cs="Arial"/>
          <w:shd w:val="clear" w:color="auto" w:fill="FFFFFF"/>
        </w:rPr>
        <w:t>, </w:t>
      </w:r>
      <w:r w:rsidRPr="00E421F4">
        <w:rPr>
          <w:rFonts w:ascii="Garamond" w:eastAsia="Times New Roman" w:hAnsi="Garamond" w:cs="Arial"/>
          <w:i/>
          <w:iCs/>
          <w:shd w:val="clear" w:color="auto" w:fill="FFFFFF"/>
        </w:rPr>
        <w:t>25</w:t>
      </w:r>
      <w:r w:rsidRPr="00E421F4">
        <w:rPr>
          <w:rFonts w:ascii="Garamond" w:eastAsia="Times New Roman" w:hAnsi="Garamond" w:cs="Arial"/>
          <w:shd w:val="clear" w:color="auto" w:fill="FFFFFF"/>
        </w:rPr>
        <w:t>(1), 79-101.</w:t>
      </w:r>
    </w:p>
    <w:p w14:paraId="38AD6A4F" w14:textId="77777777" w:rsidR="00BC5ACE" w:rsidRPr="00E421F4" w:rsidRDefault="00BC5ACE" w:rsidP="00BC5ACE">
      <w:pPr>
        <w:spacing w:line="360" w:lineRule="auto"/>
        <w:ind w:left="720" w:hanging="720"/>
        <w:rPr>
          <w:rFonts w:ascii="Garamond" w:hAnsi="Garamond"/>
        </w:rPr>
      </w:pPr>
      <w:proofErr w:type="spellStart"/>
      <w:proofErr w:type="gramStart"/>
      <w:r w:rsidRPr="00E421F4">
        <w:rPr>
          <w:rFonts w:ascii="Garamond" w:hAnsi="Garamond"/>
        </w:rPr>
        <w:t>Lowi</w:t>
      </w:r>
      <w:proofErr w:type="spellEnd"/>
      <w:r w:rsidRPr="00E421F4">
        <w:rPr>
          <w:rFonts w:ascii="Garamond" w:hAnsi="Garamond"/>
        </w:rPr>
        <w:t>, T. (1969).</w:t>
      </w:r>
      <w:proofErr w:type="gramEnd"/>
      <w:r w:rsidRPr="00E421F4">
        <w:rPr>
          <w:rFonts w:ascii="Garamond" w:hAnsi="Garamond"/>
        </w:rPr>
        <w:t xml:space="preserve"> </w:t>
      </w:r>
      <w:r w:rsidRPr="00E421F4">
        <w:rPr>
          <w:rFonts w:ascii="Garamond" w:hAnsi="Garamond"/>
          <w:i/>
        </w:rPr>
        <w:t>The end of liberalism: The second republic of the United States</w:t>
      </w:r>
      <w:r w:rsidRPr="00E421F4">
        <w:rPr>
          <w:rFonts w:ascii="Garamond" w:hAnsi="Garamond"/>
        </w:rPr>
        <w:t xml:space="preserve">. </w:t>
      </w:r>
      <w:proofErr w:type="spellStart"/>
      <w:r w:rsidRPr="00E421F4">
        <w:rPr>
          <w:rFonts w:ascii="Garamond" w:hAnsi="Garamond"/>
        </w:rPr>
        <w:t>NewYork</w:t>
      </w:r>
      <w:proofErr w:type="spellEnd"/>
      <w:r w:rsidRPr="00E421F4">
        <w:rPr>
          <w:rFonts w:ascii="Garamond" w:hAnsi="Garamond"/>
        </w:rPr>
        <w:t>: W. W. Norton.</w:t>
      </w:r>
    </w:p>
    <w:p w14:paraId="518D03D3" w14:textId="77777777" w:rsidR="0085551D" w:rsidRPr="00E421F4" w:rsidRDefault="00BC5ACE" w:rsidP="0027650D">
      <w:pPr>
        <w:spacing w:line="360" w:lineRule="auto"/>
        <w:ind w:left="720" w:hanging="720"/>
        <w:rPr>
          <w:rFonts w:ascii="Garamond" w:hAnsi="Garamond"/>
        </w:rPr>
      </w:pPr>
      <w:proofErr w:type="spellStart"/>
      <w:proofErr w:type="gramStart"/>
      <w:r w:rsidRPr="00E421F4">
        <w:rPr>
          <w:rFonts w:ascii="Garamond" w:hAnsi="Garamond"/>
        </w:rPr>
        <w:t>MacCarthaigh</w:t>
      </w:r>
      <w:proofErr w:type="spellEnd"/>
      <w:r w:rsidRPr="00E421F4">
        <w:rPr>
          <w:rFonts w:ascii="Garamond" w:hAnsi="Garamond"/>
        </w:rPr>
        <w:t>, M. (2014).</w:t>
      </w:r>
      <w:proofErr w:type="gramEnd"/>
      <w:r w:rsidRPr="00E421F4">
        <w:rPr>
          <w:rFonts w:ascii="Garamond" w:hAnsi="Garamond"/>
        </w:rPr>
        <w:t xml:space="preserve"> Agency Termination in Ireland: Culls and bonfires, or life after death</w:t>
      </w:r>
      <w:proofErr w:type="gramStart"/>
      <w:r w:rsidRPr="00E421F4">
        <w:rPr>
          <w:rFonts w:ascii="Garamond" w:hAnsi="Garamond"/>
        </w:rPr>
        <w:t>?.</w:t>
      </w:r>
      <w:proofErr w:type="gramEnd"/>
      <w:r w:rsidRPr="00E421F4">
        <w:rPr>
          <w:rFonts w:ascii="Garamond" w:hAnsi="Garamond"/>
        </w:rPr>
        <w:t xml:space="preserve"> </w:t>
      </w:r>
      <w:r w:rsidRPr="00E421F4">
        <w:rPr>
          <w:rFonts w:ascii="Garamond" w:hAnsi="Garamond"/>
          <w:i/>
        </w:rPr>
        <w:t>Public Administration</w:t>
      </w:r>
      <w:r w:rsidRPr="00E421F4">
        <w:rPr>
          <w:rFonts w:ascii="Garamond" w:hAnsi="Garamond"/>
        </w:rPr>
        <w:t>, 92(4), 1017-1037.</w:t>
      </w:r>
    </w:p>
    <w:p w14:paraId="6B78FE9B" w14:textId="77777777" w:rsidR="00740C8F" w:rsidRPr="00E421F4" w:rsidRDefault="0085551D" w:rsidP="004659BA">
      <w:pPr>
        <w:spacing w:line="360" w:lineRule="auto"/>
        <w:ind w:left="720" w:hanging="720"/>
        <w:rPr>
          <w:rFonts w:ascii="Garamond" w:eastAsia="Times New Roman" w:hAnsi="Garamond" w:cs="Arial"/>
          <w:shd w:val="clear" w:color="auto" w:fill="FFFFFF"/>
        </w:rPr>
      </w:pPr>
      <w:proofErr w:type="spellStart"/>
      <w:proofErr w:type="gramStart"/>
      <w:r w:rsidRPr="00E421F4">
        <w:rPr>
          <w:rFonts w:ascii="Garamond" w:eastAsia="Times New Roman" w:hAnsi="Garamond" w:cs="Arial"/>
          <w:shd w:val="clear" w:color="auto" w:fill="FFFFFF"/>
        </w:rPr>
        <w:t>Maor</w:t>
      </w:r>
      <w:proofErr w:type="spellEnd"/>
      <w:r w:rsidRPr="00E421F4">
        <w:rPr>
          <w:rFonts w:ascii="Garamond" w:eastAsia="Times New Roman" w:hAnsi="Garamond" w:cs="Arial"/>
          <w:shd w:val="clear" w:color="auto" w:fill="FFFFFF"/>
        </w:rPr>
        <w:t>, M. (2011).</w:t>
      </w:r>
      <w:proofErr w:type="gramEnd"/>
      <w:r w:rsidRPr="00E421F4">
        <w:rPr>
          <w:rFonts w:ascii="Garamond" w:eastAsia="Times New Roman" w:hAnsi="Garamond" w:cs="Arial"/>
          <w:shd w:val="clear" w:color="auto" w:fill="FFFFFF"/>
        </w:rPr>
        <w:t xml:space="preserve"> </w:t>
      </w:r>
      <w:proofErr w:type="gramStart"/>
      <w:r w:rsidRPr="00E421F4">
        <w:rPr>
          <w:rFonts w:ascii="Garamond" w:eastAsia="Times New Roman" w:hAnsi="Garamond" w:cs="Arial"/>
          <w:shd w:val="clear" w:color="auto" w:fill="FFFFFF"/>
        </w:rPr>
        <w:t>Organizational reputations and the observability of public warnings in 10 pharmaceutical markets.</w:t>
      </w:r>
      <w:proofErr w:type="gramEnd"/>
      <w:r w:rsidRPr="00E421F4">
        <w:rPr>
          <w:rFonts w:ascii="Garamond" w:eastAsia="Times New Roman" w:hAnsi="Garamond" w:cs="Arial"/>
          <w:shd w:val="clear" w:color="auto" w:fill="FFFFFF"/>
        </w:rPr>
        <w:t> </w:t>
      </w:r>
      <w:r w:rsidRPr="00E421F4">
        <w:rPr>
          <w:rFonts w:ascii="Garamond" w:eastAsia="Times New Roman" w:hAnsi="Garamond" w:cs="Arial"/>
          <w:i/>
          <w:iCs/>
          <w:shd w:val="clear" w:color="auto" w:fill="FFFFFF"/>
        </w:rPr>
        <w:t>Governance</w:t>
      </w:r>
      <w:r w:rsidRPr="00E421F4">
        <w:rPr>
          <w:rFonts w:ascii="Garamond" w:eastAsia="Times New Roman" w:hAnsi="Garamond" w:cs="Arial"/>
          <w:shd w:val="clear" w:color="auto" w:fill="FFFFFF"/>
        </w:rPr>
        <w:t>, </w:t>
      </w:r>
      <w:r w:rsidRPr="00E421F4">
        <w:rPr>
          <w:rFonts w:ascii="Garamond" w:eastAsia="Times New Roman" w:hAnsi="Garamond" w:cs="Arial"/>
          <w:i/>
          <w:iCs/>
          <w:shd w:val="clear" w:color="auto" w:fill="FFFFFF"/>
        </w:rPr>
        <w:t>24</w:t>
      </w:r>
      <w:r w:rsidRPr="00E421F4">
        <w:rPr>
          <w:rFonts w:ascii="Garamond" w:eastAsia="Times New Roman" w:hAnsi="Garamond" w:cs="Arial"/>
          <w:shd w:val="clear" w:color="auto" w:fill="FFFFFF"/>
        </w:rPr>
        <w:t>(3), 557-582.</w:t>
      </w:r>
    </w:p>
    <w:p w14:paraId="28B3B0BE" w14:textId="72E9F765" w:rsidR="00740C8F" w:rsidRPr="00E421F4" w:rsidRDefault="00740C8F" w:rsidP="00BC5ACE">
      <w:pPr>
        <w:spacing w:line="360" w:lineRule="auto"/>
        <w:ind w:left="720" w:hanging="720"/>
        <w:rPr>
          <w:rFonts w:ascii="Garamond" w:eastAsia="Times New Roman" w:hAnsi="Garamond" w:cs="Arial"/>
          <w:shd w:val="clear" w:color="auto" w:fill="FFFFFF"/>
        </w:rPr>
      </w:pPr>
      <w:proofErr w:type="spellStart"/>
      <w:r w:rsidRPr="00E421F4">
        <w:rPr>
          <w:rFonts w:ascii="Garamond" w:eastAsia="Times New Roman" w:hAnsi="Garamond" w:cs="Arial"/>
          <w:shd w:val="clear" w:color="auto" w:fill="FFFFFF"/>
        </w:rPr>
        <w:t>Niskanen</w:t>
      </w:r>
      <w:proofErr w:type="spellEnd"/>
      <w:r w:rsidRPr="00E421F4">
        <w:rPr>
          <w:rFonts w:ascii="Garamond" w:eastAsia="Times New Roman" w:hAnsi="Garamond" w:cs="Arial"/>
          <w:shd w:val="clear" w:color="auto" w:fill="FFFFFF"/>
        </w:rPr>
        <w:t xml:space="preserve">, W. A. (1971) </w:t>
      </w:r>
      <w:r w:rsidRPr="00E421F4">
        <w:rPr>
          <w:rFonts w:ascii="Garamond" w:eastAsia="Times New Roman" w:hAnsi="Garamond" w:cs="Arial"/>
          <w:i/>
          <w:iCs/>
          <w:shd w:val="clear" w:color="auto" w:fill="FFFFFF"/>
        </w:rPr>
        <w:t>Bureaucracy and Representative Government</w:t>
      </w:r>
      <w:r w:rsidRPr="00E421F4">
        <w:rPr>
          <w:rFonts w:ascii="Garamond" w:eastAsia="Times New Roman" w:hAnsi="Garamond" w:cs="Arial"/>
          <w:shd w:val="clear" w:color="auto" w:fill="FFFFFF"/>
        </w:rPr>
        <w:t xml:space="preserve">. Piscataway, NJ: </w:t>
      </w:r>
      <w:proofErr w:type="spellStart"/>
      <w:r w:rsidRPr="00E421F4">
        <w:rPr>
          <w:rFonts w:ascii="Garamond" w:eastAsia="Times New Roman" w:hAnsi="Garamond" w:cs="Arial"/>
          <w:shd w:val="clear" w:color="auto" w:fill="FFFFFF"/>
        </w:rPr>
        <w:t>AldineTransaction</w:t>
      </w:r>
      <w:proofErr w:type="spellEnd"/>
      <w:r w:rsidR="00445242" w:rsidRPr="00E421F4">
        <w:rPr>
          <w:rFonts w:ascii="Garamond" w:eastAsia="Times New Roman" w:hAnsi="Garamond" w:cs="Arial"/>
          <w:shd w:val="clear" w:color="auto" w:fill="FFFFFF"/>
        </w:rPr>
        <w:t>.</w:t>
      </w:r>
    </w:p>
    <w:p w14:paraId="30DB3B1F" w14:textId="61BD64A9" w:rsidR="00CC1069" w:rsidRPr="00E421F4" w:rsidRDefault="00CC1069" w:rsidP="00391909">
      <w:pPr>
        <w:spacing w:line="360" w:lineRule="auto"/>
        <w:ind w:left="720" w:hanging="720"/>
        <w:rPr>
          <w:rFonts w:ascii="Garamond" w:eastAsia="Times New Roman" w:hAnsi="Garamond" w:cs="Times New Roman"/>
          <w:lang w:val="en-GB"/>
        </w:rPr>
      </w:pPr>
      <w:proofErr w:type="spellStart"/>
      <w:r w:rsidRPr="00E421F4">
        <w:rPr>
          <w:rFonts w:ascii="Garamond" w:hAnsi="Garamond"/>
        </w:rPr>
        <w:t>Papanastasiou</w:t>
      </w:r>
      <w:proofErr w:type="spellEnd"/>
      <w:r w:rsidRPr="00E421F4">
        <w:rPr>
          <w:rFonts w:ascii="Garamond" w:eastAsia="Times New Roman" w:hAnsi="Garamond" w:cs="Times New Roman"/>
          <w:lang w:val="en-GB"/>
        </w:rPr>
        <w:t xml:space="preserve">, N. (2016). "How does scale mean? </w:t>
      </w:r>
      <w:proofErr w:type="gramStart"/>
      <w:r w:rsidRPr="00E421F4">
        <w:rPr>
          <w:rFonts w:ascii="Garamond" w:eastAsia="Times New Roman" w:hAnsi="Garamond" w:cs="Times New Roman"/>
          <w:lang w:val="en-GB"/>
        </w:rPr>
        <w:t>A critical approach to scale in the study of policy."</w:t>
      </w:r>
      <w:proofErr w:type="gramEnd"/>
      <w:r w:rsidRPr="00E421F4">
        <w:rPr>
          <w:rFonts w:ascii="Garamond" w:eastAsia="Times New Roman" w:hAnsi="Garamond" w:cs="Times New Roman"/>
          <w:lang w:val="en-GB"/>
        </w:rPr>
        <w:t> </w:t>
      </w:r>
      <w:proofErr w:type="gramStart"/>
      <w:r w:rsidRPr="00E421F4">
        <w:rPr>
          <w:rFonts w:ascii="Garamond" w:eastAsia="Times New Roman" w:hAnsi="Garamond" w:cs="Times New Roman"/>
          <w:i/>
          <w:lang w:val="en-GB"/>
        </w:rPr>
        <w:t>Critical Policy Studies</w:t>
      </w:r>
      <w:r w:rsidR="00391909" w:rsidRPr="00E421F4">
        <w:rPr>
          <w:rFonts w:ascii="Garamond" w:eastAsia="Times New Roman" w:hAnsi="Garamond" w:cs="Times New Roman"/>
          <w:i/>
          <w:lang w:val="en-GB"/>
        </w:rPr>
        <w:t>.</w:t>
      </w:r>
      <w:proofErr w:type="gramEnd"/>
      <w:r w:rsidRPr="00E421F4">
        <w:rPr>
          <w:rFonts w:ascii="Garamond" w:eastAsia="Times New Roman" w:hAnsi="Garamond" w:cs="Times New Roman"/>
          <w:i/>
          <w:lang w:val="en-GB"/>
        </w:rPr>
        <w:t> </w:t>
      </w:r>
      <w:r w:rsidR="00391909" w:rsidRPr="00E421F4">
        <w:rPr>
          <w:rFonts w:ascii="Garamond" w:eastAsia="Times New Roman" w:hAnsi="Garamond" w:cs="Times New Roman"/>
          <w:lang w:val="en-GB"/>
        </w:rPr>
        <w:t>Ahead-of-print DOI: 10.1080/19460171.2015.1119052</w:t>
      </w:r>
    </w:p>
    <w:p w14:paraId="42FB78C3" w14:textId="54E5344C" w:rsidR="00A61DA0" w:rsidRPr="00E421F4" w:rsidRDefault="00A61DA0" w:rsidP="00391909">
      <w:pPr>
        <w:spacing w:line="360" w:lineRule="auto"/>
        <w:ind w:left="720" w:hanging="720"/>
        <w:rPr>
          <w:rFonts w:ascii="Garamond" w:eastAsia="Times New Roman" w:hAnsi="Garamond" w:cs="Times New Roman"/>
          <w:lang w:val="en-GB"/>
        </w:rPr>
      </w:pPr>
      <w:r w:rsidRPr="00E421F4">
        <w:rPr>
          <w:rFonts w:ascii="Garamond" w:eastAsia="Times New Roman" w:hAnsi="Garamond" w:cs="Times New Roman"/>
          <w:lang w:val="en-GB"/>
        </w:rPr>
        <w:t xml:space="preserve">Pollitt, C. (2008) </w:t>
      </w:r>
      <w:r w:rsidRPr="00E421F4">
        <w:rPr>
          <w:rFonts w:ascii="Garamond" w:eastAsia="Times New Roman" w:hAnsi="Garamond" w:cs="Times New Roman"/>
          <w:i/>
          <w:lang w:val="en-GB"/>
        </w:rPr>
        <w:t>Time, policy, management: governing with the past</w:t>
      </w:r>
      <w:r w:rsidRPr="00E421F4">
        <w:rPr>
          <w:rFonts w:ascii="Garamond" w:eastAsia="Times New Roman" w:hAnsi="Garamond" w:cs="Times New Roman"/>
          <w:lang w:val="en-GB"/>
        </w:rPr>
        <w:t xml:space="preserve">. Oxford: Oxford University Press. </w:t>
      </w:r>
    </w:p>
    <w:p w14:paraId="2FAE8851" w14:textId="1CD3A931" w:rsidR="00905722" w:rsidRPr="00E421F4" w:rsidRDefault="00905722" w:rsidP="00905722">
      <w:pPr>
        <w:spacing w:line="360" w:lineRule="auto"/>
        <w:ind w:left="720" w:hanging="720"/>
        <w:rPr>
          <w:rFonts w:ascii="Garamond" w:hAnsi="Garamond"/>
        </w:rPr>
      </w:pPr>
      <w:proofErr w:type="spellStart"/>
      <w:r w:rsidRPr="00E421F4">
        <w:rPr>
          <w:rFonts w:ascii="Garamond" w:eastAsia="Times New Roman" w:hAnsi="Garamond" w:cs="Times New Roman"/>
          <w:lang w:val="en-GB"/>
        </w:rPr>
        <w:t>Pouliot</w:t>
      </w:r>
      <w:proofErr w:type="spellEnd"/>
      <w:r w:rsidRPr="00E421F4">
        <w:rPr>
          <w:rFonts w:ascii="Garamond" w:eastAsia="Times New Roman" w:hAnsi="Garamond" w:cs="Times New Roman"/>
          <w:lang w:val="en-GB"/>
        </w:rPr>
        <w:t xml:space="preserve">, V (2015). "Practice tracing." In </w:t>
      </w:r>
      <w:r w:rsidRPr="00E421F4">
        <w:rPr>
          <w:rFonts w:ascii="Garamond" w:hAnsi="Garamond"/>
        </w:rPr>
        <w:t xml:space="preserve">Bennett, A, and J T. </w:t>
      </w:r>
      <w:proofErr w:type="spellStart"/>
      <w:r w:rsidRPr="00E421F4">
        <w:rPr>
          <w:rFonts w:ascii="Garamond" w:hAnsi="Garamond"/>
        </w:rPr>
        <w:t>Checkel</w:t>
      </w:r>
      <w:proofErr w:type="spellEnd"/>
      <w:r w:rsidRPr="00E421F4">
        <w:rPr>
          <w:rFonts w:ascii="Garamond" w:hAnsi="Garamond"/>
        </w:rPr>
        <w:t xml:space="preserve">, </w:t>
      </w:r>
      <w:proofErr w:type="spellStart"/>
      <w:proofErr w:type="gramStart"/>
      <w:r w:rsidRPr="00E421F4">
        <w:rPr>
          <w:rFonts w:ascii="Garamond" w:hAnsi="Garamond"/>
        </w:rPr>
        <w:t>eds</w:t>
      </w:r>
      <w:proofErr w:type="spellEnd"/>
      <w:proofErr w:type="gramEnd"/>
      <w:r w:rsidRPr="00E421F4">
        <w:rPr>
          <w:rFonts w:ascii="Garamond" w:hAnsi="Garamond"/>
        </w:rPr>
        <w:t xml:space="preserve"> (2015). </w:t>
      </w:r>
      <w:proofErr w:type="gramStart"/>
      <w:r w:rsidRPr="00E421F4">
        <w:rPr>
          <w:rFonts w:ascii="Garamond" w:hAnsi="Garamond"/>
          <w:i/>
        </w:rPr>
        <w:t>Process tracing</w:t>
      </w:r>
      <w:r w:rsidRPr="00E421F4">
        <w:rPr>
          <w:rFonts w:ascii="Garamond" w:hAnsi="Garamond"/>
        </w:rPr>
        <w:t>.</w:t>
      </w:r>
      <w:proofErr w:type="gramEnd"/>
      <w:r w:rsidRPr="00E421F4">
        <w:rPr>
          <w:rFonts w:ascii="Garamond" w:hAnsi="Garamond"/>
        </w:rPr>
        <w:t xml:space="preserve"> Cambridge: Cambridge University Press, pp. 237-259</w:t>
      </w:r>
    </w:p>
    <w:p w14:paraId="641C6B9E" w14:textId="77777777" w:rsidR="0085551D" w:rsidRPr="00E421F4" w:rsidRDefault="00BC5ACE" w:rsidP="0027650D">
      <w:pPr>
        <w:spacing w:line="360" w:lineRule="auto"/>
        <w:ind w:left="720" w:hanging="720"/>
        <w:rPr>
          <w:rFonts w:ascii="Garamond" w:hAnsi="Garamond"/>
        </w:rPr>
      </w:pPr>
      <w:r w:rsidRPr="00E421F4">
        <w:rPr>
          <w:rFonts w:ascii="Garamond" w:hAnsi="Garamond"/>
        </w:rPr>
        <w:t xml:space="preserve">Simon, H. A. (1950). </w:t>
      </w:r>
      <w:proofErr w:type="gramStart"/>
      <w:r w:rsidRPr="00E421F4">
        <w:rPr>
          <w:rFonts w:ascii="Garamond" w:hAnsi="Garamond"/>
          <w:i/>
        </w:rPr>
        <w:t>Administrative behaviour</w:t>
      </w:r>
      <w:r w:rsidRPr="00E421F4">
        <w:rPr>
          <w:rFonts w:ascii="Garamond" w:hAnsi="Garamond"/>
        </w:rPr>
        <w:t>.</w:t>
      </w:r>
      <w:proofErr w:type="gramEnd"/>
      <w:r w:rsidRPr="00E421F4">
        <w:rPr>
          <w:rFonts w:ascii="Garamond" w:hAnsi="Garamond"/>
        </w:rPr>
        <w:t xml:space="preserve"> New York: Free Press</w:t>
      </w:r>
    </w:p>
    <w:p w14:paraId="697816EA" w14:textId="77777777" w:rsidR="00C74D6E" w:rsidRPr="00E421F4" w:rsidRDefault="0085551D" w:rsidP="00F80DB6">
      <w:pPr>
        <w:spacing w:line="360" w:lineRule="auto"/>
        <w:ind w:left="720" w:hanging="720"/>
        <w:rPr>
          <w:rFonts w:ascii="Garamond" w:eastAsia="Times New Roman" w:hAnsi="Garamond" w:cs="Arial"/>
          <w:shd w:val="clear" w:color="auto" w:fill="FFFFFF"/>
        </w:rPr>
      </w:pPr>
      <w:proofErr w:type="spellStart"/>
      <w:r w:rsidRPr="00E421F4">
        <w:rPr>
          <w:rFonts w:ascii="Garamond" w:eastAsia="Times New Roman" w:hAnsi="Garamond" w:cs="Arial"/>
          <w:shd w:val="clear" w:color="auto" w:fill="FFFFFF"/>
        </w:rPr>
        <w:t>Smullen</w:t>
      </w:r>
      <w:proofErr w:type="spellEnd"/>
      <w:r w:rsidRPr="00E421F4">
        <w:rPr>
          <w:rFonts w:ascii="Garamond" w:eastAsia="Times New Roman" w:hAnsi="Garamond" w:cs="Arial"/>
          <w:shd w:val="clear" w:color="auto" w:fill="FFFFFF"/>
        </w:rPr>
        <w:t>, A. (2010). Translating agency reform: Rhetoric and Culture in Comparative Perspective: Basingstoke: Palgrave Macmillan.</w:t>
      </w:r>
    </w:p>
    <w:p w14:paraId="6B7B3611" w14:textId="458DE1CF" w:rsidR="000915AA" w:rsidRPr="00E421F4" w:rsidRDefault="000915AA" w:rsidP="000915AA">
      <w:pPr>
        <w:spacing w:line="360" w:lineRule="auto"/>
        <w:ind w:left="720" w:hanging="720"/>
        <w:rPr>
          <w:rFonts w:ascii="Garamond" w:eastAsia="Times New Roman" w:hAnsi="Garamond" w:cs="Arial"/>
          <w:shd w:val="clear" w:color="auto" w:fill="FFFFFF"/>
        </w:rPr>
      </w:pPr>
      <w:proofErr w:type="spellStart"/>
      <w:r w:rsidRPr="00E421F4">
        <w:rPr>
          <w:rFonts w:ascii="Garamond" w:eastAsia="Times New Roman" w:hAnsi="Garamond" w:cs="Arial"/>
          <w:shd w:val="clear" w:color="auto" w:fill="FFFFFF"/>
        </w:rPr>
        <w:t>Trampusch</w:t>
      </w:r>
      <w:proofErr w:type="spellEnd"/>
      <w:r w:rsidRPr="00E421F4">
        <w:rPr>
          <w:rFonts w:ascii="Garamond" w:eastAsia="Times New Roman" w:hAnsi="Garamond" w:cs="Arial"/>
          <w:shd w:val="clear" w:color="auto" w:fill="FFFFFF"/>
        </w:rPr>
        <w:t>, C, and Bruno P. (2016) "Between X and Y: how process tracing contributes to opening the black box of causality." </w:t>
      </w:r>
      <w:proofErr w:type="gramStart"/>
      <w:r w:rsidRPr="00E421F4">
        <w:rPr>
          <w:rFonts w:ascii="Garamond" w:eastAsia="Times New Roman" w:hAnsi="Garamond" w:cs="Arial"/>
          <w:i/>
          <w:shd w:val="clear" w:color="auto" w:fill="FFFFFF"/>
        </w:rPr>
        <w:t>New Political Economy.</w:t>
      </w:r>
      <w:proofErr w:type="gramEnd"/>
      <w:r w:rsidRPr="00E421F4">
        <w:rPr>
          <w:rFonts w:ascii="Garamond" w:eastAsia="Times New Roman" w:hAnsi="Garamond" w:cs="Arial"/>
          <w:i/>
          <w:shd w:val="clear" w:color="auto" w:fill="FFFFFF"/>
        </w:rPr>
        <w:t xml:space="preserve"> </w:t>
      </w:r>
      <w:proofErr w:type="gramStart"/>
      <w:r w:rsidRPr="00E421F4">
        <w:rPr>
          <w:rFonts w:ascii="Garamond" w:eastAsia="Times New Roman" w:hAnsi="Garamond" w:cs="Arial"/>
          <w:shd w:val="clear" w:color="auto" w:fill="FFFFFF"/>
        </w:rPr>
        <w:t>Ahead of print.</w:t>
      </w:r>
      <w:proofErr w:type="gramEnd"/>
    </w:p>
    <w:p w14:paraId="3E8F1360" w14:textId="2AAE4593" w:rsidR="00C74D6E" w:rsidRPr="00E421F4" w:rsidRDefault="00C74D6E" w:rsidP="00BC5ACE">
      <w:pPr>
        <w:spacing w:line="360" w:lineRule="auto"/>
        <w:ind w:left="720" w:hanging="720"/>
        <w:rPr>
          <w:rFonts w:ascii="Garamond" w:eastAsia="Times New Roman" w:hAnsi="Garamond" w:cs="Arial"/>
          <w:shd w:val="clear" w:color="auto" w:fill="FFFFFF"/>
        </w:rPr>
      </w:pPr>
      <w:proofErr w:type="gramStart"/>
      <w:r w:rsidRPr="00E421F4">
        <w:rPr>
          <w:rFonts w:ascii="Garamond" w:eastAsia="Times New Roman" w:hAnsi="Garamond" w:cs="Arial"/>
          <w:shd w:val="clear" w:color="auto" w:fill="FFFFFF"/>
        </w:rPr>
        <w:t>van</w:t>
      </w:r>
      <w:proofErr w:type="gramEnd"/>
      <w:r w:rsidRPr="00E421F4">
        <w:rPr>
          <w:rFonts w:ascii="Garamond" w:eastAsia="Times New Roman" w:hAnsi="Garamond" w:cs="Arial"/>
          <w:shd w:val="clear" w:color="auto" w:fill="FFFFFF"/>
        </w:rPr>
        <w:t xml:space="preserve"> </w:t>
      </w:r>
      <w:proofErr w:type="spellStart"/>
      <w:r w:rsidRPr="00E421F4">
        <w:rPr>
          <w:rFonts w:ascii="Garamond" w:eastAsia="Times New Roman" w:hAnsi="Garamond" w:cs="Arial"/>
          <w:shd w:val="clear" w:color="auto" w:fill="FFFFFF"/>
        </w:rPr>
        <w:t>Thiel</w:t>
      </w:r>
      <w:proofErr w:type="spellEnd"/>
      <w:r w:rsidRPr="00E421F4">
        <w:rPr>
          <w:rFonts w:ascii="Garamond" w:eastAsia="Times New Roman" w:hAnsi="Garamond" w:cs="Arial"/>
          <w:shd w:val="clear" w:color="auto" w:fill="FFFFFF"/>
        </w:rPr>
        <w:t xml:space="preserve">, S. (2012). Debate: From trendsetter to laggard? </w:t>
      </w:r>
      <w:proofErr w:type="gramStart"/>
      <w:r w:rsidRPr="00E421F4">
        <w:rPr>
          <w:rFonts w:ascii="Garamond" w:eastAsia="Times New Roman" w:hAnsi="Garamond" w:cs="Arial"/>
          <w:shd w:val="clear" w:color="auto" w:fill="FFFFFF"/>
        </w:rPr>
        <w:t>Quango reform in the UK.</w:t>
      </w:r>
      <w:proofErr w:type="gramEnd"/>
      <w:r w:rsidRPr="00E421F4">
        <w:rPr>
          <w:rFonts w:ascii="Garamond" w:eastAsia="Times New Roman" w:hAnsi="Garamond" w:cs="Arial"/>
          <w:shd w:val="clear" w:color="auto" w:fill="FFFFFF"/>
        </w:rPr>
        <w:t> </w:t>
      </w:r>
      <w:r w:rsidRPr="00E421F4">
        <w:rPr>
          <w:rFonts w:ascii="Garamond" w:eastAsia="Times New Roman" w:hAnsi="Garamond" w:cs="Arial"/>
          <w:i/>
          <w:iCs/>
          <w:shd w:val="clear" w:color="auto" w:fill="FFFFFF"/>
        </w:rPr>
        <w:t>Public Money &amp; Management</w:t>
      </w:r>
      <w:r w:rsidRPr="00E421F4">
        <w:rPr>
          <w:rFonts w:ascii="Garamond" w:eastAsia="Times New Roman" w:hAnsi="Garamond" w:cs="Arial"/>
          <w:shd w:val="clear" w:color="auto" w:fill="FFFFFF"/>
        </w:rPr>
        <w:t>, </w:t>
      </w:r>
      <w:r w:rsidRPr="00E421F4">
        <w:rPr>
          <w:rFonts w:ascii="Garamond" w:eastAsia="Times New Roman" w:hAnsi="Garamond" w:cs="Arial"/>
          <w:iCs/>
          <w:shd w:val="clear" w:color="auto" w:fill="FFFFFF"/>
        </w:rPr>
        <w:t>32</w:t>
      </w:r>
      <w:r w:rsidRPr="00E421F4">
        <w:rPr>
          <w:rFonts w:ascii="Garamond" w:eastAsia="Times New Roman" w:hAnsi="Garamond" w:cs="Arial"/>
          <w:shd w:val="clear" w:color="auto" w:fill="FFFFFF"/>
        </w:rPr>
        <w:t>(6): 399-400.</w:t>
      </w:r>
    </w:p>
    <w:p w14:paraId="167ACC06" w14:textId="12E18172" w:rsidR="00BC5ACE" w:rsidRPr="00E421F4" w:rsidRDefault="00BC5ACE" w:rsidP="00BC5ACE">
      <w:pPr>
        <w:spacing w:line="360" w:lineRule="auto"/>
        <w:ind w:left="720" w:hanging="720"/>
        <w:rPr>
          <w:rFonts w:ascii="Garamond" w:hAnsi="Garamond"/>
        </w:rPr>
      </w:pPr>
      <w:proofErr w:type="gramStart"/>
      <w:r w:rsidRPr="00E421F4">
        <w:rPr>
          <w:rFonts w:ascii="Garamond" w:hAnsi="Garamond"/>
        </w:rPr>
        <w:t xml:space="preserve">Viviani, </w:t>
      </w:r>
      <w:r w:rsidR="00802521" w:rsidRPr="00E421F4">
        <w:rPr>
          <w:rFonts w:ascii="Garamond" w:hAnsi="Garamond"/>
        </w:rPr>
        <w:t>N.</w:t>
      </w:r>
      <w:r w:rsidRPr="00E421F4">
        <w:rPr>
          <w:rFonts w:ascii="Garamond" w:hAnsi="Garamond"/>
        </w:rPr>
        <w:t>, and P</w:t>
      </w:r>
      <w:r w:rsidR="00802521" w:rsidRPr="00E421F4">
        <w:rPr>
          <w:rFonts w:ascii="Garamond" w:hAnsi="Garamond"/>
        </w:rPr>
        <w:t>.</w:t>
      </w:r>
      <w:r w:rsidRPr="00E421F4">
        <w:rPr>
          <w:rFonts w:ascii="Garamond" w:hAnsi="Garamond"/>
        </w:rPr>
        <w:t xml:space="preserve"> </w:t>
      </w:r>
      <w:proofErr w:type="spellStart"/>
      <w:r w:rsidRPr="00E421F4">
        <w:rPr>
          <w:rFonts w:ascii="Garamond" w:hAnsi="Garamond"/>
        </w:rPr>
        <w:t>Wilenski</w:t>
      </w:r>
      <w:proofErr w:type="spellEnd"/>
      <w:r w:rsidR="00802521" w:rsidRPr="00E421F4">
        <w:rPr>
          <w:rFonts w:ascii="Garamond" w:hAnsi="Garamond"/>
        </w:rPr>
        <w:t xml:space="preserve"> (1978)</w:t>
      </w:r>
      <w:r w:rsidRPr="00E421F4">
        <w:rPr>
          <w:rFonts w:ascii="Garamond" w:hAnsi="Garamond"/>
        </w:rPr>
        <w:t>.</w:t>
      </w:r>
      <w:proofErr w:type="gramEnd"/>
      <w:r w:rsidRPr="00E421F4">
        <w:rPr>
          <w:rFonts w:ascii="Garamond" w:hAnsi="Garamond"/>
        </w:rPr>
        <w:t xml:space="preserve"> </w:t>
      </w:r>
      <w:r w:rsidRPr="00E421F4">
        <w:rPr>
          <w:rFonts w:ascii="Garamond" w:hAnsi="Garamond"/>
          <w:i/>
        </w:rPr>
        <w:t>The Australian Development Assistance Agency: A post mortem report.</w:t>
      </w:r>
      <w:r w:rsidRPr="00E421F4">
        <w:rPr>
          <w:rFonts w:ascii="Garamond" w:hAnsi="Garamond"/>
        </w:rPr>
        <w:t xml:space="preserve"> </w:t>
      </w:r>
      <w:proofErr w:type="gramStart"/>
      <w:r w:rsidRPr="00E421F4">
        <w:rPr>
          <w:rFonts w:ascii="Garamond" w:hAnsi="Garamond"/>
        </w:rPr>
        <w:t>National Council, Royal Institute of Public Administration.</w:t>
      </w:r>
      <w:proofErr w:type="gramEnd"/>
    </w:p>
    <w:p w14:paraId="0C283E07" w14:textId="1563F9BB" w:rsidR="00D55563" w:rsidRPr="00E421F4" w:rsidRDefault="00D55563" w:rsidP="00D55563">
      <w:pPr>
        <w:spacing w:line="360" w:lineRule="auto"/>
        <w:ind w:left="720" w:hanging="720"/>
        <w:rPr>
          <w:rFonts w:ascii="Garamond" w:hAnsi="Garamond"/>
        </w:rPr>
      </w:pPr>
      <w:proofErr w:type="spellStart"/>
      <w:r w:rsidRPr="00E421F4">
        <w:rPr>
          <w:rFonts w:ascii="Garamond" w:hAnsi="Garamond"/>
        </w:rPr>
        <w:t>Wettenhall</w:t>
      </w:r>
      <w:proofErr w:type="spellEnd"/>
      <w:r w:rsidRPr="00E421F4">
        <w:rPr>
          <w:rFonts w:ascii="Garamond" w:hAnsi="Garamond"/>
        </w:rPr>
        <w:t xml:space="preserve">, R. </w:t>
      </w:r>
      <w:r w:rsidR="00740C8F" w:rsidRPr="00E421F4">
        <w:rPr>
          <w:rFonts w:ascii="Garamond" w:hAnsi="Garamond"/>
        </w:rPr>
        <w:t xml:space="preserve">(2007) </w:t>
      </w:r>
      <w:r w:rsidRPr="00E421F4">
        <w:rPr>
          <w:rFonts w:ascii="Garamond" w:hAnsi="Garamond"/>
        </w:rPr>
        <w:t>"Non-Departmental Public Bodies Under the Howard Governments." </w:t>
      </w:r>
      <w:r w:rsidRPr="00E421F4">
        <w:rPr>
          <w:rFonts w:ascii="Garamond" w:hAnsi="Garamond"/>
          <w:i/>
        </w:rPr>
        <w:t>Australian Journal of Public Administration </w:t>
      </w:r>
      <w:r w:rsidRPr="00E421F4">
        <w:rPr>
          <w:rFonts w:ascii="Garamond" w:hAnsi="Garamond"/>
        </w:rPr>
        <w:t>66</w:t>
      </w:r>
      <w:r w:rsidR="00740C8F" w:rsidRPr="00E421F4">
        <w:rPr>
          <w:rFonts w:ascii="Garamond" w:hAnsi="Garamond"/>
        </w:rPr>
        <w:t>(</w:t>
      </w:r>
      <w:r w:rsidRPr="00E421F4">
        <w:rPr>
          <w:rFonts w:ascii="Garamond" w:hAnsi="Garamond"/>
        </w:rPr>
        <w:t>1</w:t>
      </w:r>
      <w:r w:rsidR="00740C8F" w:rsidRPr="00E421F4">
        <w:rPr>
          <w:rFonts w:ascii="Garamond" w:hAnsi="Garamond"/>
        </w:rPr>
        <w:t>)</w:t>
      </w:r>
      <w:r w:rsidRPr="00E421F4">
        <w:rPr>
          <w:rFonts w:ascii="Garamond" w:hAnsi="Garamond"/>
        </w:rPr>
        <w:t>: 62-82.</w:t>
      </w:r>
    </w:p>
    <w:p w14:paraId="7FF1BFC4" w14:textId="77777777" w:rsidR="00BC5ACE" w:rsidRPr="00E421F4" w:rsidRDefault="00BC5ACE" w:rsidP="00BC5ACE">
      <w:pPr>
        <w:spacing w:line="360" w:lineRule="auto"/>
        <w:ind w:left="720" w:hanging="720"/>
        <w:rPr>
          <w:rFonts w:ascii="Garamond" w:hAnsi="Garamond"/>
        </w:rPr>
      </w:pPr>
      <w:r w:rsidRPr="00E421F4">
        <w:rPr>
          <w:rFonts w:ascii="Garamond" w:hAnsi="Garamond"/>
        </w:rPr>
        <w:t xml:space="preserve">Wood, M. (2015). Beyond Accountability: Political Legitimacy and Delegated Water Governance in Australia. </w:t>
      </w:r>
      <w:proofErr w:type="gramStart"/>
      <w:r w:rsidRPr="00E421F4">
        <w:rPr>
          <w:rFonts w:ascii="Garamond" w:hAnsi="Garamond"/>
          <w:i/>
        </w:rPr>
        <w:t>Public Administration</w:t>
      </w:r>
      <w:r w:rsidRPr="00E421F4">
        <w:rPr>
          <w:rFonts w:ascii="Garamond" w:hAnsi="Garamond"/>
        </w:rPr>
        <w:t>.</w:t>
      </w:r>
      <w:proofErr w:type="gramEnd"/>
      <w:r w:rsidRPr="00E421F4">
        <w:rPr>
          <w:rFonts w:ascii="Garamond" w:hAnsi="Garamond"/>
        </w:rPr>
        <w:t xml:space="preserve"> doi:10.1111/padm.12178</w:t>
      </w:r>
    </w:p>
    <w:p w14:paraId="402CD912" w14:textId="713F5E6F" w:rsidR="00CB4339" w:rsidRPr="00E421F4" w:rsidRDefault="00BC5ACE" w:rsidP="000872A0">
      <w:pPr>
        <w:spacing w:line="360" w:lineRule="auto"/>
        <w:ind w:left="720" w:hanging="720"/>
        <w:rPr>
          <w:rFonts w:ascii="Garamond" w:hAnsi="Garamond"/>
        </w:rPr>
      </w:pPr>
      <w:proofErr w:type="spellStart"/>
      <w:proofErr w:type="gramStart"/>
      <w:r w:rsidRPr="00E421F4">
        <w:rPr>
          <w:rFonts w:ascii="Garamond" w:hAnsi="Garamond"/>
        </w:rPr>
        <w:t>Yanow</w:t>
      </w:r>
      <w:proofErr w:type="spellEnd"/>
      <w:r w:rsidRPr="00E421F4">
        <w:rPr>
          <w:rFonts w:ascii="Garamond" w:hAnsi="Garamond"/>
        </w:rPr>
        <w:t>, D., &amp; Schwartz-</w:t>
      </w:r>
      <w:proofErr w:type="spellStart"/>
      <w:r w:rsidRPr="00E421F4">
        <w:rPr>
          <w:rFonts w:ascii="Garamond" w:hAnsi="Garamond"/>
        </w:rPr>
        <w:t>Shea</w:t>
      </w:r>
      <w:proofErr w:type="spellEnd"/>
      <w:r w:rsidRPr="00E421F4">
        <w:rPr>
          <w:rFonts w:ascii="Garamond" w:hAnsi="Garamond"/>
        </w:rPr>
        <w:t>, P. (2013).</w:t>
      </w:r>
      <w:proofErr w:type="gramEnd"/>
      <w:r w:rsidRPr="00E421F4">
        <w:rPr>
          <w:rFonts w:ascii="Garamond" w:hAnsi="Garamond"/>
        </w:rPr>
        <w:t xml:space="preserve"> </w:t>
      </w:r>
      <w:r w:rsidRPr="00E421F4">
        <w:rPr>
          <w:rFonts w:ascii="Garamond" w:hAnsi="Garamond"/>
          <w:i/>
        </w:rPr>
        <w:t>Interpretation and method: Empirical research methods and the interpretive turn</w:t>
      </w:r>
      <w:r w:rsidRPr="00E421F4">
        <w:rPr>
          <w:rFonts w:ascii="Garamond" w:hAnsi="Garamond"/>
        </w:rPr>
        <w:t>: ME Sharpe.</w:t>
      </w:r>
      <w:r w:rsidR="000872A0" w:rsidRPr="00E421F4">
        <w:rPr>
          <w:rFonts w:ascii="Garamond" w:hAnsi="Garamond"/>
        </w:rPr>
        <w:t xml:space="preserve"> </w:t>
      </w:r>
    </w:p>
    <w:sectPr w:rsidR="00CB4339" w:rsidRPr="00E421F4" w:rsidSect="000872A0">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813D4" w14:textId="77777777" w:rsidR="000872A0" w:rsidRDefault="000872A0" w:rsidP="00BC5ACE">
      <w:r>
        <w:separator/>
      </w:r>
    </w:p>
  </w:endnote>
  <w:endnote w:type="continuationSeparator" w:id="0">
    <w:p w14:paraId="3FC36A4A" w14:textId="77777777" w:rsidR="000872A0" w:rsidRDefault="000872A0" w:rsidP="00BC5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D958B" w14:textId="77777777" w:rsidR="00570249" w:rsidRDefault="00570249" w:rsidP="00BE6C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CA33AE" w14:textId="77777777" w:rsidR="00570249" w:rsidRDefault="00570249" w:rsidP="005702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1B27E" w14:textId="77777777" w:rsidR="00570249" w:rsidRDefault="00570249" w:rsidP="00BE6C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2AB2">
      <w:rPr>
        <w:rStyle w:val="PageNumber"/>
        <w:noProof/>
      </w:rPr>
      <w:t>1</w:t>
    </w:r>
    <w:r>
      <w:rPr>
        <w:rStyle w:val="PageNumber"/>
      </w:rPr>
      <w:fldChar w:fldCharType="end"/>
    </w:r>
  </w:p>
  <w:p w14:paraId="73D82934" w14:textId="77777777" w:rsidR="00570249" w:rsidRDefault="00570249" w:rsidP="005702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C8012" w14:textId="77777777" w:rsidR="000872A0" w:rsidRDefault="000872A0" w:rsidP="00BC5ACE">
      <w:r>
        <w:separator/>
      </w:r>
    </w:p>
  </w:footnote>
  <w:footnote w:type="continuationSeparator" w:id="0">
    <w:p w14:paraId="6310B19F" w14:textId="77777777" w:rsidR="000872A0" w:rsidRDefault="000872A0" w:rsidP="00BC5ACE">
      <w:r>
        <w:continuationSeparator/>
      </w:r>
    </w:p>
  </w:footnote>
  <w:footnote w:id="1">
    <w:p w14:paraId="392C6FB2" w14:textId="77777777" w:rsidR="000872A0" w:rsidRPr="000654F6" w:rsidRDefault="000872A0" w:rsidP="00625A26">
      <w:pPr>
        <w:pStyle w:val="FootnoteText"/>
        <w:rPr>
          <w:rFonts w:ascii="Garamond" w:hAnsi="Garamond"/>
          <w:sz w:val="20"/>
          <w:szCs w:val="20"/>
          <w:lang w:val="en-US"/>
        </w:rPr>
      </w:pPr>
      <w:r w:rsidRPr="000654F6">
        <w:rPr>
          <w:rStyle w:val="FootnoteReference"/>
          <w:sz w:val="20"/>
          <w:szCs w:val="20"/>
        </w:rPr>
        <w:footnoteRef/>
      </w:r>
      <w:r w:rsidRPr="000654F6">
        <w:rPr>
          <w:sz w:val="20"/>
          <w:szCs w:val="20"/>
        </w:rPr>
        <w:t xml:space="preserve"> </w:t>
      </w:r>
      <w:r w:rsidRPr="000654F6">
        <w:rPr>
          <w:rFonts w:ascii="Garamond" w:hAnsi="Garamond"/>
          <w:sz w:val="20"/>
          <w:szCs w:val="20"/>
        </w:rPr>
        <w:t>The main exception to this global trend is the UK’s DFID which has managed to grow substantially in both size and autonomy in recent years.</w:t>
      </w:r>
    </w:p>
  </w:footnote>
  <w:footnote w:id="2">
    <w:p w14:paraId="2AA6AA4E" w14:textId="77777777" w:rsidR="00DF1286" w:rsidRPr="000654F6" w:rsidRDefault="00DF1286" w:rsidP="00DF1286">
      <w:pPr>
        <w:pStyle w:val="FootnoteText"/>
        <w:rPr>
          <w:rFonts w:ascii="Garamond" w:hAnsi="Garamond"/>
          <w:sz w:val="20"/>
          <w:szCs w:val="20"/>
          <w:lang w:val="en-US"/>
        </w:rPr>
      </w:pPr>
      <w:r w:rsidRPr="000654F6">
        <w:rPr>
          <w:rStyle w:val="FootnoteReference"/>
          <w:rFonts w:ascii="Garamond" w:hAnsi="Garamond"/>
          <w:sz w:val="20"/>
          <w:szCs w:val="20"/>
        </w:rPr>
        <w:footnoteRef/>
      </w:r>
      <w:r w:rsidRPr="000654F6">
        <w:rPr>
          <w:rFonts w:ascii="Garamond" w:hAnsi="Garamond"/>
          <w:sz w:val="20"/>
          <w:szCs w:val="20"/>
        </w:rPr>
        <w:t xml:space="preserve"> </w:t>
      </w:r>
      <w:r w:rsidRPr="000654F6">
        <w:rPr>
          <w:rFonts w:ascii="Garamond" w:hAnsi="Garamond"/>
          <w:sz w:val="20"/>
          <w:szCs w:val="20"/>
          <w:lang w:val="en-US"/>
        </w:rPr>
        <w:t xml:space="preserve">The data is drawn from a larger book length historical study of </w:t>
      </w:r>
      <w:proofErr w:type="spellStart"/>
      <w:r w:rsidRPr="000654F6">
        <w:rPr>
          <w:rFonts w:ascii="Garamond" w:hAnsi="Garamond"/>
          <w:sz w:val="20"/>
          <w:szCs w:val="20"/>
          <w:lang w:val="en-US"/>
        </w:rPr>
        <w:t>AusAID</w:t>
      </w:r>
      <w:proofErr w:type="spellEnd"/>
      <w:r w:rsidRPr="000654F6">
        <w:rPr>
          <w:rFonts w:ascii="Garamond" w:hAnsi="Garamond"/>
          <w:sz w:val="20"/>
          <w:szCs w:val="20"/>
          <w:lang w:val="en-US"/>
        </w:rPr>
        <w:t xml:space="preserve"> and its predecessors</w:t>
      </w:r>
      <w:r>
        <w:rPr>
          <w:rFonts w:ascii="Garamond" w:hAnsi="Garamond"/>
          <w:sz w:val="20"/>
          <w:szCs w:val="20"/>
          <w:lang w:val="en-US"/>
        </w:rPr>
        <w:t xml:space="preserve"> (see Corbett, forthcoming)</w:t>
      </w:r>
      <w:r w:rsidRPr="000654F6">
        <w:rPr>
          <w:rFonts w:ascii="Garamond" w:hAnsi="Garamond"/>
          <w:sz w:val="20"/>
          <w:szCs w:val="20"/>
          <w:lang w:val="en-US"/>
        </w:rPr>
        <w:t xml:space="preserve">. </w:t>
      </w:r>
    </w:p>
  </w:footnote>
  <w:footnote w:id="3">
    <w:p w14:paraId="5FD1F8B3" w14:textId="22CA9A1F" w:rsidR="000872A0" w:rsidRPr="0027650D" w:rsidRDefault="000872A0">
      <w:pPr>
        <w:pStyle w:val="FootnoteText"/>
        <w:rPr>
          <w:lang w:val="en-US"/>
        </w:rPr>
      </w:pPr>
      <w:r w:rsidRPr="000654F6">
        <w:rPr>
          <w:rStyle w:val="FootnoteReference"/>
          <w:rFonts w:ascii="Garamond" w:hAnsi="Garamond"/>
          <w:sz w:val="20"/>
          <w:szCs w:val="20"/>
        </w:rPr>
        <w:footnoteRef/>
      </w:r>
      <w:r w:rsidRPr="000654F6">
        <w:rPr>
          <w:rFonts w:ascii="Garamond" w:hAnsi="Garamond"/>
          <w:sz w:val="20"/>
          <w:szCs w:val="20"/>
        </w:rPr>
        <w:t xml:space="preserve"> Interviews were conducted on the agreement that we would supress the identity of the interviewees and so the case is constructed in such a way as not to use any names. The source of our evidence in general terms – agency administrators, politicians, senior bureaucrats from other departments – is clearly delineated throughout, however. In all instances we have sought to corroborate oral testimony with official documents and other archival material.</w:t>
      </w:r>
      <w:r w:rsidRPr="005A160B">
        <w:rPr>
          <w:rFonts w:ascii="Garamond" w:hAnsi="Garamond"/>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27BD0"/>
    <w:multiLevelType w:val="hybridMultilevel"/>
    <w:tmpl w:val="9B162DD2"/>
    <w:lvl w:ilvl="0" w:tplc="936E8E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7D073E9"/>
    <w:multiLevelType w:val="hybridMultilevel"/>
    <w:tmpl w:val="24A2B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D27DCD"/>
    <w:multiLevelType w:val="hybridMultilevel"/>
    <w:tmpl w:val="24A2B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515637"/>
    <w:multiLevelType w:val="hybridMultilevel"/>
    <w:tmpl w:val="24A2B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ACE"/>
    <w:rsid w:val="00010FCE"/>
    <w:rsid w:val="00011F13"/>
    <w:rsid w:val="00014B29"/>
    <w:rsid w:val="00015B12"/>
    <w:rsid w:val="000216AB"/>
    <w:rsid w:val="00033674"/>
    <w:rsid w:val="00043FCF"/>
    <w:rsid w:val="000472F5"/>
    <w:rsid w:val="00062257"/>
    <w:rsid w:val="00063649"/>
    <w:rsid w:val="000654F6"/>
    <w:rsid w:val="00074EF4"/>
    <w:rsid w:val="00075DFA"/>
    <w:rsid w:val="000801EE"/>
    <w:rsid w:val="0008340A"/>
    <w:rsid w:val="00084EC8"/>
    <w:rsid w:val="000872A0"/>
    <w:rsid w:val="00091149"/>
    <w:rsid w:val="000915AA"/>
    <w:rsid w:val="000A776B"/>
    <w:rsid w:val="000C06C0"/>
    <w:rsid w:val="000D62B5"/>
    <w:rsid w:val="000E29CA"/>
    <w:rsid w:val="000E4B1B"/>
    <w:rsid w:val="000E5694"/>
    <w:rsid w:val="000F4F38"/>
    <w:rsid w:val="00116B39"/>
    <w:rsid w:val="001172F4"/>
    <w:rsid w:val="001179CF"/>
    <w:rsid w:val="00124CB9"/>
    <w:rsid w:val="00132D81"/>
    <w:rsid w:val="00134548"/>
    <w:rsid w:val="00141F52"/>
    <w:rsid w:val="00150D5E"/>
    <w:rsid w:val="00162A5D"/>
    <w:rsid w:val="00173C00"/>
    <w:rsid w:val="0017781B"/>
    <w:rsid w:val="00181752"/>
    <w:rsid w:val="00197291"/>
    <w:rsid w:val="001A39DC"/>
    <w:rsid w:val="001A3FE5"/>
    <w:rsid w:val="001A4F6C"/>
    <w:rsid w:val="001A5E98"/>
    <w:rsid w:val="001B1E56"/>
    <w:rsid w:val="001C4755"/>
    <w:rsid w:val="001D1C41"/>
    <w:rsid w:val="001D4493"/>
    <w:rsid w:val="001D4810"/>
    <w:rsid w:val="001F2C27"/>
    <w:rsid w:val="001F6031"/>
    <w:rsid w:val="002029ED"/>
    <w:rsid w:val="002162B5"/>
    <w:rsid w:val="002173DC"/>
    <w:rsid w:val="002176C5"/>
    <w:rsid w:val="00223BED"/>
    <w:rsid w:val="00223CC7"/>
    <w:rsid w:val="00226099"/>
    <w:rsid w:val="00267A42"/>
    <w:rsid w:val="00272E35"/>
    <w:rsid w:val="00273A05"/>
    <w:rsid w:val="0027650D"/>
    <w:rsid w:val="002A622C"/>
    <w:rsid w:val="002A7DFA"/>
    <w:rsid w:val="002B5132"/>
    <w:rsid w:val="002C0B68"/>
    <w:rsid w:val="002C6CAD"/>
    <w:rsid w:val="002C7858"/>
    <w:rsid w:val="002D39E2"/>
    <w:rsid w:val="002D3ABF"/>
    <w:rsid w:val="002D5C54"/>
    <w:rsid w:val="002D7099"/>
    <w:rsid w:val="002F1B3F"/>
    <w:rsid w:val="002F7205"/>
    <w:rsid w:val="002F7B02"/>
    <w:rsid w:val="00307752"/>
    <w:rsid w:val="00313793"/>
    <w:rsid w:val="003147A5"/>
    <w:rsid w:val="00320353"/>
    <w:rsid w:val="003207B1"/>
    <w:rsid w:val="00334009"/>
    <w:rsid w:val="00337D7F"/>
    <w:rsid w:val="00340EAC"/>
    <w:rsid w:val="003545B9"/>
    <w:rsid w:val="003607EC"/>
    <w:rsid w:val="003723CD"/>
    <w:rsid w:val="00384F18"/>
    <w:rsid w:val="00390FB4"/>
    <w:rsid w:val="00391909"/>
    <w:rsid w:val="003A2873"/>
    <w:rsid w:val="003A3C33"/>
    <w:rsid w:val="003B7294"/>
    <w:rsid w:val="003B7A53"/>
    <w:rsid w:val="003C1E4E"/>
    <w:rsid w:val="003C645F"/>
    <w:rsid w:val="003E1278"/>
    <w:rsid w:val="003E1C1D"/>
    <w:rsid w:val="003E7362"/>
    <w:rsid w:val="003F0667"/>
    <w:rsid w:val="003F6ED9"/>
    <w:rsid w:val="00401B02"/>
    <w:rsid w:val="00402387"/>
    <w:rsid w:val="00404219"/>
    <w:rsid w:val="0040506A"/>
    <w:rsid w:val="004179A9"/>
    <w:rsid w:val="004358DB"/>
    <w:rsid w:val="00442946"/>
    <w:rsid w:val="00445242"/>
    <w:rsid w:val="00447417"/>
    <w:rsid w:val="00452834"/>
    <w:rsid w:val="004541AA"/>
    <w:rsid w:val="004551FD"/>
    <w:rsid w:val="004659BA"/>
    <w:rsid w:val="0048667F"/>
    <w:rsid w:val="004A2528"/>
    <w:rsid w:val="004B0DD5"/>
    <w:rsid w:val="004B5869"/>
    <w:rsid w:val="004C55FB"/>
    <w:rsid w:val="004E69B3"/>
    <w:rsid w:val="004E73EC"/>
    <w:rsid w:val="004E7497"/>
    <w:rsid w:val="00501283"/>
    <w:rsid w:val="00502DD6"/>
    <w:rsid w:val="00512AB2"/>
    <w:rsid w:val="00514A11"/>
    <w:rsid w:val="00534B79"/>
    <w:rsid w:val="00537508"/>
    <w:rsid w:val="00540F23"/>
    <w:rsid w:val="00541A78"/>
    <w:rsid w:val="005467DA"/>
    <w:rsid w:val="005468C4"/>
    <w:rsid w:val="005653A5"/>
    <w:rsid w:val="00570249"/>
    <w:rsid w:val="005714C2"/>
    <w:rsid w:val="0058098E"/>
    <w:rsid w:val="00582E68"/>
    <w:rsid w:val="00591016"/>
    <w:rsid w:val="00592E2F"/>
    <w:rsid w:val="005A0641"/>
    <w:rsid w:val="005A19EC"/>
    <w:rsid w:val="005A4A00"/>
    <w:rsid w:val="005A7D8F"/>
    <w:rsid w:val="005B0EB5"/>
    <w:rsid w:val="005B4224"/>
    <w:rsid w:val="005D6712"/>
    <w:rsid w:val="005E0623"/>
    <w:rsid w:val="005E48CB"/>
    <w:rsid w:val="005F2049"/>
    <w:rsid w:val="005F3AF1"/>
    <w:rsid w:val="0060715F"/>
    <w:rsid w:val="00607FFB"/>
    <w:rsid w:val="006172BE"/>
    <w:rsid w:val="006228E1"/>
    <w:rsid w:val="00625A26"/>
    <w:rsid w:val="0063541E"/>
    <w:rsid w:val="0064259D"/>
    <w:rsid w:val="0064432C"/>
    <w:rsid w:val="00645502"/>
    <w:rsid w:val="0065020A"/>
    <w:rsid w:val="006544B5"/>
    <w:rsid w:val="006627AE"/>
    <w:rsid w:val="00675791"/>
    <w:rsid w:val="00682D35"/>
    <w:rsid w:val="00692952"/>
    <w:rsid w:val="006B77E5"/>
    <w:rsid w:val="006C44D6"/>
    <w:rsid w:val="006C4A6B"/>
    <w:rsid w:val="006C6FA0"/>
    <w:rsid w:val="006E355C"/>
    <w:rsid w:val="006F1FA9"/>
    <w:rsid w:val="006F7A49"/>
    <w:rsid w:val="00700A31"/>
    <w:rsid w:val="00702EF6"/>
    <w:rsid w:val="007227C4"/>
    <w:rsid w:val="00731EE3"/>
    <w:rsid w:val="00740C8F"/>
    <w:rsid w:val="00742C19"/>
    <w:rsid w:val="00743A74"/>
    <w:rsid w:val="00750997"/>
    <w:rsid w:val="00757826"/>
    <w:rsid w:val="00766DAD"/>
    <w:rsid w:val="00767167"/>
    <w:rsid w:val="007763BE"/>
    <w:rsid w:val="00784EF6"/>
    <w:rsid w:val="00792E25"/>
    <w:rsid w:val="0079618F"/>
    <w:rsid w:val="007A4113"/>
    <w:rsid w:val="007A42C5"/>
    <w:rsid w:val="007A47AB"/>
    <w:rsid w:val="007B4B58"/>
    <w:rsid w:val="007B7AA9"/>
    <w:rsid w:val="007D3405"/>
    <w:rsid w:val="007D68D7"/>
    <w:rsid w:val="007E4BD4"/>
    <w:rsid w:val="007E4EEE"/>
    <w:rsid w:val="007F3B00"/>
    <w:rsid w:val="007F5D2F"/>
    <w:rsid w:val="00802521"/>
    <w:rsid w:val="008109B8"/>
    <w:rsid w:val="00815A50"/>
    <w:rsid w:val="00826E16"/>
    <w:rsid w:val="008422AC"/>
    <w:rsid w:val="0084318D"/>
    <w:rsid w:val="00845CB9"/>
    <w:rsid w:val="00850D69"/>
    <w:rsid w:val="008522ED"/>
    <w:rsid w:val="0085551D"/>
    <w:rsid w:val="0087459E"/>
    <w:rsid w:val="00887118"/>
    <w:rsid w:val="00894934"/>
    <w:rsid w:val="008A0401"/>
    <w:rsid w:val="008C3E3B"/>
    <w:rsid w:val="008D09BF"/>
    <w:rsid w:val="008D2BB4"/>
    <w:rsid w:val="008E7A1C"/>
    <w:rsid w:val="00905722"/>
    <w:rsid w:val="009115AF"/>
    <w:rsid w:val="00924184"/>
    <w:rsid w:val="009249C7"/>
    <w:rsid w:val="009333C4"/>
    <w:rsid w:val="00940092"/>
    <w:rsid w:val="00942B81"/>
    <w:rsid w:val="009603BF"/>
    <w:rsid w:val="00961CA9"/>
    <w:rsid w:val="00966C65"/>
    <w:rsid w:val="0097144D"/>
    <w:rsid w:val="00972A0B"/>
    <w:rsid w:val="00975F03"/>
    <w:rsid w:val="009835FD"/>
    <w:rsid w:val="0099477F"/>
    <w:rsid w:val="009A3670"/>
    <w:rsid w:val="009A512F"/>
    <w:rsid w:val="009B498C"/>
    <w:rsid w:val="009C3AD3"/>
    <w:rsid w:val="009D375D"/>
    <w:rsid w:val="00A0747F"/>
    <w:rsid w:val="00A21B62"/>
    <w:rsid w:val="00A246E1"/>
    <w:rsid w:val="00A253CE"/>
    <w:rsid w:val="00A266B4"/>
    <w:rsid w:val="00A35F0A"/>
    <w:rsid w:val="00A36515"/>
    <w:rsid w:val="00A61DA0"/>
    <w:rsid w:val="00A71135"/>
    <w:rsid w:val="00A76CE6"/>
    <w:rsid w:val="00A82064"/>
    <w:rsid w:val="00A83DFF"/>
    <w:rsid w:val="00A8595E"/>
    <w:rsid w:val="00A8780A"/>
    <w:rsid w:val="00A9088B"/>
    <w:rsid w:val="00AC0A87"/>
    <w:rsid w:val="00AC0C88"/>
    <w:rsid w:val="00AC3A9B"/>
    <w:rsid w:val="00AC4E4E"/>
    <w:rsid w:val="00AD1B1F"/>
    <w:rsid w:val="00AD2EC3"/>
    <w:rsid w:val="00AE47AB"/>
    <w:rsid w:val="00AE49BC"/>
    <w:rsid w:val="00B0583B"/>
    <w:rsid w:val="00B067D9"/>
    <w:rsid w:val="00B2460E"/>
    <w:rsid w:val="00B24C8F"/>
    <w:rsid w:val="00B33D5F"/>
    <w:rsid w:val="00B40691"/>
    <w:rsid w:val="00B43AD1"/>
    <w:rsid w:val="00B67B5C"/>
    <w:rsid w:val="00B90ADA"/>
    <w:rsid w:val="00B970D7"/>
    <w:rsid w:val="00B979F3"/>
    <w:rsid w:val="00BA1451"/>
    <w:rsid w:val="00BC5ACE"/>
    <w:rsid w:val="00BC60CD"/>
    <w:rsid w:val="00BC7C57"/>
    <w:rsid w:val="00BD05A8"/>
    <w:rsid w:val="00BD085D"/>
    <w:rsid w:val="00BE6942"/>
    <w:rsid w:val="00BE6A94"/>
    <w:rsid w:val="00C055DB"/>
    <w:rsid w:val="00C0688A"/>
    <w:rsid w:val="00C1242F"/>
    <w:rsid w:val="00C24CB6"/>
    <w:rsid w:val="00C333F9"/>
    <w:rsid w:val="00C36516"/>
    <w:rsid w:val="00C4566F"/>
    <w:rsid w:val="00C46C24"/>
    <w:rsid w:val="00C503CD"/>
    <w:rsid w:val="00C50E29"/>
    <w:rsid w:val="00C5197F"/>
    <w:rsid w:val="00C57447"/>
    <w:rsid w:val="00C6463E"/>
    <w:rsid w:val="00C74D6E"/>
    <w:rsid w:val="00C76C63"/>
    <w:rsid w:val="00C77B59"/>
    <w:rsid w:val="00C80075"/>
    <w:rsid w:val="00C9402D"/>
    <w:rsid w:val="00C94240"/>
    <w:rsid w:val="00C944F2"/>
    <w:rsid w:val="00CA0404"/>
    <w:rsid w:val="00CA31CA"/>
    <w:rsid w:val="00CA6AFE"/>
    <w:rsid w:val="00CA79E0"/>
    <w:rsid w:val="00CB4339"/>
    <w:rsid w:val="00CC1069"/>
    <w:rsid w:val="00CC3CF9"/>
    <w:rsid w:val="00CE4F7B"/>
    <w:rsid w:val="00CE623D"/>
    <w:rsid w:val="00CF0EA0"/>
    <w:rsid w:val="00CF0FFD"/>
    <w:rsid w:val="00D00E11"/>
    <w:rsid w:val="00D10F67"/>
    <w:rsid w:val="00D12861"/>
    <w:rsid w:val="00D3060C"/>
    <w:rsid w:val="00D31094"/>
    <w:rsid w:val="00D3370F"/>
    <w:rsid w:val="00D36FEC"/>
    <w:rsid w:val="00D55563"/>
    <w:rsid w:val="00D55A89"/>
    <w:rsid w:val="00D57CD8"/>
    <w:rsid w:val="00D6270C"/>
    <w:rsid w:val="00D6691A"/>
    <w:rsid w:val="00D714E2"/>
    <w:rsid w:val="00D72675"/>
    <w:rsid w:val="00D74083"/>
    <w:rsid w:val="00D741B9"/>
    <w:rsid w:val="00D822CB"/>
    <w:rsid w:val="00D947FE"/>
    <w:rsid w:val="00DB2923"/>
    <w:rsid w:val="00DB376C"/>
    <w:rsid w:val="00DB47D6"/>
    <w:rsid w:val="00DB55EB"/>
    <w:rsid w:val="00DC4463"/>
    <w:rsid w:val="00DD39D3"/>
    <w:rsid w:val="00DE0145"/>
    <w:rsid w:val="00DE4330"/>
    <w:rsid w:val="00DE4D58"/>
    <w:rsid w:val="00DF1286"/>
    <w:rsid w:val="00DF1579"/>
    <w:rsid w:val="00E01C06"/>
    <w:rsid w:val="00E01DFA"/>
    <w:rsid w:val="00E105C9"/>
    <w:rsid w:val="00E220BA"/>
    <w:rsid w:val="00E22F57"/>
    <w:rsid w:val="00E24BE8"/>
    <w:rsid w:val="00E421F4"/>
    <w:rsid w:val="00E43F1A"/>
    <w:rsid w:val="00E522EC"/>
    <w:rsid w:val="00E64E84"/>
    <w:rsid w:val="00E908E2"/>
    <w:rsid w:val="00E9742D"/>
    <w:rsid w:val="00EA0CBF"/>
    <w:rsid w:val="00EA3F4D"/>
    <w:rsid w:val="00EB6B86"/>
    <w:rsid w:val="00EC3536"/>
    <w:rsid w:val="00EC75DD"/>
    <w:rsid w:val="00EF3998"/>
    <w:rsid w:val="00F06717"/>
    <w:rsid w:val="00F12690"/>
    <w:rsid w:val="00F236F4"/>
    <w:rsid w:val="00F36733"/>
    <w:rsid w:val="00F40EF1"/>
    <w:rsid w:val="00F44A70"/>
    <w:rsid w:val="00F5087E"/>
    <w:rsid w:val="00F77267"/>
    <w:rsid w:val="00F80DB6"/>
    <w:rsid w:val="00F84DC8"/>
    <w:rsid w:val="00F91D11"/>
    <w:rsid w:val="00F92468"/>
    <w:rsid w:val="00F93078"/>
    <w:rsid w:val="00F967E7"/>
    <w:rsid w:val="00F97354"/>
    <w:rsid w:val="00FA2F37"/>
    <w:rsid w:val="00FA6889"/>
    <w:rsid w:val="00FB449F"/>
    <w:rsid w:val="00FC61DD"/>
    <w:rsid w:val="00FF0DED"/>
    <w:rsid w:val="00FF1659"/>
    <w:rsid w:val="00FF3539"/>
    <w:rsid w:val="00FF51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F500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CE"/>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C5ACE"/>
  </w:style>
  <w:style w:type="character" w:customStyle="1" w:styleId="FootnoteTextChar">
    <w:name w:val="Footnote Text Char"/>
    <w:basedOn w:val="DefaultParagraphFont"/>
    <w:link w:val="FootnoteText"/>
    <w:uiPriority w:val="99"/>
    <w:rsid w:val="00BC5ACE"/>
    <w:rPr>
      <w:lang w:val="en-AU"/>
    </w:rPr>
  </w:style>
  <w:style w:type="character" w:styleId="FootnoteReference">
    <w:name w:val="footnote reference"/>
    <w:basedOn w:val="DefaultParagraphFont"/>
    <w:uiPriority w:val="99"/>
    <w:unhideWhenUsed/>
    <w:rsid w:val="00BC5ACE"/>
    <w:rPr>
      <w:vertAlign w:val="superscript"/>
    </w:rPr>
  </w:style>
  <w:style w:type="table" w:styleId="TableGrid">
    <w:name w:val="Table Grid"/>
    <w:basedOn w:val="TableNormal"/>
    <w:uiPriority w:val="59"/>
    <w:rsid w:val="00BC5AC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5ACE"/>
    <w:rPr>
      <w:sz w:val="18"/>
      <w:szCs w:val="18"/>
    </w:rPr>
  </w:style>
  <w:style w:type="paragraph" w:styleId="CommentText">
    <w:name w:val="annotation text"/>
    <w:basedOn w:val="Normal"/>
    <w:link w:val="CommentTextChar"/>
    <w:uiPriority w:val="99"/>
    <w:semiHidden/>
    <w:unhideWhenUsed/>
    <w:rsid w:val="00BC5ACE"/>
  </w:style>
  <w:style w:type="character" w:customStyle="1" w:styleId="CommentTextChar">
    <w:name w:val="Comment Text Char"/>
    <w:basedOn w:val="DefaultParagraphFont"/>
    <w:link w:val="CommentText"/>
    <w:uiPriority w:val="99"/>
    <w:semiHidden/>
    <w:rsid w:val="00BC5ACE"/>
    <w:rPr>
      <w:lang w:val="en-AU"/>
    </w:rPr>
  </w:style>
  <w:style w:type="paragraph" w:styleId="CommentSubject">
    <w:name w:val="annotation subject"/>
    <w:basedOn w:val="CommentText"/>
    <w:next w:val="CommentText"/>
    <w:link w:val="CommentSubjectChar"/>
    <w:uiPriority w:val="99"/>
    <w:semiHidden/>
    <w:unhideWhenUsed/>
    <w:rsid w:val="00BC5ACE"/>
    <w:rPr>
      <w:b/>
      <w:bCs/>
      <w:sz w:val="20"/>
      <w:szCs w:val="20"/>
    </w:rPr>
  </w:style>
  <w:style w:type="character" w:customStyle="1" w:styleId="CommentSubjectChar">
    <w:name w:val="Comment Subject Char"/>
    <w:basedOn w:val="CommentTextChar"/>
    <w:link w:val="CommentSubject"/>
    <w:uiPriority w:val="99"/>
    <w:semiHidden/>
    <w:rsid w:val="00BC5ACE"/>
    <w:rPr>
      <w:b/>
      <w:bCs/>
      <w:sz w:val="20"/>
      <w:szCs w:val="20"/>
      <w:lang w:val="en-AU"/>
    </w:rPr>
  </w:style>
  <w:style w:type="paragraph" w:styleId="BalloonText">
    <w:name w:val="Balloon Text"/>
    <w:basedOn w:val="Normal"/>
    <w:link w:val="BalloonTextChar"/>
    <w:uiPriority w:val="99"/>
    <w:semiHidden/>
    <w:unhideWhenUsed/>
    <w:rsid w:val="00BC5A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5ACE"/>
    <w:rPr>
      <w:rFonts w:ascii="Lucida Grande" w:hAnsi="Lucida Grande" w:cs="Lucida Grande"/>
      <w:sz w:val="18"/>
      <w:szCs w:val="18"/>
      <w:lang w:val="en-AU"/>
    </w:rPr>
  </w:style>
  <w:style w:type="paragraph" w:styleId="ListParagraph">
    <w:name w:val="List Paragraph"/>
    <w:basedOn w:val="Normal"/>
    <w:uiPriority w:val="34"/>
    <w:qFormat/>
    <w:rsid w:val="00BC5ACE"/>
    <w:pPr>
      <w:ind w:left="720"/>
      <w:contextualSpacing/>
    </w:pPr>
  </w:style>
  <w:style w:type="paragraph" w:styleId="EndnoteText">
    <w:name w:val="endnote text"/>
    <w:basedOn w:val="Normal"/>
    <w:link w:val="EndnoteTextChar"/>
    <w:uiPriority w:val="99"/>
    <w:unhideWhenUsed/>
    <w:rsid w:val="00BC5ACE"/>
  </w:style>
  <w:style w:type="character" w:customStyle="1" w:styleId="EndnoteTextChar">
    <w:name w:val="Endnote Text Char"/>
    <w:basedOn w:val="DefaultParagraphFont"/>
    <w:link w:val="EndnoteText"/>
    <w:uiPriority w:val="99"/>
    <w:rsid w:val="00BC5ACE"/>
    <w:rPr>
      <w:lang w:val="en-AU"/>
    </w:rPr>
  </w:style>
  <w:style w:type="character" w:styleId="EndnoteReference">
    <w:name w:val="endnote reference"/>
    <w:basedOn w:val="DefaultParagraphFont"/>
    <w:uiPriority w:val="99"/>
    <w:unhideWhenUsed/>
    <w:rsid w:val="00BC5ACE"/>
    <w:rPr>
      <w:vertAlign w:val="superscript"/>
    </w:rPr>
  </w:style>
  <w:style w:type="paragraph" w:customStyle="1" w:styleId="EndNoteBibliographyTitle">
    <w:name w:val="EndNote Bibliography Title"/>
    <w:basedOn w:val="Normal"/>
    <w:rsid w:val="00BC5ACE"/>
    <w:pPr>
      <w:jc w:val="center"/>
    </w:pPr>
    <w:rPr>
      <w:rFonts w:ascii="Garamond" w:hAnsi="Garamond"/>
      <w:lang w:val="en-US"/>
    </w:rPr>
  </w:style>
  <w:style w:type="paragraph" w:customStyle="1" w:styleId="EndNoteBibliography">
    <w:name w:val="EndNote Bibliography"/>
    <w:basedOn w:val="Normal"/>
    <w:rsid w:val="00BC5ACE"/>
    <w:rPr>
      <w:rFonts w:ascii="Garamond" w:hAnsi="Garamond"/>
      <w:lang w:val="en-US"/>
    </w:rPr>
  </w:style>
  <w:style w:type="character" w:customStyle="1" w:styleId="apple-converted-space">
    <w:name w:val="apple-converted-space"/>
    <w:basedOn w:val="DefaultParagraphFont"/>
    <w:rsid w:val="00BC5ACE"/>
  </w:style>
  <w:style w:type="character" w:styleId="Emphasis">
    <w:name w:val="Emphasis"/>
    <w:basedOn w:val="DefaultParagraphFont"/>
    <w:uiPriority w:val="20"/>
    <w:qFormat/>
    <w:rsid w:val="00BC5ACE"/>
    <w:rPr>
      <w:i/>
      <w:iCs/>
    </w:rPr>
  </w:style>
  <w:style w:type="paragraph" w:styleId="Revision">
    <w:name w:val="Revision"/>
    <w:hidden/>
    <w:uiPriority w:val="99"/>
    <w:semiHidden/>
    <w:rsid w:val="0027650D"/>
    <w:rPr>
      <w:lang w:val="en-AU"/>
    </w:rPr>
  </w:style>
  <w:style w:type="paragraph" w:styleId="Footer">
    <w:name w:val="footer"/>
    <w:basedOn w:val="Normal"/>
    <w:link w:val="FooterChar"/>
    <w:uiPriority w:val="99"/>
    <w:unhideWhenUsed/>
    <w:rsid w:val="00570249"/>
    <w:pPr>
      <w:tabs>
        <w:tab w:val="center" w:pos="4320"/>
        <w:tab w:val="right" w:pos="8640"/>
      </w:tabs>
    </w:pPr>
  </w:style>
  <w:style w:type="character" w:customStyle="1" w:styleId="FooterChar">
    <w:name w:val="Footer Char"/>
    <w:basedOn w:val="DefaultParagraphFont"/>
    <w:link w:val="Footer"/>
    <w:uiPriority w:val="99"/>
    <w:rsid w:val="00570249"/>
    <w:rPr>
      <w:lang w:val="en-AU"/>
    </w:rPr>
  </w:style>
  <w:style w:type="character" w:styleId="PageNumber">
    <w:name w:val="page number"/>
    <w:basedOn w:val="DefaultParagraphFont"/>
    <w:uiPriority w:val="99"/>
    <w:semiHidden/>
    <w:unhideWhenUsed/>
    <w:rsid w:val="005702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CE"/>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C5ACE"/>
  </w:style>
  <w:style w:type="character" w:customStyle="1" w:styleId="FootnoteTextChar">
    <w:name w:val="Footnote Text Char"/>
    <w:basedOn w:val="DefaultParagraphFont"/>
    <w:link w:val="FootnoteText"/>
    <w:uiPriority w:val="99"/>
    <w:rsid w:val="00BC5ACE"/>
    <w:rPr>
      <w:lang w:val="en-AU"/>
    </w:rPr>
  </w:style>
  <w:style w:type="character" w:styleId="FootnoteReference">
    <w:name w:val="footnote reference"/>
    <w:basedOn w:val="DefaultParagraphFont"/>
    <w:uiPriority w:val="99"/>
    <w:unhideWhenUsed/>
    <w:rsid w:val="00BC5ACE"/>
    <w:rPr>
      <w:vertAlign w:val="superscript"/>
    </w:rPr>
  </w:style>
  <w:style w:type="table" w:styleId="TableGrid">
    <w:name w:val="Table Grid"/>
    <w:basedOn w:val="TableNormal"/>
    <w:uiPriority w:val="59"/>
    <w:rsid w:val="00BC5AC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5ACE"/>
    <w:rPr>
      <w:sz w:val="18"/>
      <w:szCs w:val="18"/>
    </w:rPr>
  </w:style>
  <w:style w:type="paragraph" w:styleId="CommentText">
    <w:name w:val="annotation text"/>
    <w:basedOn w:val="Normal"/>
    <w:link w:val="CommentTextChar"/>
    <w:uiPriority w:val="99"/>
    <w:semiHidden/>
    <w:unhideWhenUsed/>
    <w:rsid w:val="00BC5ACE"/>
  </w:style>
  <w:style w:type="character" w:customStyle="1" w:styleId="CommentTextChar">
    <w:name w:val="Comment Text Char"/>
    <w:basedOn w:val="DefaultParagraphFont"/>
    <w:link w:val="CommentText"/>
    <w:uiPriority w:val="99"/>
    <w:semiHidden/>
    <w:rsid w:val="00BC5ACE"/>
    <w:rPr>
      <w:lang w:val="en-AU"/>
    </w:rPr>
  </w:style>
  <w:style w:type="paragraph" w:styleId="CommentSubject">
    <w:name w:val="annotation subject"/>
    <w:basedOn w:val="CommentText"/>
    <w:next w:val="CommentText"/>
    <w:link w:val="CommentSubjectChar"/>
    <w:uiPriority w:val="99"/>
    <w:semiHidden/>
    <w:unhideWhenUsed/>
    <w:rsid w:val="00BC5ACE"/>
    <w:rPr>
      <w:b/>
      <w:bCs/>
      <w:sz w:val="20"/>
      <w:szCs w:val="20"/>
    </w:rPr>
  </w:style>
  <w:style w:type="character" w:customStyle="1" w:styleId="CommentSubjectChar">
    <w:name w:val="Comment Subject Char"/>
    <w:basedOn w:val="CommentTextChar"/>
    <w:link w:val="CommentSubject"/>
    <w:uiPriority w:val="99"/>
    <w:semiHidden/>
    <w:rsid w:val="00BC5ACE"/>
    <w:rPr>
      <w:b/>
      <w:bCs/>
      <w:sz w:val="20"/>
      <w:szCs w:val="20"/>
      <w:lang w:val="en-AU"/>
    </w:rPr>
  </w:style>
  <w:style w:type="paragraph" w:styleId="BalloonText">
    <w:name w:val="Balloon Text"/>
    <w:basedOn w:val="Normal"/>
    <w:link w:val="BalloonTextChar"/>
    <w:uiPriority w:val="99"/>
    <w:semiHidden/>
    <w:unhideWhenUsed/>
    <w:rsid w:val="00BC5A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5ACE"/>
    <w:rPr>
      <w:rFonts w:ascii="Lucida Grande" w:hAnsi="Lucida Grande" w:cs="Lucida Grande"/>
      <w:sz w:val="18"/>
      <w:szCs w:val="18"/>
      <w:lang w:val="en-AU"/>
    </w:rPr>
  </w:style>
  <w:style w:type="paragraph" w:styleId="ListParagraph">
    <w:name w:val="List Paragraph"/>
    <w:basedOn w:val="Normal"/>
    <w:uiPriority w:val="34"/>
    <w:qFormat/>
    <w:rsid w:val="00BC5ACE"/>
    <w:pPr>
      <w:ind w:left="720"/>
      <w:contextualSpacing/>
    </w:pPr>
  </w:style>
  <w:style w:type="paragraph" w:styleId="EndnoteText">
    <w:name w:val="endnote text"/>
    <w:basedOn w:val="Normal"/>
    <w:link w:val="EndnoteTextChar"/>
    <w:uiPriority w:val="99"/>
    <w:unhideWhenUsed/>
    <w:rsid w:val="00BC5ACE"/>
  </w:style>
  <w:style w:type="character" w:customStyle="1" w:styleId="EndnoteTextChar">
    <w:name w:val="Endnote Text Char"/>
    <w:basedOn w:val="DefaultParagraphFont"/>
    <w:link w:val="EndnoteText"/>
    <w:uiPriority w:val="99"/>
    <w:rsid w:val="00BC5ACE"/>
    <w:rPr>
      <w:lang w:val="en-AU"/>
    </w:rPr>
  </w:style>
  <w:style w:type="character" w:styleId="EndnoteReference">
    <w:name w:val="endnote reference"/>
    <w:basedOn w:val="DefaultParagraphFont"/>
    <w:uiPriority w:val="99"/>
    <w:unhideWhenUsed/>
    <w:rsid w:val="00BC5ACE"/>
    <w:rPr>
      <w:vertAlign w:val="superscript"/>
    </w:rPr>
  </w:style>
  <w:style w:type="paragraph" w:customStyle="1" w:styleId="EndNoteBibliographyTitle">
    <w:name w:val="EndNote Bibliography Title"/>
    <w:basedOn w:val="Normal"/>
    <w:rsid w:val="00BC5ACE"/>
    <w:pPr>
      <w:jc w:val="center"/>
    </w:pPr>
    <w:rPr>
      <w:rFonts w:ascii="Garamond" w:hAnsi="Garamond"/>
      <w:lang w:val="en-US"/>
    </w:rPr>
  </w:style>
  <w:style w:type="paragraph" w:customStyle="1" w:styleId="EndNoteBibliography">
    <w:name w:val="EndNote Bibliography"/>
    <w:basedOn w:val="Normal"/>
    <w:rsid w:val="00BC5ACE"/>
    <w:rPr>
      <w:rFonts w:ascii="Garamond" w:hAnsi="Garamond"/>
      <w:lang w:val="en-US"/>
    </w:rPr>
  </w:style>
  <w:style w:type="character" w:customStyle="1" w:styleId="apple-converted-space">
    <w:name w:val="apple-converted-space"/>
    <w:basedOn w:val="DefaultParagraphFont"/>
    <w:rsid w:val="00BC5ACE"/>
  </w:style>
  <w:style w:type="character" w:styleId="Emphasis">
    <w:name w:val="Emphasis"/>
    <w:basedOn w:val="DefaultParagraphFont"/>
    <w:uiPriority w:val="20"/>
    <w:qFormat/>
    <w:rsid w:val="00BC5ACE"/>
    <w:rPr>
      <w:i/>
      <w:iCs/>
    </w:rPr>
  </w:style>
  <w:style w:type="paragraph" w:styleId="Revision">
    <w:name w:val="Revision"/>
    <w:hidden/>
    <w:uiPriority w:val="99"/>
    <w:semiHidden/>
    <w:rsid w:val="0027650D"/>
    <w:rPr>
      <w:lang w:val="en-AU"/>
    </w:rPr>
  </w:style>
  <w:style w:type="paragraph" w:styleId="Footer">
    <w:name w:val="footer"/>
    <w:basedOn w:val="Normal"/>
    <w:link w:val="FooterChar"/>
    <w:uiPriority w:val="99"/>
    <w:unhideWhenUsed/>
    <w:rsid w:val="00570249"/>
    <w:pPr>
      <w:tabs>
        <w:tab w:val="center" w:pos="4320"/>
        <w:tab w:val="right" w:pos="8640"/>
      </w:tabs>
    </w:pPr>
  </w:style>
  <w:style w:type="character" w:customStyle="1" w:styleId="FooterChar">
    <w:name w:val="Footer Char"/>
    <w:basedOn w:val="DefaultParagraphFont"/>
    <w:link w:val="Footer"/>
    <w:uiPriority w:val="99"/>
    <w:rsid w:val="00570249"/>
    <w:rPr>
      <w:lang w:val="en-AU"/>
    </w:rPr>
  </w:style>
  <w:style w:type="character" w:styleId="PageNumber">
    <w:name w:val="page number"/>
    <w:basedOn w:val="DefaultParagraphFont"/>
    <w:uiPriority w:val="99"/>
    <w:semiHidden/>
    <w:unhideWhenUsed/>
    <w:rsid w:val="00570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217">
      <w:bodyDiv w:val="1"/>
      <w:marLeft w:val="0"/>
      <w:marRight w:val="0"/>
      <w:marTop w:val="0"/>
      <w:marBottom w:val="0"/>
      <w:divBdr>
        <w:top w:val="none" w:sz="0" w:space="0" w:color="auto"/>
        <w:left w:val="none" w:sz="0" w:space="0" w:color="auto"/>
        <w:bottom w:val="none" w:sz="0" w:space="0" w:color="auto"/>
        <w:right w:val="none" w:sz="0" w:space="0" w:color="auto"/>
      </w:divBdr>
    </w:div>
    <w:div w:id="58021466">
      <w:bodyDiv w:val="1"/>
      <w:marLeft w:val="0"/>
      <w:marRight w:val="0"/>
      <w:marTop w:val="0"/>
      <w:marBottom w:val="0"/>
      <w:divBdr>
        <w:top w:val="none" w:sz="0" w:space="0" w:color="auto"/>
        <w:left w:val="none" w:sz="0" w:space="0" w:color="auto"/>
        <w:bottom w:val="none" w:sz="0" w:space="0" w:color="auto"/>
        <w:right w:val="none" w:sz="0" w:space="0" w:color="auto"/>
      </w:divBdr>
    </w:div>
    <w:div w:id="80882566">
      <w:bodyDiv w:val="1"/>
      <w:marLeft w:val="0"/>
      <w:marRight w:val="0"/>
      <w:marTop w:val="0"/>
      <w:marBottom w:val="0"/>
      <w:divBdr>
        <w:top w:val="none" w:sz="0" w:space="0" w:color="auto"/>
        <w:left w:val="none" w:sz="0" w:space="0" w:color="auto"/>
        <w:bottom w:val="none" w:sz="0" w:space="0" w:color="auto"/>
        <w:right w:val="none" w:sz="0" w:space="0" w:color="auto"/>
      </w:divBdr>
    </w:div>
    <w:div w:id="316343858">
      <w:bodyDiv w:val="1"/>
      <w:marLeft w:val="0"/>
      <w:marRight w:val="0"/>
      <w:marTop w:val="0"/>
      <w:marBottom w:val="0"/>
      <w:divBdr>
        <w:top w:val="none" w:sz="0" w:space="0" w:color="auto"/>
        <w:left w:val="none" w:sz="0" w:space="0" w:color="auto"/>
        <w:bottom w:val="none" w:sz="0" w:space="0" w:color="auto"/>
        <w:right w:val="none" w:sz="0" w:space="0" w:color="auto"/>
      </w:divBdr>
    </w:div>
    <w:div w:id="382292560">
      <w:bodyDiv w:val="1"/>
      <w:marLeft w:val="0"/>
      <w:marRight w:val="0"/>
      <w:marTop w:val="0"/>
      <w:marBottom w:val="0"/>
      <w:divBdr>
        <w:top w:val="none" w:sz="0" w:space="0" w:color="auto"/>
        <w:left w:val="none" w:sz="0" w:space="0" w:color="auto"/>
        <w:bottom w:val="none" w:sz="0" w:space="0" w:color="auto"/>
        <w:right w:val="none" w:sz="0" w:space="0" w:color="auto"/>
      </w:divBdr>
    </w:div>
    <w:div w:id="407386628">
      <w:bodyDiv w:val="1"/>
      <w:marLeft w:val="0"/>
      <w:marRight w:val="0"/>
      <w:marTop w:val="0"/>
      <w:marBottom w:val="0"/>
      <w:divBdr>
        <w:top w:val="none" w:sz="0" w:space="0" w:color="auto"/>
        <w:left w:val="none" w:sz="0" w:space="0" w:color="auto"/>
        <w:bottom w:val="none" w:sz="0" w:space="0" w:color="auto"/>
        <w:right w:val="none" w:sz="0" w:space="0" w:color="auto"/>
      </w:divBdr>
    </w:div>
    <w:div w:id="816149031">
      <w:bodyDiv w:val="1"/>
      <w:marLeft w:val="0"/>
      <w:marRight w:val="0"/>
      <w:marTop w:val="0"/>
      <w:marBottom w:val="0"/>
      <w:divBdr>
        <w:top w:val="none" w:sz="0" w:space="0" w:color="auto"/>
        <w:left w:val="none" w:sz="0" w:space="0" w:color="auto"/>
        <w:bottom w:val="none" w:sz="0" w:space="0" w:color="auto"/>
        <w:right w:val="none" w:sz="0" w:space="0" w:color="auto"/>
      </w:divBdr>
    </w:div>
    <w:div w:id="886798226">
      <w:bodyDiv w:val="1"/>
      <w:marLeft w:val="0"/>
      <w:marRight w:val="0"/>
      <w:marTop w:val="0"/>
      <w:marBottom w:val="0"/>
      <w:divBdr>
        <w:top w:val="none" w:sz="0" w:space="0" w:color="auto"/>
        <w:left w:val="none" w:sz="0" w:space="0" w:color="auto"/>
        <w:bottom w:val="none" w:sz="0" w:space="0" w:color="auto"/>
        <w:right w:val="none" w:sz="0" w:space="0" w:color="auto"/>
      </w:divBdr>
    </w:div>
    <w:div w:id="919371529">
      <w:bodyDiv w:val="1"/>
      <w:marLeft w:val="0"/>
      <w:marRight w:val="0"/>
      <w:marTop w:val="0"/>
      <w:marBottom w:val="0"/>
      <w:divBdr>
        <w:top w:val="none" w:sz="0" w:space="0" w:color="auto"/>
        <w:left w:val="none" w:sz="0" w:space="0" w:color="auto"/>
        <w:bottom w:val="none" w:sz="0" w:space="0" w:color="auto"/>
        <w:right w:val="none" w:sz="0" w:space="0" w:color="auto"/>
      </w:divBdr>
    </w:div>
    <w:div w:id="1114399420">
      <w:bodyDiv w:val="1"/>
      <w:marLeft w:val="0"/>
      <w:marRight w:val="0"/>
      <w:marTop w:val="0"/>
      <w:marBottom w:val="0"/>
      <w:divBdr>
        <w:top w:val="none" w:sz="0" w:space="0" w:color="auto"/>
        <w:left w:val="none" w:sz="0" w:space="0" w:color="auto"/>
        <w:bottom w:val="none" w:sz="0" w:space="0" w:color="auto"/>
        <w:right w:val="none" w:sz="0" w:space="0" w:color="auto"/>
      </w:divBdr>
    </w:div>
    <w:div w:id="1130174198">
      <w:bodyDiv w:val="1"/>
      <w:marLeft w:val="0"/>
      <w:marRight w:val="0"/>
      <w:marTop w:val="0"/>
      <w:marBottom w:val="0"/>
      <w:divBdr>
        <w:top w:val="none" w:sz="0" w:space="0" w:color="auto"/>
        <w:left w:val="none" w:sz="0" w:space="0" w:color="auto"/>
        <w:bottom w:val="none" w:sz="0" w:space="0" w:color="auto"/>
        <w:right w:val="none" w:sz="0" w:space="0" w:color="auto"/>
      </w:divBdr>
    </w:div>
    <w:div w:id="1285651511">
      <w:bodyDiv w:val="1"/>
      <w:marLeft w:val="0"/>
      <w:marRight w:val="0"/>
      <w:marTop w:val="0"/>
      <w:marBottom w:val="0"/>
      <w:divBdr>
        <w:top w:val="none" w:sz="0" w:space="0" w:color="auto"/>
        <w:left w:val="none" w:sz="0" w:space="0" w:color="auto"/>
        <w:bottom w:val="none" w:sz="0" w:space="0" w:color="auto"/>
        <w:right w:val="none" w:sz="0" w:space="0" w:color="auto"/>
      </w:divBdr>
    </w:div>
    <w:div w:id="1409306208">
      <w:bodyDiv w:val="1"/>
      <w:marLeft w:val="0"/>
      <w:marRight w:val="0"/>
      <w:marTop w:val="0"/>
      <w:marBottom w:val="0"/>
      <w:divBdr>
        <w:top w:val="none" w:sz="0" w:space="0" w:color="auto"/>
        <w:left w:val="none" w:sz="0" w:space="0" w:color="auto"/>
        <w:bottom w:val="none" w:sz="0" w:space="0" w:color="auto"/>
        <w:right w:val="none" w:sz="0" w:space="0" w:color="auto"/>
      </w:divBdr>
    </w:div>
    <w:div w:id="1459372736">
      <w:bodyDiv w:val="1"/>
      <w:marLeft w:val="0"/>
      <w:marRight w:val="0"/>
      <w:marTop w:val="0"/>
      <w:marBottom w:val="0"/>
      <w:divBdr>
        <w:top w:val="none" w:sz="0" w:space="0" w:color="auto"/>
        <w:left w:val="none" w:sz="0" w:space="0" w:color="auto"/>
        <w:bottom w:val="none" w:sz="0" w:space="0" w:color="auto"/>
        <w:right w:val="none" w:sz="0" w:space="0" w:color="auto"/>
      </w:divBdr>
    </w:div>
    <w:div w:id="1642075523">
      <w:bodyDiv w:val="1"/>
      <w:marLeft w:val="0"/>
      <w:marRight w:val="0"/>
      <w:marTop w:val="0"/>
      <w:marBottom w:val="0"/>
      <w:divBdr>
        <w:top w:val="none" w:sz="0" w:space="0" w:color="auto"/>
        <w:left w:val="none" w:sz="0" w:space="0" w:color="auto"/>
        <w:bottom w:val="none" w:sz="0" w:space="0" w:color="auto"/>
        <w:right w:val="none" w:sz="0" w:space="0" w:color="auto"/>
      </w:divBdr>
    </w:div>
    <w:div w:id="1846364124">
      <w:bodyDiv w:val="1"/>
      <w:marLeft w:val="0"/>
      <w:marRight w:val="0"/>
      <w:marTop w:val="0"/>
      <w:marBottom w:val="0"/>
      <w:divBdr>
        <w:top w:val="none" w:sz="0" w:space="0" w:color="auto"/>
        <w:left w:val="none" w:sz="0" w:space="0" w:color="auto"/>
        <w:bottom w:val="none" w:sz="0" w:space="0" w:color="auto"/>
        <w:right w:val="none" w:sz="0" w:space="0" w:color="auto"/>
      </w:divBdr>
    </w:div>
    <w:div w:id="1953433266">
      <w:bodyDiv w:val="1"/>
      <w:marLeft w:val="0"/>
      <w:marRight w:val="0"/>
      <w:marTop w:val="0"/>
      <w:marBottom w:val="0"/>
      <w:divBdr>
        <w:top w:val="none" w:sz="0" w:space="0" w:color="auto"/>
        <w:left w:val="none" w:sz="0" w:space="0" w:color="auto"/>
        <w:bottom w:val="none" w:sz="0" w:space="0" w:color="auto"/>
        <w:right w:val="none" w:sz="0" w:space="0" w:color="auto"/>
      </w:divBdr>
    </w:div>
    <w:div w:id="2031684240">
      <w:bodyDiv w:val="1"/>
      <w:marLeft w:val="0"/>
      <w:marRight w:val="0"/>
      <w:marTop w:val="0"/>
      <w:marBottom w:val="0"/>
      <w:divBdr>
        <w:top w:val="none" w:sz="0" w:space="0" w:color="auto"/>
        <w:left w:val="none" w:sz="0" w:space="0" w:color="auto"/>
        <w:bottom w:val="none" w:sz="0" w:space="0" w:color="auto"/>
        <w:right w:val="none" w:sz="0" w:space="0" w:color="auto"/>
      </w:divBdr>
    </w:div>
    <w:div w:id="20380419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00B05-42AA-4DA3-988F-B1054285F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8336</Words>
  <Characters>47517</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Corbett J</dc:creator>
  <cp:lastModifiedBy>Corbett J.</cp:lastModifiedBy>
  <cp:revision>3</cp:revision>
  <cp:lastPrinted>2016-10-20T09:43:00Z</cp:lastPrinted>
  <dcterms:created xsi:type="dcterms:W3CDTF">2016-10-31T11:22:00Z</dcterms:created>
  <dcterms:modified xsi:type="dcterms:W3CDTF">2016-10-31T11:25:00Z</dcterms:modified>
</cp:coreProperties>
</file>