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A5DCB" w14:textId="738E1C59" w:rsidR="00412FF6" w:rsidRDefault="00412FF6" w:rsidP="00412FF6">
      <w:pPr>
        <w:spacing w:line="360" w:lineRule="auto"/>
        <w:jc w:val="both"/>
        <w:rPr>
          <w:rFonts w:ascii="Book Antiqua" w:hAnsi="Book Antiqua"/>
          <w:b/>
        </w:rPr>
      </w:pPr>
      <w:r>
        <w:rPr>
          <w:rFonts w:ascii="Book Antiqua" w:hAnsi="Book Antiqua"/>
          <w:b/>
        </w:rPr>
        <w:t>Double Effect, Doing and Allowing</w:t>
      </w:r>
      <w:r w:rsidR="008911DD">
        <w:rPr>
          <w:rFonts w:ascii="Book Antiqua" w:hAnsi="Book Antiqua"/>
          <w:b/>
        </w:rPr>
        <w:t>,</w:t>
      </w:r>
      <w:r>
        <w:rPr>
          <w:rFonts w:ascii="Book Antiqua" w:hAnsi="Book Antiqua"/>
          <w:b/>
        </w:rPr>
        <w:t xml:space="preserve"> and the Relaxed </w:t>
      </w:r>
      <w:proofErr w:type="spellStart"/>
      <w:r w:rsidRPr="006F4F5C">
        <w:rPr>
          <w:rFonts w:ascii="Book Antiqua" w:hAnsi="Book Antiqua"/>
          <w:b/>
        </w:rPr>
        <w:t>Nonconsequentialis</w:t>
      </w:r>
      <w:r>
        <w:rPr>
          <w:rFonts w:ascii="Book Antiqua" w:hAnsi="Book Antiqua"/>
          <w:b/>
        </w:rPr>
        <w:t>t</w:t>
      </w:r>
      <w:proofErr w:type="spellEnd"/>
    </w:p>
    <w:p w14:paraId="2F032C9B" w14:textId="6428759E" w:rsidR="001D79BA" w:rsidRDefault="001D79BA" w:rsidP="00412FF6">
      <w:pPr>
        <w:spacing w:line="360" w:lineRule="auto"/>
        <w:jc w:val="both"/>
        <w:rPr>
          <w:rFonts w:ascii="Book Antiqua" w:hAnsi="Book Antiqua"/>
          <w:i/>
        </w:rPr>
      </w:pPr>
      <w:r>
        <w:rPr>
          <w:rFonts w:ascii="Book Antiqua" w:hAnsi="Book Antiqua"/>
          <w:i/>
        </w:rPr>
        <w:t>Fiona Woollard</w:t>
      </w:r>
    </w:p>
    <w:p w14:paraId="27D2FC5E" w14:textId="328986D0" w:rsidR="001D79BA" w:rsidRPr="001D79BA" w:rsidRDefault="001D79BA" w:rsidP="00412FF6">
      <w:pPr>
        <w:spacing w:line="360" w:lineRule="auto"/>
        <w:jc w:val="both"/>
        <w:rPr>
          <w:rFonts w:ascii="Book Antiqua" w:hAnsi="Book Antiqua"/>
          <w:i/>
        </w:rPr>
      </w:pPr>
      <w:proofErr w:type="gramStart"/>
      <w:r>
        <w:rPr>
          <w:rFonts w:ascii="Book Antiqua" w:hAnsi="Book Antiqua"/>
          <w:i/>
        </w:rPr>
        <w:t>f</w:t>
      </w:r>
      <w:proofErr w:type="gramEnd"/>
      <w:r>
        <w:rPr>
          <w:rFonts w:ascii="Book Antiqua" w:hAnsi="Book Antiqua"/>
          <w:i/>
        </w:rPr>
        <w:t>.woollard@soton.ac.uk</w:t>
      </w:r>
    </w:p>
    <w:p w14:paraId="3F5C6FC6" w14:textId="77777777" w:rsidR="006C3633" w:rsidRPr="006F4F5C" w:rsidRDefault="006C3633" w:rsidP="006C3633">
      <w:pPr>
        <w:spacing w:line="360" w:lineRule="auto"/>
        <w:jc w:val="both"/>
        <w:rPr>
          <w:rFonts w:ascii="Book Antiqua" w:hAnsi="Book Antiqua"/>
          <w:b/>
        </w:rPr>
      </w:pPr>
      <w:r w:rsidRPr="006F4F5C">
        <w:rPr>
          <w:rFonts w:ascii="Book Antiqua" w:hAnsi="Book Antiqua"/>
          <w:b/>
        </w:rPr>
        <w:t>Abstract</w:t>
      </w:r>
    </w:p>
    <w:p w14:paraId="5838CDFA" w14:textId="77777777" w:rsidR="006C3633" w:rsidRPr="006F4F5C" w:rsidRDefault="006C3633" w:rsidP="006C3633">
      <w:pPr>
        <w:spacing w:line="360" w:lineRule="auto"/>
        <w:jc w:val="both"/>
        <w:rPr>
          <w:rFonts w:ascii="Book Antiqua" w:hAnsi="Book Antiqua"/>
        </w:rPr>
      </w:pPr>
      <w:r>
        <w:rPr>
          <w:rFonts w:ascii="Book Antiqua" w:hAnsi="Book Antiqua"/>
        </w:rPr>
        <w:t xml:space="preserve">Many philosophers display </w:t>
      </w:r>
      <w:r w:rsidRPr="006F4F5C">
        <w:rPr>
          <w:rFonts w:ascii="Book Antiqua" w:hAnsi="Book Antiqua"/>
        </w:rPr>
        <w:t>relaxed scepticism about the Doctrine of Doing and Allowing</w:t>
      </w:r>
      <w:r>
        <w:rPr>
          <w:rFonts w:ascii="Book Antiqua" w:hAnsi="Book Antiqua"/>
        </w:rPr>
        <w:t xml:space="preserve"> (DDA)</w:t>
      </w:r>
      <w:r w:rsidRPr="006F4F5C">
        <w:rPr>
          <w:rFonts w:ascii="Book Antiqua" w:hAnsi="Book Antiqua"/>
        </w:rPr>
        <w:t xml:space="preserve"> and the Doctrine of Double Effect</w:t>
      </w:r>
      <w:r>
        <w:rPr>
          <w:rFonts w:ascii="Book Antiqua" w:hAnsi="Book Antiqua"/>
        </w:rPr>
        <w:t xml:space="preserve"> (DDE), </w:t>
      </w:r>
      <w:r w:rsidRPr="006F4F5C">
        <w:rPr>
          <w:rFonts w:ascii="Book Antiqua" w:hAnsi="Book Antiqua"/>
        </w:rPr>
        <w:t>suspect</w:t>
      </w:r>
      <w:r>
        <w:rPr>
          <w:rFonts w:ascii="Book Antiqua" w:hAnsi="Book Antiqua"/>
        </w:rPr>
        <w:t xml:space="preserve">ing, without great alarm, </w:t>
      </w:r>
      <w:r w:rsidRPr="006F4F5C">
        <w:rPr>
          <w:rFonts w:ascii="Book Antiqua" w:hAnsi="Book Antiqua"/>
        </w:rPr>
        <w:t>that one or both of these Doctr</w:t>
      </w:r>
      <w:r>
        <w:rPr>
          <w:rFonts w:ascii="Book Antiqua" w:hAnsi="Book Antiqua"/>
        </w:rPr>
        <w:t>ines is indefensible</w:t>
      </w:r>
      <w:r w:rsidRPr="006F4F5C">
        <w:rPr>
          <w:rFonts w:ascii="Book Antiqua" w:hAnsi="Book Antiqua"/>
        </w:rPr>
        <w:t xml:space="preserve">.  </w:t>
      </w:r>
      <w:r>
        <w:rPr>
          <w:rFonts w:ascii="Book Antiqua" w:hAnsi="Book Antiqua"/>
        </w:rPr>
        <w:t>This</w:t>
      </w:r>
      <w:r w:rsidRPr="006F4F5C">
        <w:rPr>
          <w:rFonts w:ascii="Book Antiqua" w:hAnsi="Book Antiqua"/>
        </w:rPr>
        <w:t xml:space="preserve"> relaxed scepticism is misplaced. Anyone who </w:t>
      </w:r>
      <w:r>
        <w:rPr>
          <w:rFonts w:ascii="Book Antiqua" w:hAnsi="Book Antiqua"/>
        </w:rPr>
        <w:t xml:space="preserve">aims to </w:t>
      </w:r>
      <w:r w:rsidRPr="006F4F5C">
        <w:rPr>
          <w:rFonts w:ascii="Book Antiqua" w:hAnsi="Book Antiqua"/>
        </w:rPr>
        <w:t xml:space="preserve">endorse a theory of right action with </w:t>
      </w:r>
      <w:proofErr w:type="spellStart"/>
      <w:r w:rsidRPr="006F4F5C">
        <w:rPr>
          <w:rFonts w:ascii="Book Antiqua" w:hAnsi="Book Antiqua"/>
        </w:rPr>
        <w:t>Nonconsequentialist</w:t>
      </w:r>
      <w:proofErr w:type="spellEnd"/>
      <w:r w:rsidRPr="006F4F5C">
        <w:rPr>
          <w:rFonts w:ascii="Book Antiqua" w:hAnsi="Book Antiqua"/>
        </w:rPr>
        <w:t xml:space="preserve"> implications (henceforth any </w:t>
      </w:r>
      <w:proofErr w:type="spellStart"/>
      <w:r w:rsidRPr="006F4F5C">
        <w:rPr>
          <w:rFonts w:ascii="Book Antiqua" w:hAnsi="Book Antiqua"/>
        </w:rPr>
        <w:t>Nonconsequentialist</w:t>
      </w:r>
      <w:proofErr w:type="spellEnd"/>
      <w:r w:rsidRPr="006F4F5C">
        <w:rPr>
          <w:rFonts w:ascii="Book Antiqua" w:hAnsi="Book Antiqua"/>
        </w:rPr>
        <w:t xml:space="preserve">) should accept both the </w:t>
      </w:r>
      <w:r>
        <w:rPr>
          <w:rFonts w:ascii="Book Antiqua" w:hAnsi="Book Antiqua"/>
        </w:rPr>
        <w:t>DDA (or a</w:t>
      </w:r>
      <w:r w:rsidRPr="006F4F5C">
        <w:rPr>
          <w:rFonts w:ascii="Book Antiqua" w:hAnsi="Book Antiqua"/>
        </w:rPr>
        <w:t xml:space="preserve"> replacement) and the </w:t>
      </w:r>
      <w:r>
        <w:rPr>
          <w:rFonts w:ascii="Book Antiqua" w:hAnsi="Book Antiqua"/>
        </w:rPr>
        <w:t>DDE</w:t>
      </w:r>
      <w:r w:rsidRPr="006F4F5C">
        <w:rPr>
          <w:rFonts w:ascii="Book Antiqua" w:hAnsi="Book Antiqua"/>
        </w:rPr>
        <w:t xml:space="preserve"> (or a replacement).  First, </w:t>
      </w:r>
      <w:r>
        <w:rPr>
          <w:rFonts w:ascii="Book Antiqua" w:hAnsi="Book Antiqua"/>
        </w:rPr>
        <w:t xml:space="preserve">even to state a </w:t>
      </w:r>
      <w:proofErr w:type="spellStart"/>
      <w:r w:rsidRPr="006F4F5C">
        <w:rPr>
          <w:rFonts w:ascii="Book Antiqua" w:hAnsi="Book Antiqua"/>
        </w:rPr>
        <w:t>Nonconseq</w:t>
      </w:r>
      <w:r>
        <w:rPr>
          <w:rFonts w:ascii="Book Antiqua" w:hAnsi="Book Antiqua"/>
        </w:rPr>
        <w:t>uentialist</w:t>
      </w:r>
      <w:proofErr w:type="spellEnd"/>
      <w:r>
        <w:rPr>
          <w:rFonts w:ascii="Book Antiqua" w:hAnsi="Book Antiqua"/>
        </w:rPr>
        <w:t xml:space="preserve"> theory requires drawing a distinction between respecting and promoting values.  This cannot be done without accepting</w:t>
      </w:r>
      <w:r w:rsidRPr="006F4F5C">
        <w:rPr>
          <w:rFonts w:ascii="Book Antiqua" w:hAnsi="Book Antiqua"/>
        </w:rPr>
        <w:t xml:space="preserve"> some deontological distinction</w:t>
      </w:r>
      <w:r>
        <w:rPr>
          <w:rFonts w:ascii="Book Antiqua" w:hAnsi="Book Antiqua"/>
        </w:rPr>
        <w:t xml:space="preserve">. </w:t>
      </w:r>
      <w:r w:rsidRPr="006F4F5C">
        <w:rPr>
          <w:rFonts w:ascii="Book Antiqua" w:hAnsi="Book Antiqua"/>
        </w:rPr>
        <w:t xml:space="preserve">Second, if someone is going to accept </w:t>
      </w:r>
      <w:r>
        <w:rPr>
          <w:rFonts w:ascii="Book Antiqua" w:hAnsi="Book Antiqua"/>
        </w:rPr>
        <w:t>any</w:t>
      </w:r>
      <w:r w:rsidRPr="006F4F5C">
        <w:rPr>
          <w:rFonts w:ascii="Book Antiqua" w:hAnsi="Book Antiqua"/>
        </w:rPr>
        <w:t xml:space="preserve"> deontological distinction she should accept either the </w:t>
      </w:r>
      <w:r>
        <w:rPr>
          <w:rFonts w:ascii="Book Antiqua" w:hAnsi="Book Antiqua"/>
        </w:rPr>
        <w:t>DDE</w:t>
      </w:r>
      <w:r w:rsidRPr="006F4F5C">
        <w:rPr>
          <w:rFonts w:ascii="Book Antiqua" w:hAnsi="Book Antiqua"/>
        </w:rPr>
        <w:t xml:space="preserve"> or the D</w:t>
      </w:r>
      <w:r>
        <w:rPr>
          <w:rFonts w:ascii="Book Antiqua" w:hAnsi="Book Antiqua"/>
        </w:rPr>
        <w:t>DA or some replacement</w:t>
      </w:r>
      <w:r w:rsidRPr="006F4F5C">
        <w:rPr>
          <w:rFonts w:ascii="Book Antiqua" w:hAnsi="Book Antiqua"/>
        </w:rPr>
        <w:t xml:space="preserve">.  Finally, </w:t>
      </w:r>
      <w:r>
        <w:rPr>
          <w:rFonts w:ascii="Book Antiqua" w:hAnsi="Book Antiqua"/>
        </w:rPr>
        <w:t xml:space="preserve">anyone who accepts </w:t>
      </w:r>
      <w:r w:rsidRPr="006F4F5C">
        <w:rPr>
          <w:rFonts w:ascii="Book Antiqua" w:hAnsi="Book Antiqua"/>
        </w:rPr>
        <w:t>either the D</w:t>
      </w:r>
      <w:r>
        <w:rPr>
          <w:rFonts w:ascii="Book Antiqua" w:hAnsi="Book Antiqua"/>
        </w:rPr>
        <w:t xml:space="preserve">DE </w:t>
      </w:r>
      <w:r w:rsidRPr="006F4F5C">
        <w:rPr>
          <w:rFonts w:ascii="Book Antiqua" w:hAnsi="Book Antiqua"/>
        </w:rPr>
        <w:t xml:space="preserve">or the </w:t>
      </w:r>
      <w:r>
        <w:rPr>
          <w:rFonts w:ascii="Book Antiqua" w:hAnsi="Book Antiqua"/>
        </w:rPr>
        <w:t>DDA</w:t>
      </w:r>
      <w:r w:rsidRPr="006F4F5C">
        <w:rPr>
          <w:rFonts w:ascii="Book Antiqua" w:hAnsi="Book Antiqua"/>
        </w:rPr>
        <w:t xml:space="preserve"> should accept </w:t>
      </w:r>
      <w:proofErr w:type="gramStart"/>
      <w:r w:rsidRPr="006F4F5C">
        <w:rPr>
          <w:rFonts w:ascii="Book Antiqua" w:hAnsi="Book Antiqua"/>
        </w:rPr>
        <w:t>both doctrines or</w:t>
      </w:r>
      <w:proofErr w:type="gramEnd"/>
      <w:r w:rsidRPr="006F4F5C">
        <w:rPr>
          <w:rFonts w:ascii="Book Antiqua" w:hAnsi="Book Antiqua"/>
        </w:rPr>
        <w:t xml:space="preserve"> a replacement of each. </w:t>
      </w:r>
      <w:r>
        <w:rPr>
          <w:rFonts w:ascii="Book Antiqua" w:hAnsi="Book Antiqua"/>
        </w:rPr>
        <w:t>Unless</w:t>
      </w:r>
      <w:r w:rsidRPr="006F4F5C">
        <w:rPr>
          <w:rFonts w:ascii="Book Antiqua" w:hAnsi="Book Antiqua"/>
        </w:rPr>
        <w:t xml:space="preserve"> both Doctrines</w:t>
      </w:r>
      <w:r>
        <w:rPr>
          <w:rFonts w:ascii="Book Antiqua" w:hAnsi="Book Antiqua"/>
        </w:rPr>
        <w:t xml:space="preserve"> can</w:t>
      </w:r>
      <w:r w:rsidRPr="006F4F5C">
        <w:rPr>
          <w:rFonts w:ascii="Book Antiqua" w:hAnsi="Book Antiqua"/>
        </w:rPr>
        <w:t xml:space="preserve"> be defended or given a defensible replacement, </w:t>
      </w:r>
      <w:r>
        <w:rPr>
          <w:rFonts w:ascii="Book Antiqua" w:hAnsi="Book Antiqua"/>
        </w:rPr>
        <w:t xml:space="preserve">any </w:t>
      </w:r>
      <w:proofErr w:type="spellStart"/>
      <w:r>
        <w:rPr>
          <w:rFonts w:ascii="Book Antiqua" w:hAnsi="Book Antiqua"/>
        </w:rPr>
        <w:t>Nonconsequentialist</w:t>
      </w:r>
      <w:proofErr w:type="spellEnd"/>
      <w:r>
        <w:rPr>
          <w:rFonts w:ascii="Book Antiqua" w:hAnsi="Book Antiqua"/>
        </w:rPr>
        <w:t xml:space="preserve"> is in trouble</w:t>
      </w:r>
      <w:r w:rsidRPr="006F4F5C">
        <w:rPr>
          <w:rFonts w:ascii="Book Antiqua" w:hAnsi="Book Antiqua"/>
        </w:rPr>
        <w:t xml:space="preserve">.       </w:t>
      </w:r>
    </w:p>
    <w:p w14:paraId="70721E49" w14:textId="5D7FB045" w:rsidR="00227B7A" w:rsidRPr="006F4F5C" w:rsidRDefault="00227B7A" w:rsidP="00455776">
      <w:pPr>
        <w:spacing w:line="360" w:lineRule="auto"/>
        <w:jc w:val="both"/>
        <w:rPr>
          <w:rFonts w:ascii="Book Antiqua" w:hAnsi="Book Antiqua"/>
        </w:rPr>
      </w:pPr>
      <w:r w:rsidRPr="006F4F5C">
        <w:rPr>
          <w:rFonts w:ascii="Book Antiqua" w:hAnsi="Book Antiqua"/>
          <w:b/>
        </w:rPr>
        <w:t>Introduction</w:t>
      </w:r>
      <w:r w:rsidR="00902D22" w:rsidRPr="006F4F5C">
        <w:rPr>
          <w:rStyle w:val="FootnoteReference"/>
          <w:rFonts w:ascii="Book Antiqua" w:hAnsi="Book Antiqua"/>
          <w:b/>
        </w:rPr>
        <w:footnoteReference w:id="1"/>
      </w:r>
    </w:p>
    <w:p w14:paraId="6500D85E" w14:textId="660B0B5B" w:rsidR="00BD645B" w:rsidRPr="006F4F5C" w:rsidRDefault="00BD645B" w:rsidP="0057509C">
      <w:pPr>
        <w:spacing w:line="360" w:lineRule="auto"/>
        <w:jc w:val="both"/>
        <w:rPr>
          <w:rFonts w:ascii="Book Antiqua" w:hAnsi="Book Antiqua"/>
        </w:rPr>
      </w:pPr>
      <w:r w:rsidRPr="006F4F5C">
        <w:rPr>
          <w:rFonts w:ascii="Book Antiqua" w:hAnsi="Book Antiqua"/>
        </w:rPr>
        <w:t>The Doctrine of Doing and Allowing and the Doctrine of Double Effect are the two most famous moral principles based on deontological distinctions.  Deontological distinctions divide the set of consequences of an agent’s behaviour into two subsets</w:t>
      </w:r>
      <w:r w:rsidR="0057509C" w:rsidRPr="006F4F5C">
        <w:rPr>
          <w:rFonts w:ascii="Book Antiqua" w:hAnsi="Book Antiqua"/>
        </w:rPr>
        <w:t>, a primary subject and a secondary subset</w:t>
      </w:r>
      <w:r w:rsidRPr="006F4F5C">
        <w:rPr>
          <w:rFonts w:ascii="Book Antiqua" w:hAnsi="Book Antiqua"/>
        </w:rPr>
        <w:t xml:space="preserve"> and hold that there is a moral difference between the two subsets, for example bad consequences are harder to justify if they lie in the </w:t>
      </w:r>
      <w:r w:rsidR="0057509C" w:rsidRPr="006F4F5C">
        <w:rPr>
          <w:rFonts w:ascii="Book Antiqua" w:hAnsi="Book Antiqua"/>
        </w:rPr>
        <w:t>primary</w:t>
      </w:r>
      <w:r w:rsidRPr="006F4F5C">
        <w:rPr>
          <w:rFonts w:ascii="Book Antiqua" w:hAnsi="Book Antiqua"/>
        </w:rPr>
        <w:t xml:space="preserve"> subset than in the second</w:t>
      </w:r>
      <w:r w:rsidR="0057509C" w:rsidRPr="006F4F5C">
        <w:rPr>
          <w:rFonts w:ascii="Book Antiqua" w:hAnsi="Book Antiqua"/>
        </w:rPr>
        <w:t>ary</w:t>
      </w:r>
      <w:r w:rsidRPr="006F4F5C">
        <w:rPr>
          <w:rFonts w:ascii="Book Antiqua" w:hAnsi="Book Antiqua"/>
        </w:rPr>
        <w:t xml:space="preserve">.   The Doctrine of Doing and Allowing is based on a distinction between what an agent does or brings about and what an agent merely allows to occur.  The Doctrine of Double Effect is based on a distinction between what an agent strictly intends and what he merely foresees.   </w:t>
      </w:r>
      <w:r w:rsidR="00DE6876" w:rsidRPr="006F4F5C">
        <w:rPr>
          <w:rFonts w:ascii="Book Antiqua" w:hAnsi="Book Antiqua"/>
        </w:rPr>
        <w:t>The Doctrine of Doing and Allowing states that</w:t>
      </w:r>
      <w:r w:rsidR="00CB11F9" w:rsidRPr="006F4F5C">
        <w:rPr>
          <w:rFonts w:ascii="Book Antiqua" w:hAnsi="Book Antiqua"/>
        </w:rPr>
        <w:t>, other things being equal,</w:t>
      </w:r>
      <w:r w:rsidR="00DE6876" w:rsidRPr="006F4F5C">
        <w:rPr>
          <w:rFonts w:ascii="Book Antiqua" w:hAnsi="Book Antiqua"/>
        </w:rPr>
        <w:t xml:space="preserve"> doing harm is harder to justify than merely allowing harm: some potential costs to the agent, or opportunities of producing greater good, that might justify merely allowing a</w:t>
      </w:r>
      <w:r w:rsidR="004C41D0" w:rsidRPr="006F4F5C">
        <w:rPr>
          <w:rFonts w:ascii="Book Antiqua" w:hAnsi="Book Antiqua"/>
        </w:rPr>
        <w:t>nother to suffer a certain harm</w:t>
      </w:r>
      <w:r w:rsidR="00DE6876" w:rsidRPr="006F4F5C">
        <w:rPr>
          <w:rFonts w:ascii="Book Antiqua" w:hAnsi="Book Antiqua"/>
        </w:rPr>
        <w:t xml:space="preserve"> would not justify bringing about that same harm.  The Doctrine of Double Effect states that</w:t>
      </w:r>
      <w:r w:rsidR="00CB11F9" w:rsidRPr="006F4F5C">
        <w:rPr>
          <w:rFonts w:ascii="Book Antiqua" w:hAnsi="Book Antiqua"/>
        </w:rPr>
        <w:t>, other things being equal,</w:t>
      </w:r>
      <w:r w:rsidR="00DE6876" w:rsidRPr="006F4F5C">
        <w:rPr>
          <w:rFonts w:ascii="Book Antiqua" w:hAnsi="Book Antiqua"/>
        </w:rPr>
        <w:t xml:space="preserve"> harm that is strictly intended is harder to justify than harm that is merely foreseen:  some potential costs to the agent, or opportunities </w:t>
      </w:r>
      <w:r w:rsidR="00DE6876" w:rsidRPr="006F4F5C">
        <w:rPr>
          <w:rFonts w:ascii="Book Antiqua" w:hAnsi="Book Antiqua"/>
        </w:rPr>
        <w:lastRenderedPageBreak/>
        <w:t xml:space="preserve">of producing greater good, that might justify merely </w:t>
      </w:r>
      <w:r w:rsidR="00175414" w:rsidRPr="006F4F5C">
        <w:rPr>
          <w:rFonts w:ascii="Book Antiqua" w:hAnsi="Book Antiqua"/>
        </w:rPr>
        <w:t xml:space="preserve">foreseeably countenancing </w:t>
      </w:r>
      <w:r w:rsidR="00DE6876" w:rsidRPr="006F4F5C">
        <w:rPr>
          <w:rFonts w:ascii="Book Antiqua" w:hAnsi="Book Antiqua"/>
        </w:rPr>
        <w:t>a</w:t>
      </w:r>
      <w:r w:rsidR="004C41D0" w:rsidRPr="006F4F5C">
        <w:rPr>
          <w:rFonts w:ascii="Book Antiqua" w:hAnsi="Book Antiqua"/>
        </w:rPr>
        <w:t>nother suffer a certain harm</w:t>
      </w:r>
      <w:r w:rsidR="00DE6876" w:rsidRPr="006F4F5C">
        <w:rPr>
          <w:rFonts w:ascii="Book Antiqua" w:hAnsi="Book Antiqua"/>
        </w:rPr>
        <w:t xml:space="preserve"> would not justify </w:t>
      </w:r>
      <w:r w:rsidR="00175414" w:rsidRPr="006F4F5C">
        <w:rPr>
          <w:rFonts w:ascii="Book Antiqua" w:hAnsi="Book Antiqua"/>
        </w:rPr>
        <w:t>strictly intending</w:t>
      </w:r>
      <w:r w:rsidR="00DE6876" w:rsidRPr="006F4F5C">
        <w:rPr>
          <w:rFonts w:ascii="Book Antiqua" w:hAnsi="Book Antiqua"/>
        </w:rPr>
        <w:t xml:space="preserve"> that same harm. </w:t>
      </w:r>
      <w:r w:rsidRPr="006F4F5C">
        <w:rPr>
          <w:rFonts w:ascii="Book Antiqua" w:hAnsi="Book Antiqua"/>
        </w:rPr>
        <w:t xml:space="preserve">  </w:t>
      </w:r>
    </w:p>
    <w:p w14:paraId="6C79861B" w14:textId="666503FE" w:rsidR="004148B5" w:rsidRPr="006F4F5C" w:rsidRDefault="00315C67" w:rsidP="00BD645B">
      <w:pPr>
        <w:spacing w:line="360" w:lineRule="auto"/>
        <w:ind w:firstLine="720"/>
        <w:jc w:val="both"/>
        <w:rPr>
          <w:rFonts w:ascii="Book Antiqua" w:hAnsi="Book Antiqua"/>
        </w:rPr>
      </w:pPr>
      <w:r w:rsidRPr="006F4F5C">
        <w:rPr>
          <w:rFonts w:ascii="Book Antiqua" w:hAnsi="Book Antiqua"/>
        </w:rPr>
        <w:t xml:space="preserve">Many Nonconsequentialists, in conversation if </w:t>
      </w:r>
      <w:r w:rsidR="00FC58BC">
        <w:rPr>
          <w:rFonts w:ascii="Book Antiqua" w:hAnsi="Book Antiqua"/>
        </w:rPr>
        <w:t xml:space="preserve">not in print, express </w:t>
      </w:r>
      <w:r w:rsidRPr="006F4F5C">
        <w:rPr>
          <w:rFonts w:ascii="Book Antiqua" w:hAnsi="Book Antiqua"/>
        </w:rPr>
        <w:t xml:space="preserve">relaxed scepticism about the Doctrine of Doing and Allowing and the Doctrine of Double Effect.  They are dubious about whether these doctrines can </w:t>
      </w:r>
      <w:r w:rsidR="00FC58BC">
        <w:rPr>
          <w:rFonts w:ascii="Book Antiqua" w:hAnsi="Book Antiqua"/>
        </w:rPr>
        <w:t>stand up under scrutiny, but are not greatly alarmed by this</w:t>
      </w:r>
      <w:r w:rsidRPr="006F4F5C">
        <w:rPr>
          <w:rFonts w:ascii="Book Antiqua" w:hAnsi="Book Antiqua"/>
        </w:rPr>
        <w:t xml:space="preserve">. </w:t>
      </w:r>
      <w:r w:rsidR="00F710B5" w:rsidRPr="006F4F5C">
        <w:rPr>
          <w:rFonts w:ascii="Book Antiqua" w:hAnsi="Book Antiqua"/>
        </w:rPr>
        <w:t xml:space="preserve">I argue </w:t>
      </w:r>
      <w:r w:rsidR="004148B5" w:rsidRPr="006F4F5C">
        <w:rPr>
          <w:rFonts w:ascii="Book Antiqua" w:hAnsi="Book Antiqua"/>
        </w:rPr>
        <w:t>that such relaxed scepticism is misplaced.</w:t>
      </w:r>
      <w:r w:rsidR="00303A9B" w:rsidRPr="006F4F5C">
        <w:rPr>
          <w:rFonts w:ascii="Book Antiqua" w:hAnsi="Book Antiqua"/>
        </w:rPr>
        <w:t xml:space="preserve"> </w:t>
      </w:r>
      <w:r w:rsidR="004148B5" w:rsidRPr="006F4F5C">
        <w:rPr>
          <w:rFonts w:ascii="Book Antiqua" w:hAnsi="Book Antiqua"/>
        </w:rPr>
        <w:t xml:space="preserve">  </w:t>
      </w:r>
    </w:p>
    <w:p w14:paraId="3902B622" w14:textId="6E43F72D" w:rsidR="00FC58BC" w:rsidRDefault="004148B5" w:rsidP="00FC58BC">
      <w:pPr>
        <w:spacing w:line="360" w:lineRule="auto"/>
        <w:ind w:firstLine="720"/>
        <w:jc w:val="both"/>
        <w:rPr>
          <w:rFonts w:ascii="Book Antiqua" w:hAnsi="Book Antiqua"/>
        </w:rPr>
      </w:pPr>
      <w:r w:rsidRPr="006F4F5C">
        <w:rPr>
          <w:rFonts w:ascii="Book Antiqua" w:hAnsi="Book Antiqua"/>
        </w:rPr>
        <w:t>F</w:t>
      </w:r>
      <w:r w:rsidR="00F710B5" w:rsidRPr="006F4F5C">
        <w:rPr>
          <w:rFonts w:ascii="Book Antiqua" w:hAnsi="Book Antiqua"/>
        </w:rPr>
        <w:t>ir</w:t>
      </w:r>
      <w:r w:rsidR="00DC2EAA" w:rsidRPr="006F4F5C">
        <w:rPr>
          <w:rFonts w:ascii="Book Antiqua" w:hAnsi="Book Antiqua"/>
        </w:rPr>
        <w:t xml:space="preserve">st </w:t>
      </w:r>
      <w:r w:rsidRPr="006F4F5C">
        <w:rPr>
          <w:rFonts w:ascii="Book Antiqua" w:hAnsi="Book Antiqua"/>
        </w:rPr>
        <w:t xml:space="preserve">I show that </w:t>
      </w:r>
      <w:r w:rsidR="00DC2EAA" w:rsidRPr="006F4F5C">
        <w:rPr>
          <w:rFonts w:ascii="Book Antiqua" w:hAnsi="Book Antiqua"/>
        </w:rPr>
        <w:t>any</w:t>
      </w:r>
      <w:r w:rsidR="00033F7B" w:rsidRPr="006F4F5C">
        <w:rPr>
          <w:rFonts w:ascii="Book Antiqua" w:hAnsi="Book Antiqua"/>
        </w:rPr>
        <w:t>one</w:t>
      </w:r>
      <w:r w:rsidR="00DC2EAA" w:rsidRPr="006F4F5C">
        <w:rPr>
          <w:rFonts w:ascii="Book Antiqua" w:hAnsi="Book Antiqua"/>
        </w:rPr>
        <w:t xml:space="preserve"> who endorses a </w:t>
      </w:r>
      <w:r w:rsidR="00E96B9D" w:rsidRPr="006F4F5C">
        <w:rPr>
          <w:rFonts w:ascii="Book Antiqua" w:hAnsi="Book Antiqua"/>
        </w:rPr>
        <w:t>theory</w:t>
      </w:r>
      <w:r w:rsidR="00DC2EAA" w:rsidRPr="006F4F5C">
        <w:rPr>
          <w:rFonts w:ascii="Book Antiqua" w:hAnsi="Book Antiqua"/>
        </w:rPr>
        <w:t xml:space="preserve"> of right action</w:t>
      </w:r>
      <w:r w:rsidR="00FB5C68" w:rsidRPr="006F4F5C">
        <w:rPr>
          <w:rFonts w:ascii="Book Antiqua" w:hAnsi="Book Antiqua"/>
        </w:rPr>
        <w:t xml:space="preserve"> with Nonconsequentialist implications</w:t>
      </w:r>
      <w:r w:rsidR="00CB11F9" w:rsidRPr="006F4F5C">
        <w:rPr>
          <w:rFonts w:ascii="Book Antiqua" w:hAnsi="Book Antiqua"/>
        </w:rPr>
        <w:t xml:space="preserve"> (henceforth any Nonconsequentialist)</w:t>
      </w:r>
      <w:r w:rsidR="00505424" w:rsidRPr="006F4F5C">
        <w:rPr>
          <w:rFonts w:ascii="Book Antiqua" w:hAnsi="Book Antiqua"/>
        </w:rPr>
        <w:t xml:space="preserve"> must accept some </w:t>
      </w:r>
      <w:r w:rsidR="00E96B9D" w:rsidRPr="006F4F5C">
        <w:rPr>
          <w:rFonts w:ascii="Book Antiqua" w:hAnsi="Book Antiqua"/>
        </w:rPr>
        <w:t xml:space="preserve">deontological distinction such as </w:t>
      </w:r>
      <w:r w:rsidR="00505424" w:rsidRPr="006F4F5C">
        <w:rPr>
          <w:rFonts w:ascii="Book Antiqua" w:hAnsi="Book Antiqua"/>
        </w:rPr>
        <w:t>the Doctrine of Doing and Allowing or the Doctrine of Double Effect.  Without some</w:t>
      </w:r>
      <w:r w:rsidR="00E96B9D" w:rsidRPr="006F4F5C">
        <w:rPr>
          <w:rFonts w:ascii="Book Antiqua" w:hAnsi="Book Antiqua"/>
        </w:rPr>
        <w:t xml:space="preserve"> such deontological distinction</w:t>
      </w:r>
      <w:r w:rsidR="00F710B5" w:rsidRPr="006F4F5C">
        <w:rPr>
          <w:rFonts w:ascii="Book Antiqua" w:hAnsi="Book Antiqua"/>
        </w:rPr>
        <w:t>, the Nonconsequentialist</w:t>
      </w:r>
      <w:r w:rsidR="00505424" w:rsidRPr="006F4F5C">
        <w:rPr>
          <w:rFonts w:ascii="Book Antiqua" w:hAnsi="Book Antiqua"/>
        </w:rPr>
        <w:t xml:space="preserve"> cannot make the crucial distinction between </w:t>
      </w:r>
      <w:r w:rsidR="009049A0" w:rsidRPr="006F4F5C">
        <w:rPr>
          <w:rFonts w:ascii="Book Antiqua" w:hAnsi="Book Antiqua"/>
        </w:rPr>
        <w:t>respect</w:t>
      </w:r>
      <w:r w:rsidR="00505424" w:rsidRPr="006F4F5C">
        <w:rPr>
          <w:rFonts w:ascii="Book Antiqua" w:hAnsi="Book Antiqua"/>
        </w:rPr>
        <w:t xml:space="preserve">ing </w:t>
      </w:r>
      <w:r w:rsidR="00033F7B" w:rsidRPr="006F4F5C">
        <w:rPr>
          <w:rFonts w:ascii="Book Antiqua" w:hAnsi="Book Antiqua"/>
        </w:rPr>
        <w:t xml:space="preserve">a value </w:t>
      </w:r>
      <w:r w:rsidR="00505424" w:rsidRPr="006F4F5C">
        <w:rPr>
          <w:rFonts w:ascii="Book Antiqua" w:hAnsi="Book Antiqua"/>
        </w:rPr>
        <w:t xml:space="preserve">and promoting a value </w:t>
      </w:r>
      <w:r w:rsidR="00175414" w:rsidRPr="006F4F5C">
        <w:rPr>
          <w:rFonts w:ascii="Book Antiqua" w:hAnsi="Book Antiqua"/>
        </w:rPr>
        <w:t>that</w:t>
      </w:r>
      <w:r w:rsidR="00505424" w:rsidRPr="006F4F5C">
        <w:rPr>
          <w:rFonts w:ascii="Book Antiqua" w:hAnsi="Book Antiqua"/>
        </w:rPr>
        <w:t xml:space="preserve"> is necessary to </w:t>
      </w:r>
      <w:r w:rsidR="00E6588D" w:rsidRPr="006F4F5C">
        <w:rPr>
          <w:rFonts w:ascii="Book Antiqua" w:hAnsi="Book Antiqua"/>
        </w:rPr>
        <w:t>prevent</w:t>
      </w:r>
      <w:r w:rsidR="00505424" w:rsidRPr="006F4F5C">
        <w:rPr>
          <w:rFonts w:ascii="Book Antiqua" w:hAnsi="Book Antiqua"/>
        </w:rPr>
        <w:t xml:space="preserve"> her view from </w:t>
      </w:r>
      <w:r w:rsidR="00E6588D" w:rsidRPr="006F4F5C">
        <w:rPr>
          <w:rFonts w:ascii="Book Antiqua" w:hAnsi="Book Antiqua"/>
        </w:rPr>
        <w:t xml:space="preserve">collapsing into </w:t>
      </w:r>
      <w:r w:rsidR="00505424" w:rsidRPr="006F4F5C">
        <w:rPr>
          <w:rFonts w:ascii="Book Antiqua" w:hAnsi="Book Antiqua"/>
        </w:rPr>
        <w:t xml:space="preserve">Consequentialism.  </w:t>
      </w:r>
    </w:p>
    <w:p w14:paraId="0ACB0A02" w14:textId="66BBC4AD" w:rsidR="00E96B9D" w:rsidRPr="006F4F5C" w:rsidRDefault="00E96B9D" w:rsidP="00FC58BC">
      <w:pPr>
        <w:spacing w:line="360" w:lineRule="auto"/>
        <w:ind w:firstLine="720"/>
        <w:jc w:val="both"/>
        <w:rPr>
          <w:rFonts w:ascii="Book Antiqua" w:hAnsi="Book Antiqua"/>
        </w:rPr>
      </w:pPr>
      <w:r w:rsidRPr="006F4F5C">
        <w:rPr>
          <w:rFonts w:ascii="Book Antiqua" w:hAnsi="Book Antiqua"/>
        </w:rPr>
        <w:t xml:space="preserve">I then argue that </w:t>
      </w:r>
      <w:r w:rsidR="00494E1C" w:rsidRPr="006F4F5C">
        <w:rPr>
          <w:rFonts w:ascii="Book Antiqua" w:hAnsi="Book Antiqua"/>
        </w:rPr>
        <w:t>there is good reason to think that if someone is going to accept at least one deontological distinction she should accept either the Doctrine of Double Effect or the Doctrine of Doing and Allowing or some replacement for these doctrines.</w:t>
      </w:r>
      <w:r w:rsidR="0012375F">
        <w:rPr>
          <w:rStyle w:val="FootnoteReference"/>
          <w:rFonts w:ascii="Book Antiqua" w:hAnsi="Book Antiqua"/>
        </w:rPr>
        <w:footnoteReference w:id="2"/>
      </w:r>
      <w:r w:rsidR="00494E1C" w:rsidRPr="006F4F5C">
        <w:rPr>
          <w:rFonts w:ascii="Book Antiqua" w:hAnsi="Book Antiqua"/>
        </w:rPr>
        <w:t xml:space="preserve"> </w:t>
      </w:r>
      <w:r w:rsidR="00FC58BC">
        <w:rPr>
          <w:rFonts w:ascii="Book Antiqua" w:hAnsi="Book Antiqua"/>
        </w:rPr>
        <w:t>Finally, I show that</w:t>
      </w:r>
      <w:r w:rsidR="00505424" w:rsidRPr="006F4F5C">
        <w:rPr>
          <w:rFonts w:ascii="Book Antiqua" w:hAnsi="Book Antiqua"/>
        </w:rPr>
        <w:t xml:space="preserve"> anyone who accepts the Doctrine of Double Effect </w:t>
      </w:r>
      <w:r w:rsidR="007D1548" w:rsidRPr="006F4F5C">
        <w:rPr>
          <w:rFonts w:ascii="Book Antiqua" w:hAnsi="Book Antiqua"/>
        </w:rPr>
        <w:t xml:space="preserve">(or a replacement for that doctrine) </w:t>
      </w:r>
      <w:r w:rsidRPr="006F4F5C">
        <w:rPr>
          <w:rFonts w:ascii="Book Antiqua" w:hAnsi="Book Antiqua"/>
        </w:rPr>
        <w:t>should</w:t>
      </w:r>
      <w:r w:rsidR="00505424" w:rsidRPr="006F4F5C">
        <w:rPr>
          <w:rFonts w:ascii="Book Antiqua" w:hAnsi="Book Antiqua"/>
        </w:rPr>
        <w:t xml:space="preserve"> accept the Doctrine of Doing and Allowing</w:t>
      </w:r>
      <w:r w:rsidR="007D1548" w:rsidRPr="006F4F5C">
        <w:rPr>
          <w:rFonts w:ascii="Book Antiqua" w:hAnsi="Book Antiqua"/>
        </w:rPr>
        <w:t xml:space="preserve"> (or a replacement for that doctrine)</w:t>
      </w:r>
      <w:r w:rsidR="00505424" w:rsidRPr="006F4F5C">
        <w:rPr>
          <w:rFonts w:ascii="Book Antiqua" w:hAnsi="Book Antiqua"/>
        </w:rPr>
        <w:t xml:space="preserve">, and vice versa. </w:t>
      </w:r>
    </w:p>
    <w:p w14:paraId="54424390" w14:textId="156DE43C" w:rsidR="001D1D19" w:rsidRPr="006F4F5C" w:rsidRDefault="00F710B5" w:rsidP="0057509C">
      <w:pPr>
        <w:spacing w:line="360" w:lineRule="auto"/>
        <w:ind w:firstLine="720"/>
        <w:jc w:val="both"/>
        <w:rPr>
          <w:rFonts w:ascii="Book Antiqua" w:hAnsi="Book Antiqua"/>
        </w:rPr>
      </w:pPr>
      <w:r w:rsidRPr="006F4F5C">
        <w:rPr>
          <w:rFonts w:ascii="Book Antiqua" w:hAnsi="Book Antiqua"/>
        </w:rPr>
        <w:t xml:space="preserve">Thus any Nonconsequentialist </w:t>
      </w:r>
      <w:r w:rsidR="00E96B9D" w:rsidRPr="006F4F5C">
        <w:rPr>
          <w:rFonts w:ascii="Book Antiqua" w:hAnsi="Book Antiqua"/>
        </w:rPr>
        <w:t>must accept some deontological distinction and should</w:t>
      </w:r>
      <w:r w:rsidRPr="006F4F5C">
        <w:rPr>
          <w:rFonts w:ascii="Book Antiqua" w:hAnsi="Book Antiqua"/>
        </w:rPr>
        <w:t xml:space="preserve"> accept both the Doctrine of Doing and Allowing</w:t>
      </w:r>
      <w:r w:rsidR="0030321D" w:rsidRPr="006F4F5C">
        <w:rPr>
          <w:rFonts w:ascii="Book Antiqua" w:hAnsi="Book Antiqua"/>
        </w:rPr>
        <w:t>, or its replacement,</w:t>
      </w:r>
      <w:r w:rsidRPr="006F4F5C">
        <w:rPr>
          <w:rFonts w:ascii="Book Antiqua" w:hAnsi="Book Antiqua"/>
        </w:rPr>
        <w:t xml:space="preserve"> and the Doctrine of Double Effect</w:t>
      </w:r>
      <w:r w:rsidR="0030321D" w:rsidRPr="006F4F5C">
        <w:rPr>
          <w:rFonts w:ascii="Book Antiqua" w:hAnsi="Book Antiqua"/>
        </w:rPr>
        <w:t>, or its replacement</w:t>
      </w:r>
      <w:r w:rsidRPr="006F4F5C">
        <w:rPr>
          <w:rFonts w:ascii="Book Antiqua" w:hAnsi="Book Antiqua"/>
        </w:rPr>
        <w:t>.</w:t>
      </w:r>
      <w:r w:rsidR="00303A9B" w:rsidRPr="006F4F5C">
        <w:rPr>
          <w:rFonts w:ascii="Book Antiqua" w:hAnsi="Book Antiqua"/>
        </w:rPr>
        <w:t xml:space="preserve">   </w:t>
      </w:r>
      <w:r w:rsidR="00FC58BC">
        <w:rPr>
          <w:rFonts w:ascii="Book Antiqua" w:hAnsi="Book Antiqua"/>
        </w:rPr>
        <w:t>Unless</w:t>
      </w:r>
      <w:r w:rsidR="00303A9B" w:rsidRPr="006F4F5C">
        <w:rPr>
          <w:rFonts w:ascii="Book Antiqua" w:hAnsi="Book Antiqua"/>
        </w:rPr>
        <w:t xml:space="preserve"> each of these Doctrines</w:t>
      </w:r>
      <w:r w:rsidR="0030321D" w:rsidRPr="006F4F5C">
        <w:rPr>
          <w:rFonts w:ascii="Book Antiqua" w:hAnsi="Book Antiqua"/>
        </w:rPr>
        <w:t xml:space="preserve"> or a replacement</w:t>
      </w:r>
      <w:r w:rsidR="00303A9B" w:rsidRPr="006F4F5C">
        <w:rPr>
          <w:rFonts w:ascii="Book Antiqua" w:hAnsi="Book Antiqua"/>
        </w:rPr>
        <w:t xml:space="preserve"> </w:t>
      </w:r>
      <w:r w:rsidR="0057509C" w:rsidRPr="006F4F5C">
        <w:rPr>
          <w:rFonts w:ascii="Book Antiqua" w:hAnsi="Book Antiqua"/>
        </w:rPr>
        <w:t xml:space="preserve">is </w:t>
      </w:r>
      <w:r w:rsidR="00303A9B" w:rsidRPr="006F4F5C">
        <w:rPr>
          <w:rFonts w:ascii="Book Antiqua" w:hAnsi="Book Antiqua"/>
        </w:rPr>
        <w:t xml:space="preserve">defensible, then </w:t>
      </w:r>
      <w:r w:rsidR="00FC58BC">
        <w:rPr>
          <w:rFonts w:ascii="Book Antiqua" w:hAnsi="Book Antiqua"/>
        </w:rPr>
        <w:t xml:space="preserve">any </w:t>
      </w:r>
      <w:proofErr w:type="spellStart"/>
      <w:r w:rsidR="00303A9B" w:rsidRPr="006F4F5C">
        <w:rPr>
          <w:rFonts w:ascii="Book Antiqua" w:hAnsi="Book Antiqua"/>
        </w:rPr>
        <w:t>Nonconsequentialis</w:t>
      </w:r>
      <w:r w:rsidR="00FC58BC">
        <w:rPr>
          <w:rFonts w:ascii="Book Antiqua" w:hAnsi="Book Antiqua"/>
        </w:rPr>
        <w:t>t</w:t>
      </w:r>
      <w:proofErr w:type="spellEnd"/>
      <w:r w:rsidR="00FC58BC">
        <w:rPr>
          <w:rFonts w:ascii="Book Antiqua" w:hAnsi="Book Antiqua"/>
        </w:rPr>
        <w:t xml:space="preserve"> is in trouble</w:t>
      </w:r>
      <w:r w:rsidR="00303A9B" w:rsidRPr="006F4F5C">
        <w:rPr>
          <w:rFonts w:ascii="Book Antiqua" w:hAnsi="Book Antiqua"/>
        </w:rPr>
        <w:t xml:space="preserve">.  </w:t>
      </w:r>
      <w:r w:rsidRPr="006F4F5C">
        <w:rPr>
          <w:rFonts w:ascii="Book Antiqua" w:hAnsi="Book Antiqua"/>
        </w:rPr>
        <w:t xml:space="preserve">  </w:t>
      </w:r>
    </w:p>
    <w:p w14:paraId="0D26DD0F" w14:textId="7F52BF9F" w:rsidR="0025136D" w:rsidRPr="006F4F5C" w:rsidRDefault="00DE6876" w:rsidP="001D1D19">
      <w:pPr>
        <w:spacing w:line="360" w:lineRule="auto"/>
        <w:jc w:val="both"/>
        <w:rPr>
          <w:rFonts w:ascii="Book Antiqua" w:hAnsi="Book Antiqua"/>
        </w:rPr>
      </w:pPr>
      <w:r w:rsidRPr="006F4F5C">
        <w:rPr>
          <w:rFonts w:ascii="Book Antiqua" w:hAnsi="Book Antiqua"/>
        </w:rPr>
        <w:t xml:space="preserve"> </w:t>
      </w:r>
      <w:r w:rsidR="0025136D" w:rsidRPr="006F4F5C">
        <w:rPr>
          <w:rFonts w:ascii="Book Antiqua" w:hAnsi="Book Antiqua"/>
          <w:b/>
        </w:rPr>
        <w:t xml:space="preserve">Section </w:t>
      </w:r>
      <w:r w:rsidR="00227B7A" w:rsidRPr="006F4F5C">
        <w:rPr>
          <w:rFonts w:ascii="Book Antiqua" w:hAnsi="Book Antiqua"/>
          <w:b/>
        </w:rPr>
        <w:t>1</w:t>
      </w:r>
      <w:r w:rsidR="0025136D" w:rsidRPr="006F4F5C">
        <w:rPr>
          <w:rFonts w:ascii="Book Antiqua" w:hAnsi="Book Antiqua"/>
          <w:b/>
        </w:rPr>
        <w:t xml:space="preserve">:  </w:t>
      </w:r>
      <w:r w:rsidR="00E6588D" w:rsidRPr="006F4F5C">
        <w:rPr>
          <w:rFonts w:ascii="Book Antiqua" w:hAnsi="Book Antiqua"/>
          <w:b/>
        </w:rPr>
        <w:t>“</w:t>
      </w:r>
      <w:r w:rsidR="0030321D" w:rsidRPr="006F4F5C">
        <w:rPr>
          <w:rFonts w:ascii="Book Antiqua" w:hAnsi="Book Antiqua"/>
          <w:b/>
        </w:rPr>
        <w:t>Replacements” for</w:t>
      </w:r>
      <w:r w:rsidR="00E6588D" w:rsidRPr="006F4F5C">
        <w:rPr>
          <w:rFonts w:ascii="Book Antiqua" w:hAnsi="Book Antiqua"/>
          <w:b/>
        </w:rPr>
        <w:t xml:space="preserve"> the DDA and DDE</w:t>
      </w:r>
    </w:p>
    <w:p w14:paraId="0D89EF22" w14:textId="77777777" w:rsidR="00911129" w:rsidRDefault="00911129" w:rsidP="0057509C">
      <w:pPr>
        <w:spacing w:line="360" w:lineRule="auto"/>
        <w:jc w:val="both"/>
        <w:rPr>
          <w:rFonts w:ascii="Book Antiqua" w:hAnsi="Book Antiqua"/>
        </w:rPr>
      </w:pPr>
      <w:r>
        <w:rPr>
          <w:rFonts w:ascii="Book Antiqua" w:hAnsi="Book Antiqua"/>
        </w:rPr>
        <w:t>Before beginning my argument, I will clarify what I mean by a ‘replacement’ for the Doctrine of Double Effect or the Doctrine of Doing and Allowing.</w:t>
      </w:r>
    </w:p>
    <w:p w14:paraId="0DAA169F" w14:textId="7FA7B3BB" w:rsidR="002A3CD7" w:rsidRPr="00911129" w:rsidRDefault="00911129" w:rsidP="00911129">
      <w:pPr>
        <w:spacing w:line="360" w:lineRule="auto"/>
        <w:ind w:firstLine="720"/>
        <w:jc w:val="both"/>
        <w:rPr>
          <w:rFonts w:ascii="Book Antiqua" w:hAnsi="Book Antiqua"/>
        </w:rPr>
      </w:pPr>
      <w:r>
        <w:rPr>
          <w:rFonts w:ascii="Book Antiqua" w:hAnsi="Book Antiqua"/>
        </w:rPr>
        <w:t xml:space="preserve"> </w:t>
      </w:r>
      <w:r w:rsidR="002A3CD7" w:rsidRPr="006F4F5C">
        <w:rPr>
          <w:rFonts w:ascii="Book Antiqua" w:hAnsi="Book Antiqua"/>
        </w:rPr>
        <w:t xml:space="preserve">In Thomson’s famous Trolley Case, a runaway trolley is heading towards five people trapped on a track.  A bystander can pull a lever, switching the trolley to a side track, where only one person is trapped.  Most people think it is permissible to pull the switch, </w:t>
      </w:r>
      <w:r w:rsidR="002A3CD7" w:rsidRPr="006F4F5C">
        <w:rPr>
          <w:rFonts w:ascii="Book Antiqua" w:hAnsi="Book Antiqua"/>
        </w:rPr>
        <w:lastRenderedPageBreak/>
        <w:t>saving the five but killing the one.</w:t>
      </w:r>
      <w:r w:rsidR="002A3CD7" w:rsidRPr="006F4F5C">
        <w:rPr>
          <w:rStyle w:val="FootnoteReference"/>
          <w:rFonts w:ascii="Book Antiqua" w:hAnsi="Book Antiqua"/>
        </w:rPr>
        <w:footnoteReference w:id="3"/>
      </w:r>
      <w:r w:rsidR="002A3CD7" w:rsidRPr="006F4F5C">
        <w:rPr>
          <w:rFonts w:ascii="Book Antiqua" w:hAnsi="Book Antiqua"/>
        </w:rPr>
        <w:t xml:space="preserve">  In contrast, most people do not think it is permissible to push a large man off a bridge into the path of the trolley if this would bring the trolley to halt but kill the large man.</w:t>
      </w:r>
      <w:r w:rsidR="002A3CD7" w:rsidRPr="006F4F5C">
        <w:rPr>
          <w:rStyle w:val="FootnoteReference"/>
          <w:rFonts w:ascii="Book Antiqua" w:hAnsi="Book Antiqua"/>
        </w:rPr>
        <w:footnoteReference w:id="4"/>
      </w:r>
      <w:r w:rsidR="002A3CD7" w:rsidRPr="006F4F5C">
        <w:rPr>
          <w:rFonts w:ascii="Book Antiqua" w:hAnsi="Book Antiqua"/>
        </w:rPr>
        <w:t xml:space="preserve">  The Doctrine of Double Effect explains such cases by appeal to the deontological distinction between strictly intended </w:t>
      </w:r>
      <w:r w:rsidR="00E12B31" w:rsidRPr="006F4F5C">
        <w:rPr>
          <w:rFonts w:ascii="Book Antiqua" w:hAnsi="Book Antiqua"/>
        </w:rPr>
        <w:t xml:space="preserve">and merely foreseen harm.  The </w:t>
      </w:r>
      <w:r w:rsidR="002A3CD7" w:rsidRPr="006F4F5C">
        <w:rPr>
          <w:rFonts w:ascii="Book Antiqua" w:hAnsi="Book Antiqua"/>
        </w:rPr>
        <w:t>D</w:t>
      </w:r>
      <w:r w:rsidR="00502D26" w:rsidRPr="006F4F5C">
        <w:rPr>
          <w:rFonts w:ascii="Book Antiqua" w:hAnsi="Book Antiqua"/>
        </w:rPr>
        <w:t xml:space="preserve">octrine of </w:t>
      </w:r>
      <w:r w:rsidR="002A3CD7" w:rsidRPr="006F4F5C">
        <w:rPr>
          <w:rFonts w:ascii="Book Antiqua" w:hAnsi="Book Antiqua"/>
        </w:rPr>
        <w:t>D</w:t>
      </w:r>
      <w:r w:rsidR="00502D26" w:rsidRPr="006F4F5C">
        <w:rPr>
          <w:rFonts w:ascii="Book Antiqua" w:hAnsi="Book Antiqua"/>
        </w:rPr>
        <w:t xml:space="preserve">ouble </w:t>
      </w:r>
      <w:r w:rsidR="002A3CD7" w:rsidRPr="006F4F5C">
        <w:rPr>
          <w:rFonts w:ascii="Book Antiqua" w:hAnsi="Book Antiqua"/>
        </w:rPr>
        <w:t>E</w:t>
      </w:r>
      <w:r w:rsidR="00502D26" w:rsidRPr="006F4F5C">
        <w:rPr>
          <w:rFonts w:ascii="Book Antiqua" w:hAnsi="Book Antiqua"/>
        </w:rPr>
        <w:t>ffect</w:t>
      </w:r>
      <w:r w:rsidR="002A3CD7" w:rsidRPr="006F4F5C">
        <w:rPr>
          <w:rFonts w:ascii="Book Antiqua" w:hAnsi="Book Antiqua"/>
        </w:rPr>
        <w:t xml:space="preserve"> states that strictly intended harm is harder to justify than merely foreseen harm.  Saving five lives is enough to justify turning the trolley and killing the one because the death of the one is merely </w:t>
      </w:r>
      <w:r w:rsidR="0057509C" w:rsidRPr="006F4F5C">
        <w:rPr>
          <w:rFonts w:ascii="Book Antiqua" w:hAnsi="Book Antiqua"/>
        </w:rPr>
        <w:t>foreseen</w:t>
      </w:r>
      <w:r w:rsidR="002A3CD7" w:rsidRPr="006F4F5C">
        <w:rPr>
          <w:rFonts w:ascii="Book Antiqua" w:hAnsi="Book Antiqua"/>
        </w:rPr>
        <w:t>.  Saving the five is not enough to justify pushing the large man into the path of the trolley because the death of the large man would be strictly intended.</w:t>
      </w:r>
      <w:r w:rsidR="00E42872" w:rsidRPr="00E42872">
        <w:rPr>
          <w:rStyle w:val="FootnoteReference"/>
          <w:rFonts w:ascii="Book Antiqua" w:hAnsi="Book Antiqua"/>
        </w:rPr>
        <w:t xml:space="preserve"> </w:t>
      </w:r>
      <w:r w:rsidR="00E42872" w:rsidRPr="006F4F5C">
        <w:rPr>
          <w:rStyle w:val="FootnoteReference"/>
          <w:rFonts w:ascii="Book Antiqua" w:hAnsi="Book Antiqua"/>
        </w:rPr>
        <w:footnoteReference w:id="5"/>
      </w:r>
      <w:r w:rsidR="002A3CD7" w:rsidRPr="006F4F5C">
        <w:rPr>
          <w:rFonts w:ascii="Book Antiqua" w:hAnsi="Book Antiqua"/>
        </w:rPr>
        <w:t xml:space="preserve">   </w:t>
      </w:r>
    </w:p>
    <w:p w14:paraId="7FAEB345" w14:textId="77777777" w:rsidR="00270BFE" w:rsidRDefault="002A3CD7" w:rsidP="00270BFE">
      <w:pPr>
        <w:spacing w:line="360" w:lineRule="auto"/>
        <w:ind w:firstLine="720"/>
        <w:jc w:val="both"/>
        <w:rPr>
          <w:rFonts w:ascii="Book Antiqua" w:hAnsi="Book Antiqua"/>
        </w:rPr>
      </w:pPr>
      <w:r w:rsidRPr="006F4F5C">
        <w:rPr>
          <w:rFonts w:ascii="Book Antiqua" w:hAnsi="Book Antiqua"/>
        </w:rPr>
        <w:t>The D</w:t>
      </w:r>
      <w:r w:rsidR="00502D26" w:rsidRPr="006F4F5C">
        <w:rPr>
          <w:rFonts w:ascii="Book Antiqua" w:hAnsi="Book Antiqua"/>
        </w:rPr>
        <w:t xml:space="preserve">octrine of </w:t>
      </w:r>
      <w:r w:rsidRPr="006F4F5C">
        <w:rPr>
          <w:rFonts w:ascii="Book Antiqua" w:hAnsi="Book Antiqua"/>
        </w:rPr>
        <w:t>D</w:t>
      </w:r>
      <w:r w:rsidR="00502D26" w:rsidRPr="006F4F5C">
        <w:rPr>
          <w:rFonts w:ascii="Book Antiqua" w:hAnsi="Book Antiqua"/>
        </w:rPr>
        <w:t xml:space="preserve">ouble </w:t>
      </w:r>
      <w:r w:rsidRPr="006F4F5C">
        <w:rPr>
          <w:rFonts w:ascii="Book Antiqua" w:hAnsi="Book Antiqua"/>
        </w:rPr>
        <w:t>E</w:t>
      </w:r>
      <w:r w:rsidR="00502D26" w:rsidRPr="006F4F5C">
        <w:rPr>
          <w:rFonts w:ascii="Book Antiqua" w:hAnsi="Book Antiqua"/>
        </w:rPr>
        <w:t>ffect</w:t>
      </w:r>
      <w:r w:rsidRPr="006F4F5C">
        <w:rPr>
          <w:rFonts w:ascii="Book Antiqua" w:hAnsi="Book Antiqua"/>
        </w:rPr>
        <w:t xml:space="preserve"> </w:t>
      </w:r>
      <w:r w:rsidR="0030321D" w:rsidRPr="006F4F5C">
        <w:rPr>
          <w:rFonts w:ascii="Book Antiqua" w:hAnsi="Book Antiqua"/>
        </w:rPr>
        <w:t>has faced serious criticism.</w:t>
      </w:r>
      <w:r w:rsidR="0030321D" w:rsidRPr="006F4F5C">
        <w:rPr>
          <w:rStyle w:val="FootnoteReference"/>
          <w:rFonts w:ascii="Book Antiqua" w:hAnsi="Book Antiqua"/>
        </w:rPr>
        <w:footnoteReference w:id="6"/>
      </w:r>
      <w:r w:rsidR="0030321D" w:rsidRPr="006F4F5C">
        <w:rPr>
          <w:rFonts w:ascii="Book Antiqua" w:hAnsi="Book Antiqua"/>
        </w:rPr>
        <w:t xml:space="preserve">  In response to such criticism, several alternative </w:t>
      </w:r>
      <w:r w:rsidRPr="006F4F5C">
        <w:rPr>
          <w:rFonts w:ascii="Book Antiqua" w:hAnsi="Book Antiqua"/>
        </w:rPr>
        <w:t>attempt</w:t>
      </w:r>
      <w:r w:rsidR="0030321D" w:rsidRPr="006F4F5C">
        <w:rPr>
          <w:rFonts w:ascii="Book Antiqua" w:hAnsi="Book Antiqua"/>
        </w:rPr>
        <w:t>s have been made</w:t>
      </w:r>
      <w:r w:rsidRPr="006F4F5C">
        <w:rPr>
          <w:rFonts w:ascii="Book Antiqua" w:hAnsi="Book Antiqua"/>
        </w:rPr>
        <w:t xml:space="preserve"> to explain </w:t>
      </w:r>
      <w:r w:rsidR="0030321D" w:rsidRPr="006F4F5C">
        <w:rPr>
          <w:rFonts w:ascii="Book Antiqua" w:hAnsi="Book Antiqua"/>
        </w:rPr>
        <w:t>cases like Trolley and Bridge</w:t>
      </w:r>
      <w:r w:rsidRPr="006F4F5C">
        <w:rPr>
          <w:rFonts w:ascii="Book Antiqua" w:hAnsi="Book Antiqua"/>
        </w:rPr>
        <w:t xml:space="preserve">.  I will call a principle a </w:t>
      </w:r>
      <w:r w:rsidR="0030321D" w:rsidRPr="006F4F5C">
        <w:rPr>
          <w:rFonts w:ascii="Book Antiqua" w:hAnsi="Book Antiqua"/>
        </w:rPr>
        <w:t>replacement</w:t>
      </w:r>
      <w:r w:rsidRPr="006F4F5C">
        <w:rPr>
          <w:rFonts w:ascii="Book Antiqua" w:hAnsi="Book Antiqua"/>
        </w:rPr>
        <w:t xml:space="preserve"> Doctrine of Double Effect if it aims to explain cases like Trolley and Bridge</w:t>
      </w:r>
      <w:r w:rsidR="00753E56" w:rsidRPr="006F4F5C">
        <w:rPr>
          <w:rFonts w:ascii="Book Antiqua" w:hAnsi="Book Antiqua"/>
        </w:rPr>
        <w:t xml:space="preserve"> </w:t>
      </w:r>
      <w:r w:rsidRPr="006F4F5C">
        <w:rPr>
          <w:rFonts w:ascii="Book Antiqua" w:hAnsi="Book Antiqua"/>
        </w:rPr>
        <w:t>by appeal to a</w:t>
      </w:r>
      <w:r w:rsidR="0030321D" w:rsidRPr="006F4F5C">
        <w:rPr>
          <w:rFonts w:ascii="Book Antiqua" w:hAnsi="Book Antiqua"/>
        </w:rPr>
        <w:t>n alternative</w:t>
      </w:r>
      <w:r w:rsidRPr="006F4F5C">
        <w:rPr>
          <w:rFonts w:ascii="Book Antiqua" w:hAnsi="Book Antiqua"/>
        </w:rPr>
        <w:t xml:space="preserve"> deontological distinction.</w:t>
      </w:r>
      <w:r w:rsidR="00753E56" w:rsidRPr="006F4F5C">
        <w:rPr>
          <w:rStyle w:val="FootnoteReference"/>
          <w:rFonts w:ascii="Book Antiqua" w:hAnsi="Book Antiqua"/>
        </w:rPr>
        <w:footnoteReference w:id="7"/>
      </w:r>
      <w:r w:rsidRPr="006F4F5C">
        <w:rPr>
          <w:rFonts w:ascii="Book Antiqua" w:hAnsi="Book Antiqua"/>
        </w:rPr>
        <w:t xml:space="preserve"> </w:t>
      </w:r>
      <w:r w:rsidR="0030321D" w:rsidRPr="006F4F5C">
        <w:rPr>
          <w:rFonts w:ascii="Book Antiqua" w:hAnsi="Book Antiqua"/>
        </w:rPr>
        <w:t>Thus, for example,</w:t>
      </w:r>
      <w:r w:rsidR="00DD08AD" w:rsidRPr="006F4F5C">
        <w:rPr>
          <w:rFonts w:ascii="Book Antiqua" w:hAnsi="Book Antiqua"/>
        </w:rPr>
        <w:t xml:space="preserve"> Frances </w:t>
      </w:r>
      <w:proofErr w:type="spellStart"/>
      <w:r w:rsidR="00DD08AD" w:rsidRPr="006F4F5C">
        <w:rPr>
          <w:rFonts w:ascii="Book Antiqua" w:hAnsi="Book Antiqua"/>
        </w:rPr>
        <w:t>Kamm’s</w:t>
      </w:r>
      <w:proofErr w:type="spellEnd"/>
      <w:r w:rsidR="00DD08AD" w:rsidRPr="006F4F5C">
        <w:rPr>
          <w:rFonts w:ascii="Book Antiqua" w:hAnsi="Book Antiqua"/>
        </w:rPr>
        <w:t xml:space="preserve"> Doctrine of Productive Purity</w:t>
      </w:r>
      <w:r w:rsidR="0030321D" w:rsidRPr="006F4F5C">
        <w:rPr>
          <w:rFonts w:ascii="Book Antiqua" w:hAnsi="Book Antiqua"/>
        </w:rPr>
        <w:t xml:space="preserve"> </w:t>
      </w:r>
      <w:r w:rsidR="00DD08AD" w:rsidRPr="006F4F5C">
        <w:rPr>
          <w:rFonts w:ascii="Book Antiqua" w:hAnsi="Book Antiqua"/>
        </w:rPr>
        <w:t>count</w:t>
      </w:r>
      <w:r w:rsidR="0030321D" w:rsidRPr="006F4F5C">
        <w:rPr>
          <w:rFonts w:ascii="Book Antiqua" w:hAnsi="Book Antiqua"/>
        </w:rPr>
        <w:t>s</w:t>
      </w:r>
      <w:r w:rsidR="00DD08AD" w:rsidRPr="006F4F5C">
        <w:rPr>
          <w:rFonts w:ascii="Book Antiqua" w:hAnsi="Book Antiqua"/>
        </w:rPr>
        <w:t xml:space="preserve"> as </w:t>
      </w:r>
      <w:r w:rsidR="0030321D" w:rsidRPr="006F4F5C">
        <w:rPr>
          <w:rFonts w:ascii="Book Antiqua" w:hAnsi="Book Antiqua"/>
        </w:rPr>
        <w:t>a replacement for</w:t>
      </w:r>
      <w:r w:rsidR="00DD08AD" w:rsidRPr="006F4F5C">
        <w:rPr>
          <w:rFonts w:ascii="Book Antiqua" w:hAnsi="Book Antiqua"/>
        </w:rPr>
        <w:t xml:space="preserve"> the Doctrine of Double Effect.</w:t>
      </w:r>
      <w:r w:rsidR="00DD08AD" w:rsidRPr="006F4F5C">
        <w:rPr>
          <w:rStyle w:val="FootnoteReference"/>
          <w:rFonts w:ascii="Book Antiqua" w:hAnsi="Book Antiqua"/>
        </w:rPr>
        <w:footnoteReference w:id="8"/>
      </w:r>
      <w:r w:rsidR="00DD08AD" w:rsidRPr="006F4F5C">
        <w:rPr>
          <w:rFonts w:ascii="Book Antiqua" w:hAnsi="Book Antiqua"/>
        </w:rPr>
        <w:t xml:space="preserve">  </w:t>
      </w:r>
    </w:p>
    <w:p w14:paraId="5A2D8FA4" w14:textId="49775566" w:rsidR="00B023B7" w:rsidRDefault="00DD08AD" w:rsidP="00270BFE">
      <w:pPr>
        <w:spacing w:line="360" w:lineRule="auto"/>
        <w:ind w:firstLine="720"/>
        <w:jc w:val="both"/>
        <w:rPr>
          <w:rFonts w:ascii="Book Antiqua" w:hAnsi="Book Antiqua"/>
        </w:rPr>
      </w:pPr>
      <w:r w:rsidRPr="006F4F5C">
        <w:rPr>
          <w:rFonts w:ascii="Book Antiqua" w:hAnsi="Book Antiqua"/>
        </w:rPr>
        <w:lastRenderedPageBreak/>
        <w:t xml:space="preserve">A </w:t>
      </w:r>
      <w:r w:rsidR="0030321D" w:rsidRPr="006F4F5C">
        <w:rPr>
          <w:rFonts w:ascii="Book Antiqua" w:hAnsi="Book Antiqua"/>
        </w:rPr>
        <w:t>replacement for</w:t>
      </w:r>
      <w:r w:rsidRPr="006F4F5C">
        <w:rPr>
          <w:rFonts w:ascii="Book Antiqua" w:hAnsi="Book Antiqua"/>
        </w:rPr>
        <w:t xml:space="preserve"> the Doctrine of Double Effect </w:t>
      </w:r>
      <w:r w:rsidR="0030321D" w:rsidRPr="006F4F5C">
        <w:rPr>
          <w:rFonts w:ascii="Book Antiqua" w:hAnsi="Book Antiqua"/>
        </w:rPr>
        <w:t>need</w:t>
      </w:r>
      <w:r w:rsidRPr="006F4F5C">
        <w:rPr>
          <w:rFonts w:ascii="Book Antiqua" w:hAnsi="Book Antiqua"/>
        </w:rPr>
        <w:t xml:space="preserve"> not appeal to the agent’s intentions. </w:t>
      </w:r>
      <w:r w:rsidR="00270BFE">
        <w:rPr>
          <w:rFonts w:ascii="Book Antiqua" w:hAnsi="Book Antiqua"/>
        </w:rPr>
        <w:t xml:space="preserve">My interest in this paper </w:t>
      </w:r>
      <w:r w:rsidR="00270BFE" w:rsidRPr="006F4F5C">
        <w:rPr>
          <w:rFonts w:ascii="Book Antiqua" w:hAnsi="Book Antiqua"/>
        </w:rPr>
        <w:t xml:space="preserve">is in a particular phenomenon and a method of explaining it rather than the details of any given explanation.  </w:t>
      </w:r>
      <w:r w:rsidRPr="006F4F5C">
        <w:rPr>
          <w:rFonts w:ascii="Book Antiqua" w:hAnsi="Book Antiqua"/>
        </w:rPr>
        <w:t xml:space="preserve"> </w:t>
      </w:r>
      <w:r w:rsidR="00270BFE" w:rsidRPr="006F4F5C">
        <w:rPr>
          <w:rFonts w:ascii="Book Antiqua" w:hAnsi="Book Antiqua"/>
        </w:rPr>
        <w:t xml:space="preserve">I am looking at principles </w:t>
      </w:r>
      <w:r w:rsidR="00270BFE">
        <w:rPr>
          <w:rFonts w:ascii="Book Antiqua" w:hAnsi="Book Antiqua"/>
        </w:rPr>
        <w:t>that</w:t>
      </w:r>
      <w:r w:rsidR="00270BFE" w:rsidRPr="006F4F5C">
        <w:rPr>
          <w:rFonts w:ascii="Book Antiqua" w:hAnsi="Book Antiqua"/>
        </w:rPr>
        <w:t xml:space="preserve"> attempt to explain widespread intuitions about cases like Trolley and Bridge, the kind of cases that motivate appeal to the</w:t>
      </w:r>
      <w:r w:rsidR="00270BFE">
        <w:rPr>
          <w:rFonts w:ascii="Book Antiqua" w:hAnsi="Book Antiqua"/>
        </w:rPr>
        <w:t xml:space="preserve"> </w:t>
      </w:r>
      <w:r w:rsidR="00270BFE" w:rsidRPr="006F4F5C">
        <w:rPr>
          <w:rFonts w:ascii="Book Antiqua" w:hAnsi="Book Antiqua"/>
        </w:rPr>
        <w:t>Doctrine of Double Effect in contemporary debate.</w:t>
      </w:r>
      <w:r w:rsidR="00270BFE">
        <w:rPr>
          <w:rStyle w:val="FootnoteReference"/>
          <w:rFonts w:ascii="Book Antiqua" w:hAnsi="Book Antiqua"/>
        </w:rPr>
        <w:footnoteReference w:id="9"/>
      </w:r>
      <w:r w:rsidR="00270BFE" w:rsidRPr="006F4F5C">
        <w:rPr>
          <w:rFonts w:ascii="Book Antiqua" w:hAnsi="Book Antiqua"/>
        </w:rPr>
        <w:t xml:space="preserve">  I am interested in principles based on deontological distinctions: they must try to explain the difference between </w:t>
      </w:r>
      <w:r w:rsidR="00270BFE">
        <w:rPr>
          <w:rFonts w:ascii="Book Antiqua" w:hAnsi="Book Antiqua"/>
        </w:rPr>
        <w:t xml:space="preserve">these </w:t>
      </w:r>
      <w:r w:rsidR="00270BFE" w:rsidRPr="006F4F5C">
        <w:rPr>
          <w:rFonts w:ascii="Book Antiqua" w:hAnsi="Book Antiqua"/>
        </w:rPr>
        <w:t xml:space="preserve">cases by appeal to some distinction between types of harmful consequences of an agent’s behaviour. A </w:t>
      </w:r>
      <w:proofErr w:type="spellStart"/>
      <w:r w:rsidR="00270BFE" w:rsidRPr="006F4F5C">
        <w:rPr>
          <w:rFonts w:ascii="Book Antiqua" w:hAnsi="Book Antiqua"/>
        </w:rPr>
        <w:t>Nonconsequentialist</w:t>
      </w:r>
      <w:proofErr w:type="spellEnd"/>
      <w:r w:rsidR="00270BFE" w:rsidRPr="006F4F5C">
        <w:rPr>
          <w:rFonts w:ascii="Book Antiqua" w:hAnsi="Book Antiqua"/>
        </w:rPr>
        <w:t xml:space="preserve"> who accept</w:t>
      </w:r>
      <w:r w:rsidR="00270BFE">
        <w:rPr>
          <w:rFonts w:ascii="Book Antiqua" w:hAnsi="Book Antiqua"/>
        </w:rPr>
        <w:t>s</w:t>
      </w:r>
      <w:r w:rsidR="00270BFE" w:rsidRPr="006F4F5C">
        <w:rPr>
          <w:rFonts w:ascii="Book Antiqua" w:hAnsi="Book Antiqua"/>
        </w:rPr>
        <w:t xml:space="preserve"> </w:t>
      </w:r>
      <w:r w:rsidR="00270BFE">
        <w:rPr>
          <w:rFonts w:ascii="Book Antiqua" w:hAnsi="Book Antiqua"/>
        </w:rPr>
        <w:t>any</w:t>
      </w:r>
      <w:r w:rsidR="00270BFE" w:rsidRPr="006F4F5C">
        <w:rPr>
          <w:rFonts w:ascii="Book Antiqua" w:hAnsi="Book Antiqua"/>
        </w:rPr>
        <w:t xml:space="preserve"> </w:t>
      </w:r>
      <w:r w:rsidR="00270BFE">
        <w:rPr>
          <w:rFonts w:ascii="Book Antiqua" w:hAnsi="Book Antiqua"/>
        </w:rPr>
        <w:t>such principle</w:t>
      </w:r>
      <w:r w:rsidR="00270BFE" w:rsidRPr="006F4F5C">
        <w:rPr>
          <w:rFonts w:ascii="Book Antiqua" w:hAnsi="Book Antiqua"/>
        </w:rPr>
        <w:t xml:space="preserve"> </w:t>
      </w:r>
      <w:r w:rsidR="00270BFE">
        <w:rPr>
          <w:rFonts w:ascii="Book Antiqua" w:hAnsi="Book Antiqua"/>
        </w:rPr>
        <w:t xml:space="preserve">counts as </w:t>
      </w:r>
      <w:r w:rsidR="00270BFE" w:rsidRPr="006F4F5C">
        <w:rPr>
          <w:rFonts w:ascii="Book Antiqua" w:hAnsi="Book Antiqua"/>
        </w:rPr>
        <w:t>accepting the Doctrine of Double Effect or a replacement for that principle.</w:t>
      </w:r>
    </w:p>
    <w:p w14:paraId="3A544398" w14:textId="4178624B" w:rsidR="007E6E10" w:rsidRDefault="002A3CD7" w:rsidP="007E6E10">
      <w:pPr>
        <w:spacing w:line="360" w:lineRule="auto"/>
        <w:ind w:firstLine="720"/>
        <w:jc w:val="both"/>
        <w:rPr>
          <w:rFonts w:ascii="Book Antiqua" w:hAnsi="Book Antiqua"/>
        </w:rPr>
      </w:pPr>
      <w:r w:rsidRPr="006F4F5C">
        <w:rPr>
          <w:rFonts w:ascii="Book Antiqua" w:hAnsi="Book Antiqua"/>
        </w:rPr>
        <w:t>Similarly, a “</w:t>
      </w:r>
      <w:r w:rsidR="00C46638" w:rsidRPr="006F4F5C">
        <w:rPr>
          <w:rFonts w:ascii="Book Antiqua" w:hAnsi="Book Antiqua"/>
        </w:rPr>
        <w:t>replacement</w:t>
      </w:r>
      <w:r w:rsidRPr="006F4F5C">
        <w:rPr>
          <w:rFonts w:ascii="Book Antiqua" w:hAnsi="Book Antiqua"/>
        </w:rPr>
        <w:t xml:space="preserve">” </w:t>
      </w:r>
      <w:r w:rsidR="00C46638" w:rsidRPr="006F4F5C">
        <w:rPr>
          <w:rFonts w:ascii="Book Antiqua" w:hAnsi="Book Antiqua"/>
        </w:rPr>
        <w:t>for</w:t>
      </w:r>
      <w:r w:rsidRPr="006F4F5C">
        <w:rPr>
          <w:rFonts w:ascii="Book Antiqua" w:hAnsi="Book Antiqua"/>
        </w:rPr>
        <w:t xml:space="preserve"> the Doctrine of Doing and Allowing is any </w:t>
      </w:r>
      <w:r w:rsidR="00C46638" w:rsidRPr="006F4F5C">
        <w:rPr>
          <w:rFonts w:ascii="Book Antiqua" w:hAnsi="Book Antiqua"/>
        </w:rPr>
        <w:t xml:space="preserve">alternative </w:t>
      </w:r>
      <w:r w:rsidRPr="006F4F5C">
        <w:rPr>
          <w:rFonts w:ascii="Book Antiqua" w:hAnsi="Book Antiqua"/>
        </w:rPr>
        <w:t>principle that appeals to a deontological distinction to explain the types of cases</w:t>
      </w:r>
      <w:r w:rsidR="00742025" w:rsidRPr="006F4F5C">
        <w:rPr>
          <w:rStyle w:val="FootnoteReference"/>
          <w:rFonts w:ascii="Book Antiqua" w:hAnsi="Book Antiqua"/>
        </w:rPr>
        <w:footnoteReference w:id="10"/>
      </w:r>
      <w:r w:rsidR="00742025">
        <w:rPr>
          <w:rFonts w:ascii="Book Antiqua" w:hAnsi="Book Antiqua"/>
        </w:rPr>
        <w:t xml:space="preserve"> </w:t>
      </w:r>
      <w:r w:rsidRPr="006F4F5C">
        <w:rPr>
          <w:rFonts w:ascii="Book Antiqua" w:hAnsi="Book Antiqua"/>
        </w:rPr>
        <w:t>that have typically motivated the claim that doing harm is harder to justify than merel</w:t>
      </w:r>
      <w:r w:rsidR="00BD645B" w:rsidRPr="006F4F5C">
        <w:rPr>
          <w:rFonts w:ascii="Book Antiqua" w:hAnsi="Book Antiqua"/>
        </w:rPr>
        <w:t>y allowing harm</w:t>
      </w:r>
      <w:r w:rsidR="005C76C7" w:rsidRPr="006F4F5C">
        <w:rPr>
          <w:rFonts w:ascii="Book Antiqua" w:hAnsi="Book Antiqua"/>
        </w:rPr>
        <w:t>.</w:t>
      </w:r>
      <w:r w:rsidR="006E507E" w:rsidRPr="006F4F5C">
        <w:rPr>
          <w:rStyle w:val="FootnoteReference"/>
          <w:rFonts w:ascii="Book Antiqua" w:hAnsi="Book Antiqua"/>
        </w:rPr>
        <w:footnoteReference w:id="11"/>
      </w:r>
    </w:p>
    <w:p w14:paraId="425FBEB9" w14:textId="15F94562" w:rsidR="007E6E10" w:rsidRDefault="00C961E1" w:rsidP="007E6E10">
      <w:pPr>
        <w:spacing w:line="360" w:lineRule="auto"/>
        <w:ind w:firstLine="720"/>
        <w:jc w:val="both"/>
        <w:rPr>
          <w:rFonts w:ascii="Book Antiqua" w:hAnsi="Book Antiqua"/>
        </w:rPr>
      </w:pPr>
      <w:r>
        <w:rPr>
          <w:rFonts w:ascii="Book Antiqua" w:hAnsi="Book Antiqua"/>
        </w:rPr>
        <w:t xml:space="preserve">I argue that any </w:t>
      </w:r>
      <w:proofErr w:type="spellStart"/>
      <w:r>
        <w:rPr>
          <w:rFonts w:ascii="Book Antiqua" w:hAnsi="Book Antiqua"/>
        </w:rPr>
        <w:t>nonconsequentialist</w:t>
      </w:r>
      <w:proofErr w:type="spellEnd"/>
      <w:r>
        <w:rPr>
          <w:rFonts w:ascii="Book Antiqua" w:hAnsi="Book Antiqua"/>
        </w:rPr>
        <w:t xml:space="preserve"> must accept the DDA (or a replacement of the DDA) and the DDE (or a replacement of the DDE).  My argument involves three premises:</w:t>
      </w:r>
    </w:p>
    <w:p w14:paraId="3EBB5572" w14:textId="77777777" w:rsidR="007E6E10" w:rsidRPr="00C961E1" w:rsidRDefault="007E6E10" w:rsidP="007E6E10">
      <w:pPr>
        <w:spacing w:line="360" w:lineRule="auto"/>
        <w:jc w:val="both"/>
        <w:rPr>
          <w:rFonts w:ascii="Book Antiqua" w:hAnsi="Book Antiqua"/>
          <w:i/>
        </w:rPr>
      </w:pPr>
      <w:r w:rsidRPr="00C961E1">
        <w:rPr>
          <w:rFonts w:ascii="Book Antiqua" w:hAnsi="Book Antiqua"/>
          <w:i/>
        </w:rPr>
        <w:t xml:space="preserve">Premise 1:  The </w:t>
      </w:r>
      <w:proofErr w:type="spellStart"/>
      <w:r w:rsidRPr="00C961E1">
        <w:rPr>
          <w:rFonts w:ascii="Book Antiqua" w:hAnsi="Book Antiqua"/>
          <w:i/>
        </w:rPr>
        <w:t>Nonconsequentialist</w:t>
      </w:r>
      <w:proofErr w:type="spellEnd"/>
      <w:r w:rsidRPr="00C961E1">
        <w:rPr>
          <w:rFonts w:ascii="Book Antiqua" w:hAnsi="Book Antiqua"/>
          <w:i/>
        </w:rPr>
        <w:t xml:space="preserve"> must accept some deontological distinction</w:t>
      </w:r>
    </w:p>
    <w:p w14:paraId="0F59C889" w14:textId="77777777" w:rsidR="00C961E1" w:rsidRPr="00C961E1" w:rsidRDefault="00C961E1" w:rsidP="00C961E1">
      <w:pPr>
        <w:spacing w:line="360" w:lineRule="auto"/>
        <w:jc w:val="both"/>
        <w:rPr>
          <w:rFonts w:ascii="Book Antiqua" w:hAnsi="Book Antiqua"/>
          <w:i/>
        </w:rPr>
      </w:pPr>
      <w:r w:rsidRPr="00C961E1">
        <w:rPr>
          <w:rFonts w:ascii="Book Antiqua" w:hAnsi="Book Antiqua"/>
          <w:i/>
        </w:rPr>
        <w:lastRenderedPageBreak/>
        <w:t>Premise 2:  The Deontological Distinction should be the DDE or DDA or a replacement of one of those doctrines</w:t>
      </w:r>
    </w:p>
    <w:p w14:paraId="36095F51" w14:textId="77777777" w:rsidR="00C961E1" w:rsidRDefault="00C961E1" w:rsidP="00C961E1">
      <w:pPr>
        <w:spacing w:line="360" w:lineRule="auto"/>
        <w:jc w:val="both"/>
        <w:rPr>
          <w:rFonts w:ascii="Book Antiqua" w:hAnsi="Book Antiqua"/>
          <w:i/>
        </w:rPr>
      </w:pPr>
      <w:r w:rsidRPr="00C961E1">
        <w:rPr>
          <w:rFonts w:ascii="Book Antiqua" w:hAnsi="Book Antiqua"/>
          <w:i/>
        </w:rPr>
        <w:t>Premise 3:  Anyone who one doctrine must accept both:  anyone who accepts the DDE (or a replacement of the DDE) must accept the DDA (or a replacement of the DDA); anyone who accepts the DDA (or a replacement of the DDA) must accept the DDE (or a replacement of the DDE)</w:t>
      </w:r>
      <w:r>
        <w:rPr>
          <w:rFonts w:ascii="Book Antiqua" w:hAnsi="Book Antiqua"/>
          <w:i/>
        </w:rPr>
        <w:t>.</w:t>
      </w:r>
    </w:p>
    <w:p w14:paraId="5803E9BE" w14:textId="5398193E" w:rsidR="00C961E1" w:rsidRDefault="00C961E1" w:rsidP="00C961E1">
      <w:pPr>
        <w:spacing w:line="360" w:lineRule="auto"/>
        <w:jc w:val="both"/>
        <w:rPr>
          <w:rFonts w:ascii="Book Antiqua" w:hAnsi="Book Antiqua"/>
        </w:rPr>
      </w:pPr>
      <w:r>
        <w:rPr>
          <w:rFonts w:ascii="Book Antiqua" w:hAnsi="Book Antiqua"/>
          <w:i/>
        </w:rPr>
        <w:t xml:space="preserve">Conclusion: The </w:t>
      </w:r>
      <w:proofErr w:type="spellStart"/>
      <w:r>
        <w:rPr>
          <w:rFonts w:ascii="Book Antiqua" w:hAnsi="Book Antiqua"/>
          <w:i/>
        </w:rPr>
        <w:t>Nonconsequentialist</w:t>
      </w:r>
      <w:proofErr w:type="spellEnd"/>
      <w:r>
        <w:rPr>
          <w:rFonts w:ascii="Book Antiqua" w:hAnsi="Book Antiqua"/>
          <w:i/>
        </w:rPr>
        <w:t xml:space="preserve"> should accept both the DDA (or a replacement of the DDA) and the DDE (or a replacement of the DDE)</w:t>
      </w:r>
      <w:r w:rsidRPr="00C961E1">
        <w:rPr>
          <w:rFonts w:ascii="Book Antiqua" w:hAnsi="Book Antiqua"/>
          <w:i/>
        </w:rPr>
        <w:t>.</w:t>
      </w:r>
    </w:p>
    <w:p w14:paraId="48354596" w14:textId="38FC2535" w:rsidR="007E6E10" w:rsidRPr="006F4F5C" w:rsidRDefault="00C961E1" w:rsidP="00C961E1">
      <w:pPr>
        <w:spacing w:line="360" w:lineRule="auto"/>
        <w:jc w:val="both"/>
        <w:rPr>
          <w:rFonts w:ascii="Book Antiqua" w:hAnsi="Book Antiqua"/>
        </w:rPr>
      </w:pPr>
      <w:r>
        <w:rPr>
          <w:rFonts w:ascii="Book Antiqua" w:hAnsi="Book Antiqua"/>
        </w:rPr>
        <w:t>I will now establish each of these premises in turn.</w:t>
      </w:r>
    </w:p>
    <w:p w14:paraId="54EA6A53" w14:textId="369CAD02" w:rsidR="00D77755" w:rsidRPr="006F4F5C" w:rsidRDefault="004E022E" w:rsidP="00D77755">
      <w:pPr>
        <w:spacing w:line="360" w:lineRule="auto"/>
        <w:jc w:val="both"/>
        <w:rPr>
          <w:rFonts w:ascii="Book Antiqua" w:hAnsi="Book Antiqua"/>
          <w:b/>
        </w:rPr>
      </w:pPr>
      <w:r w:rsidRPr="006F4F5C">
        <w:rPr>
          <w:rFonts w:ascii="Book Antiqua" w:hAnsi="Book Antiqua"/>
          <w:b/>
        </w:rPr>
        <w:t xml:space="preserve">Premise 1:  </w:t>
      </w:r>
      <w:r w:rsidR="00F06934" w:rsidRPr="006F4F5C">
        <w:rPr>
          <w:rFonts w:ascii="Book Antiqua" w:hAnsi="Book Antiqua"/>
          <w:b/>
        </w:rPr>
        <w:t xml:space="preserve">The </w:t>
      </w:r>
      <w:r w:rsidRPr="006F4F5C">
        <w:rPr>
          <w:rFonts w:ascii="Book Antiqua" w:hAnsi="Book Antiqua"/>
          <w:b/>
        </w:rPr>
        <w:t xml:space="preserve">Nonconsequentialist must accept some </w:t>
      </w:r>
      <w:r w:rsidR="002656D9" w:rsidRPr="006F4F5C">
        <w:rPr>
          <w:rFonts w:ascii="Book Antiqua" w:hAnsi="Book Antiqua"/>
          <w:b/>
        </w:rPr>
        <w:t>deontological distinction</w:t>
      </w:r>
    </w:p>
    <w:p w14:paraId="5E014F66" w14:textId="5C767792" w:rsidR="00F06934" w:rsidRPr="006F4F5C" w:rsidRDefault="000D3211" w:rsidP="006D3E3A">
      <w:pPr>
        <w:spacing w:line="360" w:lineRule="auto"/>
        <w:jc w:val="both"/>
        <w:rPr>
          <w:rFonts w:ascii="Book Antiqua" w:hAnsi="Book Antiqua"/>
        </w:rPr>
      </w:pPr>
      <w:r>
        <w:rPr>
          <w:rFonts w:ascii="Book Antiqua" w:hAnsi="Book Antiqua"/>
        </w:rPr>
        <w:t>A</w:t>
      </w:r>
      <w:r w:rsidR="00D8551F" w:rsidRPr="006F4F5C">
        <w:rPr>
          <w:rFonts w:ascii="Book Antiqua" w:hAnsi="Book Antiqua"/>
        </w:rPr>
        <w:t>ny</w:t>
      </w:r>
      <w:r w:rsidR="00204329" w:rsidRPr="006F4F5C">
        <w:rPr>
          <w:rFonts w:ascii="Book Antiqua" w:hAnsi="Book Antiqua"/>
        </w:rPr>
        <w:t>one who endorses a</w:t>
      </w:r>
      <w:r w:rsidR="00D8551F" w:rsidRPr="006F4F5C">
        <w:rPr>
          <w:rFonts w:ascii="Book Antiqua" w:hAnsi="Book Antiqua"/>
        </w:rPr>
        <w:t xml:space="preserve"> </w:t>
      </w:r>
      <w:r w:rsidR="00F06934" w:rsidRPr="006F4F5C">
        <w:rPr>
          <w:rFonts w:ascii="Book Antiqua" w:hAnsi="Book Antiqua"/>
        </w:rPr>
        <w:t>theory</w:t>
      </w:r>
      <w:r w:rsidR="00204329" w:rsidRPr="006F4F5C">
        <w:rPr>
          <w:rFonts w:ascii="Book Antiqua" w:hAnsi="Book Antiqua"/>
        </w:rPr>
        <w:t xml:space="preserve"> of right action</w:t>
      </w:r>
      <w:r w:rsidR="00FB5C68" w:rsidRPr="006F4F5C">
        <w:rPr>
          <w:rFonts w:ascii="Book Antiqua" w:hAnsi="Book Antiqua"/>
        </w:rPr>
        <w:t xml:space="preserve"> with Nonconsequentialist implications</w:t>
      </w:r>
      <w:r w:rsidR="00204329" w:rsidRPr="006F4F5C">
        <w:rPr>
          <w:rFonts w:ascii="Book Antiqua" w:hAnsi="Book Antiqua"/>
        </w:rPr>
        <w:t xml:space="preserve"> </w:t>
      </w:r>
      <w:r w:rsidR="00D8551F" w:rsidRPr="006F4F5C">
        <w:rPr>
          <w:rFonts w:ascii="Book Antiqua" w:hAnsi="Book Antiqua"/>
        </w:rPr>
        <w:t xml:space="preserve">must accept </w:t>
      </w:r>
      <w:r>
        <w:rPr>
          <w:rFonts w:ascii="Book Antiqua" w:hAnsi="Book Antiqua"/>
        </w:rPr>
        <w:t xml:space="preserve">some deontological distinction.  </w:t>
      </w:r>
      <w:r w:rsidR="00F06934" w:rsidRPr="006F4F5C">
        <w:rPr>
          <w:rFonts w:ascii="Book Antiqua" w:hAnsi="Book Antiqua"/>
        </w:rPr>
        <w:t>A theory</w:t>
      </w:r>
      <w:r w:rsidR="00204329" w:rsidRPr="006F4F5C">
        <w:rPr>
          <w:rFonts w:ascii="Book Antiqua" w:hAnsi="Book Antiqua"/>
        </w:rPr>
        <w:t xml:space="preserve"> of right action </w:t>
      </w:r>
      <w:r w:rsidR="00F06934" w:rsidRPr="006F4F5C">
        <w:rPr>
          <w:rFonts w:ascii="Book Antiqua" w:hAnsi="Book Antiqua"/>
        </w:rPr>
        <w:t>provides principles that tell</w:t>
      </w:r>
      <w:r w:rsidR="00204329" w:rsidRPr="006F4F5C">
        <w:rPr>
          <w:rFonts w:ascii="Book Antiqua" w:hAnsi="Book Antiqua"/>
        </w:rPr>
        <w:t xml:space="preserve"> us what do to in at least most circumstances. </w:t>
      </w:r>
      <w:r w:rsidR="00F06934" w:rsidRPr="006F4F5C">
        <w:rPr>
          <w:rFonts w:ascii="Book Antiqua" w:hAnsi="Book Antiqua"/>
        </w:rPr>
        <w:t xml:space="preserve"> In identifying </w:t>
      </w:r>
      <w:r w:rsidR="00FB5C68" w:rsidRPr="006F4F5C">
        <w:rPr>
          <w:rFonts w:ascii="Book Antiqua" w:hAnsi="Book Antiqua"/>
        </w:rPr>
        <w:t>Nonconsequentialist theories</w:t>
      </w:r>
      <w:r w:rsidR="00F06934" w:rsidRPr="006F4F5C">
        <w:rPr>
          <w:rFonts w:ascii="Book Antiqua" w:hAnsi="Book Antiqua"/>
        </w:rPr>
        <w:t xml:space="preserve"> o</w:t>
      </w:r>
      <w:r w:rsidR="008F0B5E" w:rsidRPr="006F4F5C">
        <w:rPr>
          <w:rFonts w:ascii="Book Antiqua" w:hAnsi="Book Antiqua"/>
        </w:rPr>
        <w:t xml:space="preserve">f right action I am interested only in what the theory tells us do.  I am not concerned with the ultimate justification offered by the theory.  A moral theory might combine a Nonconsequentialist justification of what makes actions right with Consequentialist implications.  For example, someone might interpret the Categorical Imperative as requiring that we minimise the destruction of rationality.  This would count as a Consequentialist theory </w:t>
      </w:r>
      <w:r w:rsidR="00FB5C68" w:rsidRPr="006F4F5C">
        <w:rPr>
          <w:rFonts w:ascii="Book Antiqua" w:hAnsi="Book Antiqua"/>
        </w:rPr>
        <w:t>for my purposes</w:t>
      </w:r>
      <w:r w:rsidR="008F0B5E" w:rsidRPr="006F4F5C">
        <w:rPr>
          <w:rFonts w:ascii="Book Antiqua" w:hAnsi="Book Antiqua"/>
        </w:rPr>
        <w:t>.</w:t>
      </w:r>
      <w:r w:rsidR="00502D26" w:rsidRPr="006F4F5C">
        <w:rPr>
          <w:rStyle w:val="FootnoteReference"/>
          <w:rFonts w:ascii="Book Antiqua" w:hAnsi="Book Antiqua"/>
        </w:rPr>
        <w:footnoteReference w:id="12"/>
      </w:r>
      <w:r w:rsidR="008F0B5E" w:rsidRPr="006F4F5C">
        <w:rPr>
          <w:rFonts w:ascii="Book Antiqua" w:hAnsi="Book Antiqua"/>
        </w:rPr>
        <w:t xml:space="preserve"> </w:t>
      </w:r>
    </w:p>
    <w:p w14:paraId="3FFDDD13" w14:textId="14F2D87C" w:rsidR="00E97337" w:rsidRPr="006F4F5C" w:rsidRDefault="00E31716" w:rsidP="00FB5C68">
      <w:pPr>
        <w:spacing w:line="360" w:lineRule="auto"/>
        <w:ind w:firstLine="720"/>
        <w:jc w:val="both"/>
        <w:rPr>
          <w:rFonts w:ascii="Book Antiqua" w:hAnsi="Book Antiqua"/>
        </w:rPr>
      </w:pPr>
      <w:r w:rsidRPr="006F4F5C">
        <w:rPr>
          <w:rFonts w:ascii="Book Antiqua" w:hAnsi="Book Antiqua"/>
        </w:rPr>
        <w:t>The distinction</w:t>
      </w:r>
      <w:r w:rsidR="00204329" w:rsidRPr="006F4F5C">
        <w:rPr>
          <w:rFonts w:ascii="Book Antiqua" w:hAnsi="Book Antiqua"/>
        </w:rPr>
        <w:t xml:space="preserve"> between Consequentialist and Nonconsequentialist </w:t>
      </w:r>
      <w:r w:rsidRPr="006F4F5C">
        <w:rPr>
          <w:rFonts w:ascii="Book Antiqua" w:hAnsi="Book Antiqua"/>
        </w:rPr>
        <w:t xml:space="preserve">is familiar, but notoriously difficult to pinpoint.  </w:t>
      </w:r>
      <w:r w:rsidR="00D8551F" w:rsidRPr="006F4F5C">
        <w:rPr>
          <w:rFonts w:ascii="Book Antiqua" w:hAnsi="Book Antiqua"/>
        </w:rPr>
        <w:t>P</w:t>
      </w:r>
      <w:r w:rsidR="000D3211">
        <w:rPr>
          <w:rFonts w:ascii="Book Antiqua" w:hAnsi="Book Antiqua"/>
        </w:rPr>
        <w:t xml:space="preserve">hilip Pettit has argued that this distinction </w:t>
      </w:r>
      <w:r w:rsidR="007E3F2C" w:rsidRPr="006F4F5C">
        <w:rPr>
          <w:rFonts w:ascii="Book Antiqua" w:hAnsi="Book Antiqua"/>
        </w:rPr>
        <w:t xml:space="preserve">should be understood in terms of the difference between honouring and promoting values.  “Consequentialism is the view that whatever values an individual or institutional agent adopts the proper </w:t>
      </w:r>
      <w:r w:rsidR="00606D96" w:rsidRPr="006F4F5C">
        <w:rPr>
          <w:rFonts w:ascii="Book Antiqua" w:hAnsi="Book Antiqua"/>
        </w:rPr>
        <w:t>response to those values is to promote them…. Opponents of consequentialism, on the other hand, hold that at least some values call to be honoured whether or not they are thereby promoted.”</w:t>
      </w:r>
      <w:r w:rsidR="00606D96" w:rsidRPr="006F4F5C">
        <w:rPr>
          <w:rStyle w:val="FootnoteReference"/>
          <w:rFonts w:ascii="Book Antiqua" w:hAnsi="Book Antiqua"/>
        </w:rPr>
        <w:footnoteReference w:id="13"/>
      </w:r>
      <w:r w:rsidR="00606D96" w:rsidRPr="006F4F5C">
        <w:rPr>
          <w:rFonts w:ascii="Book Antiqua" w:hAnsi="Book Antiqua"/>
        </w:rPr>
        <w:t xml:space="preserve">  </w:t>
      </w:r>
      <w:r w:rsidR="00617CB8" w:rsidRPr="006F4F5C">
        <w:rPr>
          <w:rFonts w:ascii="Book Antiqua" w:hAnsi="Book Antiqua"/>
        </w:rPr>
        <w:t xml:space="preserve"> To promote a value is to select options according to how far those options would lead to the realisation of that value.</w:t>
      </w:r>
      <w:r w:rsidR="00E86955" w:rsidRPr="006F4F5C">
        <w:rPr>
          <w:rStyle w:val="FootnoteReference"/>
          <w:rFonts w:ascii="Book Antiqua" w:hAnsi="Book Antiqua"/>
        </w:rPr>
        <w:footnoteReference w:id="14"/>
      </w:r>
      <w:r w:rsidR="00617CB8" w:rsidRPr="006F4F5C">
        <w:rPr>
          <w:rFonts w:ascii="Book Antiqua" w:hAnsi="Book Antiqua"/>
        </w:rPr>
        <w:t xml:space="preserve">  If the core value is honesty, promoting this value requires us to choose the behaviour which will lead to the least deception, even if this means lying ourselves. </w:t>
      </w:r>
      <w:r w:rsidR="00BD7B75" w:rsidRPr="006F4F5C">
        <w:rPr>
          <w:rFonts w:ascii="Book Antiqua" w:hAnsi="Book Antiqua"/>
        </w:rPr>
        <w:t xml:space="preserve">In contrast, it is generally accepted </w:t>
      </w:r>
      <w:r w:rsidR="00BD7B75" w:rsidRPr="006F4F5C">
        <w:rPr>
          <w:rFonts w:ascii="Book Antiqua" w:hAnsi="Book Antiqua"/>
        </w:rPr>
        <w:lastRenderedPageBreak/>
        <w:t xml:space="preserve">that honouring the value of honesty requires us to </w:t>
      </w:r>
      <w:r w:rsidR="006D3E3A" w:rsidRPr="006F4F5C">
        <w:rPr>
          <w:rFonts w:ascii="Book Antiqua" w:hAnsi="Book Antiqua"/>
        </w:rPr>
        <w:t>norm</w:t>
      </w:r>
      <w:r w:rsidR="00BD7B75" w:rsidRPr="006F4F5C">
        <w:rPr>
          <w:rFonts w:ascii="Book Antiqua" w:hAnsi="Book Antiqua"/>
        </w:rPr>
        <w:t>ally refuse to lie even when doing so will result in less deception.</w:t>
      </w:r>
    </w:p>
    <w:p w14:paraId="2AB33FD6" w14:textId="77777777" w:rsidR="008361D8" w:rsidRPr="006F4F5C" w:rsidRDefault="00BC14F4" w:rsidP="00F14C1E">
      <w:pPr>
        <w:spacing w:line="360" w:lineRule="auto"/>
        <w:ind w:firstLine="720"/>
        <w:jc w:val="both"/>
        <w:rPr>
          <w:rFonts w:ascii="Book Antiqua" w:hAnsi="Book Antiqua"/>
        </w:rPr>
      </w:pPr>
      <w:r w:rsidRPr="006F4F5C">
        <w:rPr>
          <w:rFonts w:ascii="Book Antiqua" w:hAnsi="Book Antiqua"/>
        </w:rPr>
        <w:t xml:space="preserve">Petit holds that </w:t>
      </w:r>
      <w:r w:rsidR="00F14C1E" w:rsidRPr="006F4F5C">
        <w:rPr>
          <w:rFonts w:ascii="Book Antiqua" w:hAnsi="Book Antiqua"/>
        </w:rPr>
        <w:t>for any value we can pick out both a Consequentialist</w:t>
      </w:r>
      <w:r w:rsidR="00874B69" w:rsidRPr="006F4F5C">
        <w:rPr>
          <w:rFonts w:ascii="Book Antiqua" w:hAnsi="Book Antiqua"/>
        </w:rPr>
        <w:t xml:space="preserve"> response (promoting the value)</w:t>
      </w:r>
      <w:r w:rsidR="00F14C1E" w:rsidRPr="006F4F5C">
        <w:rPr>
          <w:rFonts w:ascii="Book Antiqua" w:hAnsi="Book Antiqua"/>
        </w:rPr>
        <w:t xml:space="preserve"> and Nonconsequentialist </w:t>
      </w:r>
      <w:r w:rsidR="00874B69" w:rsidRPr="006F4F5C">
        <w:rPr>
          <w:rFonts w:ascii="Book Antiqua" w:hAnsi="Book Antiqua"/>
        </w:rPr>
        <w:t>response (honouring the value).</w:t>
      </w:r>
      <w:r w:rsidR="00874B69" w:rsidRPr="006F4F5C">
        <w:rPr>
          <w:rStyle w:val="FootnoteReference"/>
          <w:rFonts w:ascii="Book Antiqua" w:hAnsi="Book Antiqua"/>
        </w:rPr>
        <w:footnoteReference w:id="15"/>
      </w:r>
      <w:r w:rsidR="00874B69" w:rsidRPr="006F4F5C">
        <w:rPr>
          <w:rFonts w:ascii="Book Antiqua" w:hAnsi="Book Antiqua"/>
        </w:rPr>
        <w:t xml:space="preserve">  David McNaughton and Piers Rawlings have argued that this claim is mistaken.  They argue that there is no natural way of generating a single Nonconsequentialist response to the central Utilitarian value of happiness:  we cannot make sense of honouring happiness.</w:t>
      </w:r>
      <w:r w:rsidR="00AD46F5" w:rsidRPr="006F4F5C">
        <w:rPr>
          <w:rStyle w:val="FootnoteReference"/>
          <w:rFonts w:ascii="Book Antiqua" w:hAnsi="Book Antiqua"/>
        </w:rPr>
        <w:footnoteReference w:id="16"/>
      </w:r>
      <w:r w:rsidR="00874B69" w:rsidRPr="006F4F5C">
        <w:rPr>
          <w:rFonts w:ascii="Book Antiqua" w:hAnsi="Book Antiqua"/>
        </w:rPr>
        <w:t xml:space="preserve"> </w:t>
      </w:r>
      <w:r w:rsidR="00AD46F5" w:rsidRPr="006F4F5C">
        <w:rPr>
          <w:rFonts w:ascii="Book Antiqua" w:hAnsi="Book Antiqua"/>
        </w:rPr>
        <w:t xml:space="preserve">  </w:t>
      </w:r>
    </w:p>
    <w:p w14:paraId="148A9469" w14:textId="7E4626DE" w:rsidR="00BC14F4" w:rsidRPr="006F4F5C" w:rsidRDefault="008361D8" w:rsidP="00F14C1E">
      <w:pPr>
        <w:spacing w:line="360" w:lineRule="auto"/>
        <w:ind w:firstLine="720"/>
        <w:jc w:val="both"/>
        <w:rPr>
          <w:rFonts w:ascii="Book Antiqua" w:hAnsi="Book Antiqua"/>
        </w:rPr>
      </w:pPr>
      <w:r w:rsidRPr="006F4F5C">
        <w:rPr>
          <w:rFonts w:ascii="Book Antiqua" w:hAnsi="Book Antiqua"/>
        </w:rPr>
        <w:t>Petit makes two comments about what honouring happiness may require:  “honouring it might require concern for the happiness of those you deal with directly, regardless of indirect effects”</w:t>
      </w:r>
      <w:r w:rsidRPr="006F4F5C">
        <w:rPr>
          <w:rStyle w:val="FootnoteReference"/>
          <w:rFonts w:ascii="Book Antiqua" w:hAnsi="Book Antiqua"/>
        </w:rPr>
        <w:footnoteReference w:id="17"/>
      </w:r>
      <w:r w:rsidRPr="006F4F5C">
        <w:rPr>
          <w:rFonts w:ascii="Book Antiqua" w:hAnsi="Book Antiqua"/>
        </w:rPr>
        <w:t>; “to honour [happiness] will be to try not to cause anyone unhappiness directly, even if doing so would increase happiness overall.”</w:t>
      </w:r>
      <w:r w:rsidRPr="006F4F5C">
        <w:rPr>
          <w:rStyle w:val="FootnoteReference"/>
          <w:rFonts w:ascii="Book Antiqua" w:hAnsi="Book Antiqua"/>
        </w:rPr>
        <w:footnoteReference w:id="18"/>
      </w:r>
      <w:r w:rsidR="00874B69" w:rsidRPr="006F4F5C">
        <w:rPr>
          <w:rFonts w:ascii="Book Antiqua" w:hAnsi="Book Antiqua"/>
        </w:rPr>
        <w:t xml:space="preserve"> </w:t>
      </w:r>
      <w:r w:rsidRPr="006F4F5C">
        <w:rPr>
          <w:rFonts w:ascii="Book Antiqua" w:hAnsi="Book Antiqua"/>
        </w:rPr>
        <w:t xml:space="preserve">  McNaughton and Rawlings understand these as two distinct suggestions corresponding to the following rules: (Rule 1) For all x, x is required to ensure that (for all y, if y has direct dealing with x, x is concerned with y’s happiness)</w:t>
      </w:r>
      <w:r w:rsidR="00CB4C02" w:rsidRPr="006F4F5C">
        <w:rPr>
          <w:rStyle w:val="FootnoteReference"/>
          <w:rFonts w:ascii="Book Antiqua" w:hAnsi="Book Antiqua"/>
        </w:rPr>
        <w:footnoteReference w:id="19"/>
      </w:r>
      <w:r w:rsidRPr="006F4F5C">
        <w:rPr>
          <w:rFonts w:ascii="Book Antiqua" w:hAnsi="Book Antiqua"/>
        </w:rPr>
        <w:t>; (Rule 2) For all x, x is required to ensure that (for all y, x does not cause, directly, y any unhappiness).</w:t>
      </w:r>
      <w:r w:rsidR="00CB4C02" w:rsidRPr="006F4F5C">
        <w:rPr>
          <w:rStyle w:val="FootnoteReference"/>
          <w:rFonts w:ascii="Book Antiqua" w:hAnsi="Book Antiqua"/>
        </w:rPr>
        <w:footnoteReference w:id="20"/>
      </w:r>
      <w:r w:rsidRPr="006F4F5C">
        <w:rPr>
          <w:rFonts w:ascii="Book Antiqua" w:hAnsi="Book Antiqua"/>
        </w:rPr>
        <w:t xml:space="preserve">  They argue that </w:t>
      </w:r>
      <w:r w:rsidR="00CB4C02" w:rsidRPr="006F4F5C">
        <w:rPr>
          <w:rFonts w:ascii="Book Antiqua" w:hAnsi="Book Antiqua"/>
        </w:rPr>
        <w:t>“given the structure of Pettit’s theory”</w:t>
      </w:r>
      <w:r w:rsidR="00CB4C02" w:rsidRPr="006F4F5C">
        <w:rPr>
          <w:rStyle w:val="FootnoteReference"/>
          <w:rFonts w:ascii="Book Antiqua" w:hAnsi="Book Antiqua"/>
        </w:rPr>
        <w:footnoteReference w:id="21"/>
      </w:r>
      <w:r w:rsidR="00CB4C02" w:rsidRPr="006F4F5C">
        <w:rPr>
          <w:rFonts w:ascii="Book Antiqua" w:hAnsi="Book Antiqua"/>
        </w:rPr>
        <w:t xml:space="preserve"> </w:t>
      </w:r>
      <w:r w:rsidRPr="006F4F5C">
        <w:rPr>
          <w:rFonts w:ascii="Book Antiqua" w:hAnsi="Book Antiqua"/>
        </w:rPr>
        <w:t xml:space="preserve">neither of these </w:t>
      </w:r>
      <w:r w:rsidR="00CB4C02" w:rsidRPr="006F4F5C">
        <w:rPr>
          <w:rFonts w:ascii="Book Antiqua" w:hAnsi="Book Antiqua"/>
        </w:rPr>
        <w:t>can be accepted as what we mean by honouring happiness.  They claim that the value being honoured in these rules is not</w:t>
      </w:r>
      <w:r w:rsidR="00B53CE8">
        <w:rPr>
          <w:rFonts w:ascii="Book Antiqua" w:hAnsi="Book Antiqua"/>
        </w:rPr>
        <w:t xml:space="preserve"> the same value happiness that U</w:t>
      </w:r>
      <w:r w:rsidR="00CB4C02" w:rsidRPr="006F4F5C">
        <w:rPr>
          <w:rFonts w:ascii="Book Antiqua" w:hAnsi="Book Antiqua"/>
        </w:rPr>
        <w:t xml:space="preserve">tilitarians seek to promote.  In obeying Rule 1, </w:t>
      </w:r>
      <w:r w:rsidR="00A55FB7">
        <w:rPr>
          <w:rFonts w:ascii="Book Antiqua" w:hAnsi="Book Antiqua"/>
        </w:rPr>
        <w:t xml:space="preserve">they claim </w:t>
      </w:r>
      <w:r w:rsidR="00CB4C02" w:rsidRPr="006F4F5C">
        <w:rPr>
          <w:rFonts w:ascii="Book Antiqua" w:hAnsi="Book Antiqua"/>
        </w:rPr>
        <w:t xml:space="preserve">the value that my conduct </w:t>
      </w:r>
      <w:r w:rsidR="000D3211">
        <w:rPr>
          <w:rFonts w:ascii="Book Antiqua" w:hAnsi="Book Antiqua"/>
        </w:rPr>
        <w:t>exemplifies</w:t>
      </w:r>
      <w:r w:rsidR="00CB4C02" w:rsidRPr="006F4F5C">
        <w:rPr>
          <w:rFonts w:ascii="Book Antiqua" w:hAnsi="Book Antiqua"/>
        </w:rPr>
        <w:t xml:space="preserve"> is that of each person being concerned for the happiness of those with whom she has direct dealing.</w:t>
      </w:r>
      <w:r w:rsidR="00CB4C02" w:rsidRPr="006F4F5C">
        <w:rPr>
          <w:rStyle w:val="FootnoteReference"/>
          <w:rFonts w:ascii="Book Antiqua" w:hAnsi="Book Antiqua"/>
        </w:rPr>
        <w:footnoteReference w:id="22"/>
      </w:r>
      <w:r w:rsidR="00CB4C02" w:rsidRPr="006F4F5C">
        <w:rPr>
          <w:rFonts w:ascii="Book Antiqua" w:hAnsi="Book Antiqua"/>
        </w:rPr>
        <w:t xml:space="preserve">  In obeying Rule 2, </w:t>
      </w:r>
      <w:r w:rsidR="00A55FB7">
        <w:rPr>
          <w:rFonts w:ascii="Book Antiqua" w:hAnsi="Book Antiqua"/>
        </w:rPr>
        <w:t xml:space="preserve">they claim </w:t>
      </w:r>
      <w:r w:rsidR="00CB4C02" w:rsidRPr="006F4F5C">
        <w:rPr>
          <w:rFonts w:ascii="Book Antiqua" w:hAnsi="Book Antiqua"/>
        </w:rPr>
        <w:t xml:space="preserve">my conduct exemplifies the value of not directly causing unhappiness.  </w:t>
      </w:r>
    </w:p>
    <w:p w14:paraId="7B549DB8" w14:textId="77777777" w:rsidR="004466E0" w:rsidRDefault="00484CC7" w:rsidP="00A55FB7">
      <w:pPr>
        <w:spacing w:line="360" w:lineRule="auto"/>
        <w:ind w:firstLine="720"/>
        <w:jc w:val="both"/>
        <w:rPr>
          <w:rFonts w:ascii="Book Antiqua" w:hAnsi="Book Antiqua"/>
        </w:rPr>
      </w:pPr>
      <w:r w:rsidRPr="006F4F5C">
        <w:rPr>
          <w:rFonts w:ascii="Book Antiqua" w:hAnsi="Book Antiqua"/>
        </w:rPr>
        <w:t xml:space="preserve">This criticism relies on a very specific way of understanding Pettit’s theory.  It assumes that there will be a tight, uniform connection between honouring a value and promoting that value, so that for any value V, we can convert any requirement to honour V </w:t>
      </w:r>
      <w:r w:rsidRPr="006F4F5C">
        <w:rPr>
          <w:rFonts w:ascii="Book Antiqua" w:hAnsi="Book Antiqua"/>
        </w:rPr>
        <w:lastRenderedPageBreak/>
        <w:t>into a requirement to promote V by “agent-neutralising”.</w:t>
      </w:r>
      <w:r w:rsidR="00A55FB7" w:rsidRPr="00A55FB7">
        <w:rPr>
          <w:rStyle w:val="FootnoteReference"/>
          <w:rFonts w:ascii="Book Antiqua" w:hAnsi="Book Antiqua"/>
        </w:rPr>
        <w:t xml:space="preserve"> </w:t>
      </w:r>
      <w:r w:rsidR="00A55FB7" w:rsidRPr="006F4F5C">
        <w:rPr>
          <w:rStyle w:val="FootnoteReference"/>
          <w:rFonts w:ascii="Book Antiqua" w:hAnsi="Book Antiqua"/>
        </w:rPr>
        <w:footnoteReference w:id="23"/>
      </w:r>
      <w:r w:rsidR="00A55FB7" w:rsidRPr="006F4F5C">
        <w:rPr>
          <w:rFonts w:ascii="Book Antiqua" w:hAnsi="Book Antiqua"/>
        </w:rPr>
        <w:t xml:space="preserve"> </w:t>
      </w:r>
      <w:r w:rsidRPr="006F4F5C">
        <w:rPr>
          <w:rFonts w:ascii="Book Antiqua" w:hAnsi="Book Antiqua"/>
        </w:rPr>
        <w:t xml:space="preserve">  </w:t>
      </w:r>
      <w:r w:rsidR="007041F1">
        <w:rPr>
          <w:rFonts w:ascii="Book Antiqua" w:hAnsi="Book Antiqua"/>
        </w:rPr>
        <w:t>I couldn't find any claim by Petti</w:t>
      </w:r>
      <w:r w:rsidRPr="006F4F5C">
        <w:rPr>
          <w:rFonts w:ascii="Book Antiqua" w:hAnsi="Book Antiqua"/>
        </w:rPr>
        <w:t xml:space="preserve">t </w:t>
      </w:r>
      <w:r w:rsidR="007041F1">
        <w:rPr>
          <w:rFonts w:ascii="Book Antiqua" w:hAnsi="Book Antiqua"/>
        </w:rPr>
        <w:t xml:space="preserve">that suggests he endorses this view of the relationship between honouring and promoting and I don’t think he should </w:t>
      </w:r>
      <w:r w:rsidR="00A77BCC">
        <w:rPr>
          <w:rFonts w:ascii="Book Antiqua" w:hAnsi="Book Antiqua"/>
        </w:rPr>
        <w:t>do so</w:t>
      </w:r>
      <w:r w:rsidR="007041F1">
        <w:rPr>
          <w:rFonts w:ascii="Book Antiqua" w:hAnsi="Book Antiqua"/>
        </w:rPr>
        <w:t xml:space="preserve">.  </w:t>
      </w:r>
      <w:r w:rsidR="00E22F93">
        <w:rPr>
          <w:rFonts w:ascii="Book Antiqua" w:hAnsi="Book Antiqua"/>
        </w:rPr>
        <w:t xml:space="preserve">Concern with the happiness of those you have direct dealings with is a response to the value of happiness.  A requirement to show such concern should thus be accepted as a way of honouring </w:t>
      </w:r>
      <w:r w:rsidR="00271C44">
        <w:rPr>
          <w:rFonts w:ascii="Book Antiqua" w:hAnsi="Book Antiqua"/>
        </w:rPr>
        <w:t>happiness</w:t>
      </w:r>
      <w:r w:rsidR="00E22F93">
        <w:rPr>
          <w:rFonts w:ascii="Book Antiqua" w:hAnsi="Book Antiqua"/>
        </w:rPr>
        <w:t xml:space="preserve">. </w:t>
      </w:r>
      <w:r w:rsidR="00D22DEB">
        <w:rPr>
          <w:rFonts w:ascii="Book Antiqua" w:hAnsi="Book Antiqua"/>
        </w:rPr>
        <w:t xml:space="preserve"> </w:t>
      </w:r>
      <w:r w:rsidR="00271C44">
        <w:rPr>
          <w:rFonts w:ascii="Book Antiqua" w:hAnsi="Book Antiqua"/>
        </w:rPr>
        <w:t xml:space="preserve">The same is true of avoiding causing unhappiness directly.  </w:t>
      </w:r>
    </w:p>
    <w:p w14:paraId="4B0F05BD" w14:textId="7833832B" w:rsidR="00831C7E" w:rsidRDefault="00D22DEB" w:rsidP="00A55FB7">
      <w:pPr>
        <w:spacing w:line="360" w:lineRule="auto"/>
        <w:ind w:firstLine="720"/>
        <w:jc w:val="both"/>
        <w:rPr>
          <w:rFonts w:ascii="Book Antiqua" w:hAnsi="Book Antiqua"/>
        </w:rPr>
      </w:pPr>
      <w:r>
        <w:rPr>
          <w:rFonts w:ascii="Book Antiqua" w:hAnsi="Book Antiqua"/>
        </w:rPr>
        <w:t xml:space="preserve">While this response allows Pettit to avoid the conclusion that there is no natural way to understand honouring happiness, it does cast into doubt the claim that there is a single way to do so and, a fortiori, that for any value V we can pick out a single Nonconsequentialist response of honouring V. </w:t>
      </w:r>
      <w:r w:rsidR="00485E08">
        <w:rPr>
          <w:rFonts w:ascii="Book Antiqua" w:hAnsi="Book Antiqua"/>
        </w:rPr>
        <w:t xml:space="preserve"> If what it takes to honour a value cannot be calculated algorithmically from what it is to promote a value, then we should not assume that there is a single response that counts as honouring each value.  There may be several different ways of responding to V that could reasonably be regarded as honouring V.  </w:t>
      </w:r>
      <w:r w:rsidR="00271C44">
        <w:rPr>
          <w:rFonts w:ascii="Book Antiqua" w:hAnsi="Book Antiqua"/>
        </w:rPr>
        <w:t>Th</w:t>
      </w:r>
      <w:r w:rsidR="00485E08">
        <w:rPr>
          <w:rFonts w:ascii="Book Antiqua" w:hAnsi="Book Antiqua"/>
        </w:rPr>
        <w:t>is fits with what we see in substantive ethical theory: many debates between Nonconsequentialists can be seen as disagreements about the appropriate way to honour</w:t>
      </w:r>
      <w:r w:rsidR="00B53CE8">
        <w:rPr>
          <w:rFonts w:ascii="Book Antiqua" w:hAnsi="Book Antiqua"/>
        </w:rPr>
        <w:t xml:space="preserve"> values</w:t>
      </w:r>
      <w:r w:rsidR="00485E08">
        <w:rPr>
          <w:rFonts w:ascii="Book Antiqua" w:hAnsi="Book Antiqua"/>
        </w:rPr>
        <w:t>.</w:t>
      </w:r>
      <w:r w:rsidR="00B53CE8">
        <w:rPr>
          <w:rStyle w:val="FootnoteReference"/>
          <w:rFonts w:ascii="Book Antiqua" w:hAnsi="Book Antiqua"/>
        </w:rPr>
        <w:footnoteReference w:id="24"/>
      </w:r>
      <w:r w:rsidR="00485E08">
        <w:rPr>
          <w:rFonts w:ascii="Book Antiqua" w:hAnsi="Book Antiqua"/>
        </w:rPr>
        <w:t xml:space="preserve">  </w:t>
      </w:r>
    </w:p>
    <w:p w14:paraId="56E73E3C" w14:textId="2FBDE87E" w:rsidR="00A77BCC" w:rsidRDefault="006675B8" w:rsidP="00D22DEB">
      <w:pPr>
        <w:spacing w:line="360" w:lineRule="auto"/>
        <w:ind w:firstLine="720"/>
        <w:jc w:val="both"/>
        <w:rPr>
          <w:rFonts w:ascii="Book Antiqua" w:hAnsi="Book Antiqua"/>
        </w:rPr>
      </w:pPr>
      <w:r>
        <w:rPr>
          <w:rFonts w:ascii="Book Antiqua" w:hAnsi="Book Antiqua"/>
        </w:rPr>
        <w:t>S</w:t>
      </w:r>
      <w:r w:rsidR="00A77BCC">
        <w:rPr>
          <w:rFonts w:ascii="Book Antiqua" w:hAnsi="Book Antiqua"/>
        </w:rPr>
        <w:t xml:space="preserve">ome Nonconsequentialist responses to value might also be better described by an alternative term.  Honouring a value suggests something strong.  Suppose that I am sitting on my sofa, not killing anyone.  </w:t>
      </w:r>
      <w:r w:rsidR="007162D3">
        <w:rPr>
          <w:rFonts w:ascii="Book Antiqua" w:hAnsi="Book Antiqua"/>
        </w:rPr>
        <w:t xml:space="preserve">I’m not making great efforts to avoid killing people.  </w:t>
      </w:r>
      <w:r w:rsidR="007830D3">
        <w:rPr>
          <w:rFonts w:ascii="Book Antiqua" w:hAnsi="Book Antiqua"/>
        </w:rPr>
        <w:t>T</w:t>
      </w:r>
      <w:r w:rsidR="007162D3">
        <w:rPr>
          <w:rFonts w:ascii="Book Antiqua" w:hAnsi="Book Antiqua"/>
        </w:rPr>
        <w:t xml:space="preserve">he thought of killing someone hasn’t even entered my head. It </w:t>
      </w:r>
      <w:r w:rsidR="004466E0">
        <w:rPr>
          <w:rFonts w:ascii="Book Antiqua" w:hAnsi="Book Antiqua"/>
        </w:rPr>
        <w:t>is</w:t>
      </w:r>
      <w:r w:rsidR="007162D3">
        <w:rPr>
          <w:rFonts w:ascii="Book Antiqua" w:hAnsi="Book Antiqua"/>
        </w:rPr>
        <w:t xml:space="preserve"> a stretch to say that I am honouring the value of human life.  Nonetheless, I’m doing something appropriate and important </w:t>
      </w:r>
      <w:r w:rsidR="000D3211">
        <w:rPr>
          <w:rFonts w:ascii="Book Antiqua" w:hAnsi="Book Antiqua"/>
        </w:rPr>
        <w:t>with respect</w:t>
      </w:r>
      <w:r w:rsidR="007162D3">
        <w:rPr>
          <w:rFonts w:ascii="Book Antiqua" w:hAnsi="Book Antiqua"/>
        </w:rPr>
        <w:t xml:space="preserve"> to that value.  I am not acting in a way that is contrary to the value of human life</w:t>
      </w:r>
      <w:r w:rsidR="004466E0">
        <w:rPr>
          <w:rFonts w:ascii="Book Antiqua" w:hAnsi="Book Antiqua"/>
        </w:rPr>
        <w:t>.</w:t>
      </w:r>
      <w:r w:rsidR="007162D3">
        <w:rPr>
          <w:rFonts w:ascii="Book Antiqua" w:hAnsi="Book Antiqua"/>
        </w:rPr>
        <w:t xml:space="preserve"> I am </w:t>
      </w:r>
      <w:r w:rsidR="007162D3" w:rsidRPr="007162D3">
        <w:rPr>
          <w:rFonts w:ascii="Book Antiqua" w:hAnsi="Book Antiqua"/>
          <w:i/>
        </w:rPr>
        <w:t>respecting</w:t>
      </w:r>
      <w:r w:rsidR="007162D3">
        <w:rPr>
          <w:rFonts w:ascii="Book Antiqua" w:hAnsi="Book Antiqua"/>
        </w:rPr>
        <w:t xml:space="preserve"> the value. </w:t>
      </w:r>
      <w:r w:rsidR="007830D3">
        <w:rPr>
          <w:rFonts w:ascii="Book Antiqua" w:hAnsi="Book Antiqua"/>
        </w:rPr>
        <w:t>M</w:t>
      </w:r>
      <w:r w:rsidR="007162D3">
        <w:rPr>
          <w:rFonts w:ascii="Book Antiqua" w:hAnsi="Book Antiqua"/>
        </w:rPr>
        <w:t xml:space="preserve">any Nonconsequentialist theories quite rightly </w:t>
      </w:r>
      <w:r w:rsidR="007830D3">
        <w:rPr>
          <w:rFonts w:ascii="Book Antiqua" w:hAnsi="Book Antiqua"/>
        </w:rPr>
        <w:t xml:space="preserve">normally </w:t>
      </w:r>
      <w:r w:rsidR="007162D3">
        <w:rPr>
          <w:rFonts w:ascii="Book Antiqua" w:hAnsi="Book Antiqua"/>
        </w:rPr>
        <w:t xml:space="preserve">demand only that we avoid acting contrary to important values and not that we activity think about those values or do very impressive deeds with respect to them.   Given this, it </w:t>
      </w:r>
      <w:r w:rsidR="004466E0">
        <w:rPr>
          <w:rFonts w:ascii="Book Antiqua" w:hAnsi="Book Antiqua"/>
        </w:rPr>
        <w:t xml:space="preserve">is </w:t>
      </w:r>
      <w:r w:rsidR="007162D3">
        <w:rPr>
          <w:rFonts w:ascii="Book Antiqua" w:hAnsi="Book Antiqua"/>
        </w:rPr>
        <w:t xml:space="preserve">better to use the term ‘respect’ for Nonconsequentialist responses to value. This will not rule out those theories </w:t>
      </w:r>
      <w:r w:rsidR="00F31DB2">
        <w:rPr>
          <w:rFonts w:ascii="Book Antiqua" w:hAnsi="Book Antiqua"/>
        </w:rPr>
        <w:t>that</w:t>
      </w:r>
      <w:r w:rsidR="007162D3">
        <w:rPr>
          <w:rFonts w:ascii="Book Antiqua" w:hAnsi="Book Antiqua"/>
        </w:rPr>
        <w:t xml:space="preserve"> do call for something stronger</w:t>
      </w:r>
      <w:r w:rsidR="00F31DB2">
        <w:rPr>
          <w:rFonts w:ascii="Book Antiqua" w:hAnsi="Book Antiqua"/>
        </w:rPr>
        <w:t xml:space="preserve"> which would be appropriately </w:t>
      </w:r>
      <w:r w:rsidR="00F31DB2">
        <w:rPr>
          <w:rFonts w:ascii="Book Antiqua" w:hAnsi="Book Antiqua"/>
        </w:rPr>
        <w:lastRenderedPageBreak/>
        <w:t>described as honouring</w:t>
      </w:r>
      <w:r w:rsidR="007162D3">
        <w:rPr>
          <w:rFonts w:ascii="Book Antiqua" w:hAnsi="Book Antiqua"/>
        </w:rPr>
        <w:t xml:space="preserve">, as respecting a value </w:t>
      </w:r>
      <w:r w:rsidR="007162D3" w:rsidRPr="00D9068B">
        <w:rPr>
          <w:rFonts w:ascii="Book Antiqua" w:hAnsi="Book Antiqua"/>
        </w:rPr>
        <w:t>can</w:t>
      </w:r>
      <w:r w:rsidR="007162D3">
        <w:rPr>
          <w:rFonts w:ascii="Book Antiqua" w:hAnsi="Book Antiqua"/>
        </w:rPr>
        <w:t xml:space="preserve"> </w:t>
      </w:r>
      <w:r w:rsidR="00D9068B">
        <w:rPr>
          <w:rFonts w:ascii="Book Antiqua" w:hAnsi="Book Antiqua"/>
        </w:rPr>
        <w:t xml:space="preserve">be seen to </w:t>
      </w:r>
      <w:r w:rsidR="007162D3">
        <w:rPr>
          <w:rFonts w:ascii="Book Antiqua" w:hAnsi="Book Antiqua"/>
        </w:rPr>
        <w:t xml:space="preserve">call for </w:t>
      </w:r>
      <w:r w:rsidR="00D9068B">
        <w:rPr>
          <w:rFonts w:ascii="Book Antiqua" w:hAnsi="Book Antiqua"/>
        </w:rPr>
        <w:t xml:space="preserve">an </w:t>
      </w:r>
      <w:r w:rsidR="007162D3">
        <w:rPr>
          <w:rFonts w:ascii="Book Antiqua" w:hAnsi="Book Antiqua"/>
        </w:rPr>
        <w:t>impressive or deliberate response</w:t>
      </w:r>
      <w:r w:rsidR="00D9068B">
        <w:rPr>
          <w:rFonts w:ascii="Book Antiqua" w:hAnsi="Book Antiqua"/>
        </w:rPr>
        <w:t>.</w:t>
      </w:r>
      <w:r w:rsidR="00D9068B">
        <w:rPr>
          <w:rStyle w:val="FootnoteReference"/>
          <w:rFonts w:ascii="Book Antiqua" w:hAnsi="Book Antiqua"/>
        </w:rPr>
        <w:footnoteReference w:id="25"/>
      </w:r>
      <w:r w:rsidR="00D9068B">
        <w:rPr>
          <w:rFonts w:ascii="Book Antiqua" w:hAnsi="Book Antiqua"/>
        </w:rPr>
        <w:t xml:space="preserve">  </w:t>
      </w:r>
    </w:p>
    <w:p w14:paraId="52E5E955" w14:textId="03BA02C9" w:rsidR="00831C7E" w:rsidRDefault="00831C7E" w:rsidP="00D22DEB">
      <w:pPr>
        <w:spacing w:line="360" w:lineRule="auto"/>
        <w:ind w:firstLine="720"/>
        <w:jc w:val="both"/>
        <w:rPr>
          <w:rFonts w:ascii="Book Antiqua" w:hAnsi="Book Antiqua"/>
        </w:rPr>
      </w:pPr>
      <w:r>
        <w:rPr>
          <w:rFonts w:ascii="Book Antiqua" w:hAnsi="Book Antiqua"/>
        </w:rPr>
        <w:t xml:space="preserve">I have argued, contra Pettit, that there may be several ways of respecting a value.  The Nonconsequentialist and the Consequentialist responses to a given value cannot be calculated algorithmically.  Given this, it seems that we should not assume that there must be at least one response that naturally counts as </w:t>
      </w:r>
      <w:r w:rsidR="009D4479">
        <w:rPr>
          <w:rFonts w:ascii="Book Antiqua" w:hAnsi="Book Antiqua"/>
        </w:rPr>
        <w:t>respect</w:t>
      </w:r>
      <w:r>
        <w:rPr>
          <w:rFonts w:ascii="Book Antiqua" w:hAnsi="Book Antiqua"/>
        </w:rPr>
        <w:t xml:space="preserve">ing – or even perhaps promoting - each value.  Pettit argues convincingly that we can pick out both </w:t>
      </w:r>
      <w:r w:rsidR="009D4479">
        <w:rPr>
          <w:rFonts w:ascii="Book Antiqua" w:hAnsi="Book Antiqua"/>
        </w:rPr>
        <w:t>respect</w:t>
      </w:r>
      <w:r>
        <w:rPr>
          <w:rFonts w:ascii="Book Antiqua" w:hAnsi="Book Antiqua"/>
        </w:rPr>
        <w:t xml:space="preserve">ing and promoting responses for many central values, but there seems no reason to assume that this is universal.  Each substantive theory must state which values should be </w:t>
      </w:r>
      <w:r w:rsidR="009D4479">
        <w:rPr>
          <w:rFonts w:ascii="Book Antiqua" w:hAnsi="Book Antiqua"/>
        </w:rPr>
        <w:t>respected</w:t>
      </w:r>
      <w:r>
        <w:rPr>
          <w:rFonts w:ascii="Book Antiqua" w:hAnsi="Book Antiqua"/>
        </w:rPr>
        <w:t xml:space="preserve"> or promoted and what that involves.</w:t>
      </w:r>
    </w:p>
    <w:p w14:paraId="195ACA56" w14:textId="13570E7C" w:rsidR="00A72344" w:rsidRDefault="007830D3" w:rsidP="00A72344">
      <w:pPr>
        <w:spacing w:line="360" w:lineRule="auto"/>
        <w:ind w:firstLine="720"/>
        <w:jc w:val="both"/>
        <w:rPr>
          <w:rFonts w:ascii="Tahoma" w:hAnsi="Tahoma" w:cs="Tahoma"/>
          <w:sz w:val="26"/>
          <w:szCs w:val="26"/>
        </w:rPr>
      </w:pPr>
      <w:r>
        <w:rPr>
          <w:rFonts w:ascii="Book Antiqua" w:hAnsi="Book Antiqua"/>
        </w:rPr>
        <w:t>T</w:t>
      </w:r>
      <w:r w:rsidR="009D4479">
        <w:rPr>
          <w:rFonts w:ascii="Book Antiqua" w:hAnsi="Book Antiqua"/>
        </w:rPr>
        <w:t>he</w:t>
      </w:r>
      <w:r>
        <w:rPr>
          <w:rFonts w:ascii="Book Antiqua" w:hAnsi="Book Antiqua"/>
        </w:rPr>
        <w:t xml:space="preserve"> distinction between</w:t>
      </w:r>
      <w:r w:rsidR="009D4479">
        <w:rPr>
          <w:rFonts w:ascii="Book Antiqua" w:hAnsi="Book Antiqua"/>
        </w:rPr>
        <w:t xml:space="preserve"> respect</w:t>
      </w:r>
      <w:r>
        <w:rPr>
          <w:rFonts w:ascii="Book Antiqua" w:hAnsi="Book Antiqua"/>
        </w:rPr>
        <w:t>ing and promoting is still useful</w:t>
      </w:r>
      <w:r w:rsidR="009D4479">
        <w:rPr>
          <w:rFonts w:ascii="Book Antiqua" w:hAnsi="Book Antiqua"/>
        </w:rPr>
        <w:t xml:space="preserve"> </w:t>
      </w:r>
      <w:r>
        <w:rPr>
          <w:rFonts w:ascii="Book Antiqua" w:hAnsi="Book Antiqua"/>
        </w:rPr>
        <w:t>in distinguishing</w:t>
      </w:r>
      <w:r w:rsidR="009D4479">
        <w:rPr>
          <w:rFonts w:ascii="Book Antiqua" w:hAnsi="Book Antiqua"/>
        </w:rPr>
        <w:t xml:space="preserve"> Consequentialist and Nonconsequentialist theories. </w:t>
      </w:r>
      <w:r w:rsidR="00B73C8D" w:rsidRPr="006F4F5C">
        <w:rPr>
          <w:rFonts w:ascii="Book Antiqua" w:hAnsi="Book Antiqua"/>
        </w:rPr>
        <w:t xml:space="preserve">Any </w:t>
      </w:r>
      <w:r w:rsidR="006015B1" w:rsidRPr="006F4F5C">
        <w:rPr>
          <w:rFonts w:ascii="Book Antiqua" w:hAnsi="Book Antiqua"/>
        </w:rPr>
        <w:t>account of right action</w:t>
      </w:r>
      <w:r w:rsidR="00B73C8D" w:rsidRPr="006F4F5C">
        <w:rPr>
          <w:rFonts w:ascii="Book Antiqua" w:hAnsi="Book Antiqua"/>
        </w:rPr>
        <w:t xml:space="preserve"> which holds that the proper </w:t>
      </w:r>
      <w:r w:rsidR="009D4479">
        <w:rPr>
          <w:rFonts w:ascii="Book Antiqua" w:hAnsi="Book Antiqua"/>
        </w:rPr>
        <w:t>way to behave is to promote some value</w:t>
      </w:r>
      <w:r w:rsidR="00B73C8D" w:rsidRPr="006F4F5C">
        <w:rPr>
          <w:rFonts w:ascii="Book Antiqua" w:hAnsi="Book Antiqua"/>
        </w:rPr>
        <w:t xml:space="preserve"> </w:t>
      </w:r>
      <w:r w:rsidR="00FB5C68" w:rsidRPr="006F4F5C">
        <w:rPr>
          <w:rFonts w:ascii="Book Antiqua" w:hAnsi="Book Antiqua"/>
        </w:rPr>
        <w:t>requires us to act as</w:t>
      </w:r>
      <w:r w:rsidR="006015B1" w:rsidRPr="006F4F5C">
        <w:rPr>
          <w:rFonts w:ascii="Book Antiqua" w:hAnsi="Book Antiqua"/>
        </w:rPr>
        <w:t xml:space="preserve"> </w:t>
      </w:r>
      <w:r w:rsidR="00B73C8D" w:rsidRPr="006F4F5C">
        <w:rPr>
          <w:rFonts w:ascii="Book Antiqua" w:hAnsi="Book Antiqua"/>
        </w:rPr>
        <w:t>Consequentialist</w:t>
      </w:r>
      <w:r w:rsidR="00FB5C68" w:rsidRPr="006F4F5C">
        <w:rPr>
          <w:rFonts w:ascii="Book Antiqua" w:hAnsi="Book Antiqua"/>
        </w:rPr>
        <w:t>s</w:t>
      </w:r>
      <w:r w:rsidR="00B73C8D" w:rsidRPr="006F4F5C">
        <w:rPr>
          <w:rFonts w:ascii="Book Antiqua" w:hAnsi="Book Antiqua"/>
        </w:rPr>
        <w:t>.</w:t>
      </w:r>
      <w:r w:rsidR="008E659C" w:rsidRPr="006F4F5C">
        <w:rPr>
          <w:rFonts w:ascii="Book Antiqua" w:hAnsi="Book Antiqua"/>
        </w:rPr>
        <w:t xml:space="preserve">  </w:t>
      </w:r>
      <w:r w:rsidR="00A72344">
        <w:rPr>
          <w:rFonts w:ascii="Book Antiqua" w:hAnsi="Book Antiqua"/>
        </w:rPr>
        <w:t>We should thus follow Pettit and say</w:t>
      </w:r>
      <w:r w:rsidR="008E659C" w:rsidRPr="006F4F5C">
        <w:rPr>
          <w:rFonts w:ascii="Book Antiqua" w:hAnsi="Book Antiqua"/>
        </w:rPr>
        <w:t xml:space="preserve"> that </w:t>
      </w:r>
      <w:r w:rsidR="00F06934" w:rsidRPr="006F4F5C">
        <w:rPr>
          <w:rFonts w:ascii="Book Antiqua" w:hAnsi="Book Antiqua"/>
        </w:rPr>
        <w:t>a Nonconsequentialist theory of right action</w:t>
      </w:r>
      <w:r w:rsidR="008E659C" w:rsidRPr="006F4F5C">
        <w:rPr>
          <w:rFonts w:ascii="Book Antiqua" w:hAnsi="Book Antiqua"/>
        </w:rPr>
        <w:t xml:space="preserve"> must hold that at least some values call to be </w:t>
      </w:r>
      <w:r w:rsidR="009D4479">
        <w:rPr>
          <w:rFonts w:ascii="Book Antiqua" w:hAnsi="Book Antiqua"/>
        </w:rPr>
        <w:t>respect</w:t>
      </w:r>
      <w:r w:rsidR="008E659C" w:rsidRPr="006F4F5C">
        <w:rPr>
          <w:rFonts w:ascii="Book Antiqua" w:hAnsi="Book Antiqua"/>
        </w:rPr>
        <w:t xml:space="preserve">ed </w:t>
      </w:r>
      <w:r w:rsidR="009D4479">
        <w:rPr>
          <w:rFonts w:ascii="Book Antiqua" w:hAnsi="Book Antiqua"/>
        </w:rPr>
        <w:t>where this is not equivalent to promoting any value</w:t>
      </w:r>
      <w:r w:rsidR="008E659C" w:rsidRPr="006F4F5C">
        <w:rPr>
          <w:rFonts w:ascii="Book Antiqua" w:hAnsi="Book Antiqua"/>
        </w:rPr>
        <w:t>.  A</w:t>
      </w:r>
      <w:r w:rsidR="00FB5C68" w:rsidRPr="006F4F5C">
        <w:rPr>
          <w:rFonts w:ascii="Book Antiqua" w:hAnsi="Book Antiqua"/>
        </w:rPr>
        <w:t>ny theory with Nonconsequentialist implications</w:t>
      </w:r>
      <w:r w:rsidR="008E659C" w:rsidRPr="006F4F5C">
        <w:rPr>
          <w:rFonts w:ascii="Book Antiqua" w:hAnsi="Book Antiqua"/>
        </w:rPr>
        <w:t xml:space="preserve"> must hold that sometimes it is wrong to perform a certain action even if doing so would produce the best </w:t>
      </w:r>
      <w:r>
        <w:rPr>
          <w:rFonts w:ascii="Book Antiqua" w:hAnsi="Book Antiqua"/>
        </w:rPr>
        <w:t>outcome</w:t>
      </w:r>
      <w:r w:rsidR="008E659C" w:rsidRPr="006F4F5C">
        <w:rPr>
          <w:rFonts w:ascii="Book Antiqua" w:hAnsi="Book Antiqua"/>
        </w:rPr>
        <w:t>.</w:t>
      </w:r>
      <w:r w:rsidR="00A72344">
        <w:rPr>
          <w:rFonts w:ascii="Book Antiqua" w:hAnsi="Book Antiqua"/>
        </w:rPr>
        <w:t xml:space="preserve">  </w:t>
      </w:r>
    </w:p>
    <w:p w14:paraId="52EC8C60" w14:textId="1E01544E" w:rsidR="0093264F" w:rsidRPr="00A72344" w:rsidRDefault="00D12221" w:rsidP="00A72344">
      <w:pPr>
        <w:spacing w:line="360" w:lineRule="auto"/>
        <w:jc w:val="both"/>
        <w:rPr>
          <w:rFonts w:ascii="Tahoma" w:hAnsi="Tahoma" w:cs="Tahoma"/>
          <w:sz w:val="26"/>
          <w:szCs w:val="26"/>
        </w:rPr>
      </w:pPr>
      <w:r w:rsidRPr="006F4F5C">
        <w:rPr>
          <w:rFonts w:ascii="Book Antiqua" w:hAnsi="Book Antiqua"/>
        </w:rPr>
        <w:tab/>
        <w:t xml:space="preserve"> </w:t>
      </w:r>
      <w:r w:rsidR="004466E0">
        <w:rPr>
          <w:rFonts w:ascii="Book Antiqua" w:hAnsi="Book Antiqua"/>
        </w:rPr>
        <w:t>T</w:t>
      </w:r>
      <w:r w:rsidRPr="006F4F5C">
        <w:rPr>
          <w:rFonts w:ascii="Book Antiqua" w:hAnsi="Book Antiqua"/>
        </w:rPr>
        <w:t xml:space="preserve">his claim, that some values should be </w:t>
      </w:r>
      <w:r w:rsidR="00A72344">
        <w:rPr>
          <w:rFonts w:ascii="Book Antiqua" w:hAnsi="Book Antiqua"/>
        </w:rPr>
        <w:t>respect</w:t>
      </w:r>
      <w:r w:rsidRPr="006F4F5C">
        <w:rPr>
          <w:rFonts w:ascii="Book Antiqua" w:hAnsi="Book Antiqua"/>
        </w:rPr>
        <w:t xml:space="preserve">ed </w:t>
      </w:r>
      <w:r w:rsidR="00A72344">
        <w:rPr>
          <w:rFonts w:ascii="Book Antiqua" w:hAnsi="Book Antiqua"/>
        </w:rPr>
        <w:t>where this is not equivalent to promoting some value</w:t>
      </w:r>
      <w:r w:rsidRPr="006F4F5C">
        <w:rPr>
          <w:rFonts w:ascii="Book Antiqua" w:hAnsi="Book Antiqua"/>
        </w:rPr>
        <w:t xml:space="preserve">, is only available to Nonconsequentialists who endorse some </w:t>
      </w:r>
      <w:r w:rsidR="00FB5C68" w:rsidRPr="006F4F5C">
        <w:rPr>
          <w:rFonts w:ascii="Book Antiqua" w:hAnsi="Book Antiqua"/>
        </w:rPr>
        <w:t>deontological distinction</w:t>
      </w:r>
      <w:r w:rsidRPr="006F4F5C">
        <w:rPr>
          <w:rFonts w:ascii="Book Antiqua" w:hAnsi="Book Antiqua"/>
        </w:rPr>
        <w:t xml:space="preserve">.  This is because the distinction between </w:t>
      </w:r>
      <w:r w:rsidR="00A72344">
        <w:rPr>
          <w:rFonts w:ascii="Book Antiqua" w:hAnsi="Book Antiqua"/>
        </w:rPr>
        <w:t>respect</w:t>
      </w:r>
      <w:r w:rsidRPr="006F4F5C">
        <w:rPr>
          <w:rFonts w:ascii="Book Antiqua" w:hAnsi="Book Antiqua"/>
        </w:rPr>
        <w:t xml:space="preserve">ing and promoting depends upon an implicit appeal to some such </w:t>
      </w:r>
      <w:r w:rsidR="00FB5C68" w:rsidRPr="006F4F5C">
        <w:rPr>
          <w:rFonts w:ascii="Book Antiqua" w:hAnsi="Book Antiqua"/>
        </w:rPr>
        <w:t>distinction</w:t>
      </w:r>
      <w:r w:rsidRPr="006F4F5C">
        <w:rPr>
          <w:rFonts w:ascii="Book Antiqua" w:hAnsi="Book Antiqua"/>
        </w:rPr>
        <w:t xml:space="preserve">.  </w:t>
      </w:r>
      <w:r w:rsidR="009B3CD5" w:rsidRPr="006F4F5C">
        <w:rPr>
          <w:rFonts w:ascii="Book Antiqua" w:hAnsi="Book Antiqua"/>
        </w:rPr>
        <w:t xml:space="preserve">Without </w:t>
      </w:r>
      <w:r w:rsidR="00FB5C68" w:rsidRPr="006F4F5C">
        <w:rPr>
          <w:rFonts w:ascii="Book Antiqua" w:hAnsi="Book Antiqua"/>
        </w:rPr>
        <w:t>such a distinction</w:t>
      </w:r>
      <w:r w:rsidR="009B3CD5" w:rsidRPr="006F4F5C">
        <w:rPr>
          <w:rFonts w:ascii="Book Antiqua" w:hAnsi="Book Antiqua"/>
        </w:rPr>
        <w:t xml:space="preserve">, </w:t>
      </w:r>
      <w:r w:rsidR="00A72344">
        <w:rPr>
          <w:rFonts w:ascii="Book Antiqua" w:hAnsi="Book Antiqua"/>
        </w:rPr>
        <w:t>respect</w:t>
      </w:r>
      <w:r w:rsidR="009B3CD5" w:rsidRPr="006F4F5C">
        <w:rPr>
          <w:rFonts w:ascii="Book Antiqua" w:hAnsi="Book Antiqua"/>
        </w:rPr>
        <w:t xml:space="preserve">ing collapses into promoting and </w:t>
      </w:r>
      <w:proofErr w:type="spellStart"/>
      <w:r w:rsidR="009B3CD5" w:rsidRPr="006F4F5C">
        <w:rPr>
          <w:rFonts w:ascii="Book Antiqua" w:hAnsi="Book Antiqua"/>
        </w:rPr>
        <w:t>Nonconsequentialism</w:t>
      </w:r>
      <w:proofErr w:type="spellEnd"/>
      <w:r w:rsidR="009B3CD5" w:rsidRPr="006F4F5C">
        <w:rPr>
          <w:rFonts w:ascii="Book Antiqua" w:hAnsi="Book Antiqua"/>
        </w:rPr>
        <w:t xml:space="preserve"> collapses into Consequentialism.</w:t>
      </w:r>
    </w:p>
    <w:p w14:paraId="7D7130AC" w14:textId="46A0567E" w:rsidR="006D25EE" w:rsidRPr="006F4F5C" w:rsidRDefault="00C130B2" w:rsidP="00455776">
      <w:pPr>
        <w:spacing w:line="360" w:lineRule="auto"/>
        <w:jc w:val="both"/>
        <w:rPr>
          <w:rFonts w:ascii="Book Antiqua" w:hAnsi="Book Antiqua"/>
        </w:rPr>
      </w:pPr>
      <w:r w:rsidRPr="006F4F5C">
        <w:rPr>
          <w:rFonts w:ascii="Book Antiqua" w:hAnsi="Book Antiqua"/>
        </w:rPr>
        <w:tab/>
        <w:t xml:space="preserve">The problem arises because the crucial notion of </w:t>
      </w:r>
      <w:r w:rsidR="00A72344">
        <w:rPr>
          <w:rFonts w:ascii="Book Antiqua" w:hAnsi="Book Antiqua"/>
        </w:rPr>
        <w:t>respect</w:t>
      </w:r>
      <w:r w:rsidRPr="006F4F5C">
        <w:rPr>
          <w:rFonts w:ascii="Book Antiqua" w:hAnsi="Book Antiqua"/>
        </w:rPr>
        <w:t>ing</w:t>
      </w:r>
      <w:r w:rsidR="00A72344">
        <w:rPr>
          <w:rFonts w:ascii="Book Antiqua" w:hAnsi="Book Antiqua"/>
        </w:rPr>
        <w:t xml:space="preserve"> a value</w:t>
      </w:r>
      <w:r w:rsidRPr="006F4F5C">
        <w:rPr>
          <w:rFonts w:ascii="Book Antiqua" w:hAnsi="Book Antiqua"/>
        </w:rPr>
        <w:t>, where this is something distinct from merely promoting</w:t>
      </w:r>
      <w:r w:rsidR="00A72344">
        <w:rPr>
          <w:rFonts w:ascii="Book Antiqua" w:hAnsi="Book Antiqua"/>
        </w:rPr>
        <w:t xml:space="preserve"> some valuable outcome</w:t>
      </w:r>
      <w:r w:rsidRPr="006F4F5C">
        <w:rPr>
          <w:rFonts w:ascii="Book Antiqua" w:hAnsi="Book Antiqua"/>
        </w:rPr>
        <w:t xml:space="preserve">, requires the agent to draw a distinction between different consequences of her behaviour.  To </w:t>
      </w:r>
      <w:r w:rsidR="00A72344">
        <w:rPr>
          <w:rFonts w:ascii="Book Antiqua" w:hAnsi="Book Antiqua"/>
        </w:rPr>
        <w:t>respect</w:t>
      </w:r>
      <w:r w:rsidRPr="006F4F5C">
        <w:rPr>
          <w:rFonts w:ascii="Book Antiqua" w:hAnsi="Book Antiqua"/>
        </w:rPr>
        <w:t xml:space="preserve"> </w:t>
      </w:r>
      <w:r w:rsidR="000A1C73" w:rsidRPr="006F4F5C">
        <w:rPr>
          <w:rFonts w:ascii="Book Antiqua" w:hAnsi="Book Antiqua"/>
        </w:rPr>
        <w:t>honesty</w:t>
      </w:r>
      <w:r w:rsidRPr="006F4F5C">
        <w:rPr>
          <w:rFonts w:ascii="Book Antiqua" w:hAnsi="Book Antiqua"/>
        </w:rPr>
        <w:t>, I must refrain from lying even if this som</w:t>
      </w:r>
      <w:r w:rsidR="003F06BF" w:rsidRPr="006F4F5C">
        <w:rPr>
          <w:rFonts w:ascii="Book Antiqua" w:hAnsi="Book Antiqua"/>
        </w:rPr>
        <w:t>etimes results in more misrepresentation</w:t>
      </w:r>
      <w:r w:rsidRPr="006F4F5C">
        <w:rPr>
          <w:rFonts w:ascii="Book Antiqua" w:hAnsi="Book Antiqua"/>
        </w:rPr>
        <w:t>.</w:t>
      </w:r>
      <w:r w:rsidR="003F06BF" w:rsidRPr="006F4F5C">
        <w:rPr>
          <w:rStyle w:val="FootnoteReference"/>
          <w:rFonts w:ascii="Book Antiqua" w:hAnsi="Book Antiqua"/>
        </w:rPr>
        <w:footnoteReference w:id="26"/>
      </w:r>
      <w:r w:rsidRPr="006F4F5C">
        <w:rPr>
          <w:rFonts w:ascii="Book Antiqua" w:hAnsi="Book Antiqua"/>
        </w:rPr>
        <w:t xml:space="preserve">  This </w:t>
      </w:r>
      <w:r w:rsidRPr="006F4F5C">
        <w:rPr>
          <w:rFonts w:ascii="Book Antiqua" w:hAnsi="Book Antiqua"/>
        </w:rPr>
        <w:lastRenderedPageBreak/>
        <w:t xml:space="preserve">requirement only makes sense if we can distinguish between the different </w:t>
      </w:r>
      <w:r w:rsidR="003F06BF" w:rsidRPr="006F4F5C">
        <w:rPr>
          <w:rFonts w:ascii="Book Antiqua" w:hAnsi="Book Antiqua"/>
        </w:rPr>
        <w:t>misrepresenta</w:t>
      </w:r>
      <w:r w:rsidRPr="006F4F5C">
        <w:rPr>
          <w:rFonts w:ascii="Book Antiqua" w:hAnsi="Book Antiqua"/>
        </w:rPr>
        <w:t xml:space="preserve">tions that I might countenance and pick out some of them as my lies. If every </w:t>
      </w:r>
      <w:r w:rsidR="003F06BF" w:rsidRPr="006F4F5C">
        <w:rPr>
          <w:rFonts w:ascii="Book Antiqua" w:hAnsi="Book Antiqua"/>
        </w:rPr>
        <w:t>misrepresentation</w:t>
      </w:r>
      <w:r w:rsidRPr="006F4F5C">
        <w:rPr>
          <w:rFonts w:ascii="Book Antiqua" w:hAnsi="Book Antiqua"/>
        </w:rPr>
        <w:t xml:space="preserve"> that I </w:t>
      </w:r>
      <w:r w:rsidR="000A1C73" w:rsidRPr="006F4F5C">
        <w:rPr>
          <w:rFonts w:ascii="Book Antiqua" w:hAnsi="Book Antiqua"/>
        </w:rPr>
        <w:t xml:space="preserve">(knowingly) </w:t>
      </w:r>
      <w:r w:rsidRPr="006F4F5C">
        <w:rPr>
          <w:rFonts w:ascii="Book Antiqua" w:hAnsi="Book Antiqua"/>
        </w:rPr>
        <w:t xml:space="preserve">countenance counts as a lie, </w:t>
      </w:r>
      <w:r w:rsidR="0093264F" w:rsidRPr="006F4F5C">
        <w:rPr>
          <w:rFonts w:ascii="Book Antiqua" w:hAnsi="Book Antiqua"/>
        </w:rPr>
        <w:t>then the requirement not to lie</w:t>
      </w:r>
      <w:r w:rsidRPr="006F4F5C">
        <w:rPr>
          <w:rFonts w:ascii="Book Antiqua" w:hAnsi="Book Antiqua"/>
        </w:rPr>
        <w:t xml:space="preserve"> even if</w:t>
      </w:r>
      <w:r w:rsidR="0093264F" w:rsidRPr="006F4F5C">
        <w:rPr>
          <w:rFonts w:ascii="Book Antiqua" w:hAnsi="Book Antiqua"/>
        </w:rPr>
        <w:t xml:space="preserve"> this results in more </w:t>
      </w:r>
      <w:r w:rsidR="003F06BF" w:rsidRPr="006F4F5C">
        <w:rPr>
          <w:rFonts w:ascii="Book Antiqua" w:hAnsi="Book Antiqua"/>
        </w:rPr>
        <w:t>misrepresenta</w:t>
      </w:r>
      <w:r w:rsidR="0093264F" w:rsidRPr="006F4F5C">
        <w:rPr>
          <w:rFonts w:ascii="Book Antiqua" w:hAnsi="Book Antiqua"/>
        </w:rPr>
        <w:t xml:space="preserve">tion is nonsense: </w:t>
      </w:r>
      <w:r w:rsidR="00A72344">
        <w:rPr>
          <w:rFonts w:ascii="Book Antiqua" w:hAnsi="Book Antiqua"/>
        </w:rPr>
        <w:t>respecting</w:t>
      </w:r>
      <w:r w:rsidR="0093264F" w:rsidRPr="006F4F5C">
        <w:rPr>
          <w:rFonts w:ascii="Book Antiqua" w:hAnsi="Book Antiqua"/>
        </w:rPr>
        <w:t xml:space="preserve"> </w:t>
      </w:r>
      <w:r w:rsidR="000A1C73" w:rsidRPr="006F4F5C">
        <w:rPr>
          <w:rFonts w:ascii="Book Antiqua" w:hAnsi="Book Antiqua"/>
        </w:rPr>
        <w:t>honesty</w:t>
      </w:r>
      <w:r w:rsidRPr="006F4F5C">
        <w:rPr>
          <w:rFonts w:ascii="Book Antiqua" w:hAnsi="Book Antiqua"/>
        </w:rPr>
        <w:t xml:space="preserve"> becomes </w:t>
      </w:r>
      <w:r w:rsidR="000A1C73" w:rsidRPr="006F4F5C">
        <w:rPr>
          <w:rFonts w:ascii="Book Antiqua" w:hAnsi="Book Antiqua"/>
        </w:rPr>
        <w:t xml:space="preserve">the same as promoting honesty.  To make the distinction between lies and other </w:t>
      </w:r>
      <w:r w:rsidR="003F06BF" w:rsidRPr="006F4F5C">
        <w:rPr>
          <w:rFonts w:ascii="Book Antiqua" w:hAnsi="Book Antiqua"/>
        </w:rPr>
        <w:t>countenanced misrepresentations</w:t>
      </w:r>
      <w:r w:rsidR="000A1C73" w:rsidRPr="006F4F5C">
        <w:rPr>
          <w:rFonts w:ascii="Book Antiqua" w:hAnsi="Book Antiqua"/>
        </w:rPr>
        <w:t>, we implicitly appeal to deontological distinctions such as the distinction between doing and allowing or the distinction between intending and foreseeing.</w:t>
      </w:r>
      <w:r w:rsidR="00B860F3" w:rsidRPr="00B860F3">
        <w:rPr>
          <w:rStyle w:val="FootnoteReference"/>
          <w:rFonts w:ascii="Book Antiqua" w:hAnsi="Book Antiqua"/>
        </w:rPr>
        <w:t xml:space="preserve"> </w:t>
      </w:r>
      <w:r w:rsidR="00B860F3">
        <w:rPr>
          <w:rStyle w:val="FootnoteReference"/>
          <w:rFonts w:ascii="Book Antiqua" w:hAnsi="Book Antiqua"/>
        </w:rPr>
        <w:footnoteReference w:id="27"/>
      </w:r>
      <w:r w:rsidR="00B860F3" w:rsidRPr="006F4F5C">
        <w:rPr>
          <w:rFonts w:ascii="Book Antiqua" w:hAnsi="Book Antiqua"/>
        </w:rPr>
        <w:t xml:space="preserve"> </w:t>
      </w:r>
    </w:p>
    <w:p w14:paraId="417C2976" w14:textId="6596C968" w:rsidR="00BF2522" w:rsidRDefault="00345986" w:rsidP="00E61D2A">
      <w:pPr>
        <w:spacing w:line="360" w:lineRule="auto"/>
        <w:ind w:firstLine="720"/>
        <w:jc w:val="both"/>
        <w:rPr>
          <w:rFonts w:ascii="Book Antiqua" w:hAnsi="Book Antiqua"/>
        </w:rPr>
      </w:pPr>
      <w:r w:rsidRPr="006F4F5C">
        <w:rPr>
          <w:rFonts w:ascii="Book Antiqua" w:hAnsi="Book Antiqua"/>
        </w:rPr>
        <w:t>I suggest that what i</w:t>
      </w:r>
      <w:r w:rsidR="006A2A00" w:rsidRPr="006F4F5C">
        <w:rPr>
          <w:rFonts w:ascii="Book Antiqua" w:hAnsi="Book Antiqua"/>
        </w:rPr>
        <w:t>s</w:t>
      </w:r>
      <w:r w:rsidRPr="006F4F5C">
        <w:rPr>
          <w:rFonts w:ascii="Book Antiqua" w:hAnsi="Book Antiqua"/>
        </w:rPr>
        <w:t xml:space="preserve"> true of lying is true more generally.  For any value, V, to say that I must </w:t>
      </w:r>
      <w:r w:rsidR="00C12D20">
        <w:rPr>
          <w:rFonts w:ascii="Book Antiqua" w:hAnsi="Book Antiqua"/>
        </w:rPr>
        <w:t>respect</w:t>
      </w:r>
      <w:r w:rsidRPr="006F4F5C">
        <w:rPr>
          <w:rFonts w:ascii="Book Antiqua" w:hAnsi="Book Antiqua"/>
        </w:rPr>
        <w:t>, V</w:t>
      </w:r>
      <w:r w:rsidR="00C12D20">
        <w:rPr>
          <w:rFonts w:ascii="Book Antiqua" w:hAnsi="Book Antiqua"/>
        </w:rPr>
        <w:t xml:space="preserve">, </w:t>
      </w:r>
      <w:r w:rsidRPr="006F4F5C">
        <w:rPr>
          <w:rFonts w:ascii="Book Antiqua" w:hAnsi="Book Antiqua"/>
        </w:rPr>
        <w:t>requires that we be</w:t>
      </w:r>
      <w:r w:rsidR="00496825" w:rsidRPr="006F4F5C">
        <w:rPr>
          <w:rFonts w:ascii="Book Antiqua" w:hAnsi="Book Antiqua"/>
        </w:rPr>
        <w:t xml:space="preserve"> able to pick out that behaviour</w:t>
      </w:r>
      <w:r w:rsidRPr="006F4F5C">
        <w:rPr>
          <w:rFonts w:ascii="Book Antiqua" w:hAnsi="Book Antiqua"/>
        </w:rPr>
        <w:t xml:space="preserve"> which would </w:t>
      </w:r>
      <w:r w:rsidR="0010227D">
        <w:rPr>
          <w:rFonts w:ascii="Book Antiqua" w:hAnsi="Book Antiqua"/>
        </w:rPr>
        <w:t>fail</w:t>
      </w:r>
      <w:r w:rsidRPr="006F4F5C">
        <w:rPr>
          <w:rFonts w:ascii="Book Antiqua" w:hAnsi="Book Antiqua"/>
        </w:rPr>
        <w:t xml:space="preserve"> to </w:t>
      </w:r>
      <w:r w:rsidR="00C12D20">
        <w:rPr>
          <w:rFonts w:ascii="Book Antiqua" w:hAnsi="Book Antiqua"/>
        </w:rPr>
        <w:t>respect</w:t>
      </w:r>
      <w:r w:rsidRPr="006F4F5C">
        <w:rPr>
          <w:rFonts w:ascii="Book Antiqua" w:hAnsi="Book Antiqua"/>
        </w:rPr>
        <w:t xml:space="preserve"> V.  Any behaviour that fails to </w:t>
      </w:r>
      <w:r w:rsidR="00C12D20">
        <w:rPr>
          <w:rFonts w:ascii="Book Antiqua" w:hAnsi="Book Antiqua"/>
        </w:rPr>
        <w:t>respect</w:t>
      </w:r>
      <w:r w:rsidRPr="006F4F5C">
        <w:rPr>
          <w:rFonts w:ascii="Book Antiqua" w:hAnsi="Book Antiqua"/>
        </w:rPr>
        <w:t xml:space="preserve"> V must do so because it involves some action, </w:t>
      </w:r>
      <w:r w:rsidRPr="006F4F5C">
        <w:rPr>
          <w:rFonts w:ascii="Book Antiqua" w:hAnsi="Times New Roman" w:cs="Times New Roman"/>
        </w:rPr>
        <w:t>ɸ</w:t>
      </w:r>
      <w:r w:rsidRPr="006F4F5C">
        <w:rPr>
          <w:rFonts w:ascii="Book Antiqua" w:hAnsi="Book Antiqua"/>
        </w:rPr>
        <w:t>-</w:t>
      </w:r>
      <w:proofErr w:type="spellStart"/>
      <w:r w:rsidRPr="006F4F5C">
        <w:rPr>
          <w:rFonts w:ascii="Book Antiqua" w:hAnsi="Book Antiqua"/>
        </w:rPr>
        <w:t>ing</w:t>
      </w:r>
      <w:proofErr w:type="spellEnd"/>
      <w:r w:rsidRPr="006F4F5C">
        <w:rPr>
          <w:rFonts w:ascii="Book Antiqua" w:hAnsi="Book Antiqua"/>
        </w:rPr>
        <w:t xml:space="preserve">, which is contrary to V.  We can imagine the counterpart of </w:t>
      </w:r>
      <w:r w:rsidRPr="006F4F5C">
        <w:rPr>
          <w:rFonts w:ascii="Book Antiqua" w:hAnsi="Times New Roman" w:cs="Times New Roman"/>
        </w:rPr>
        <w:t>ɸ</w:t>
      </w:r>
      <w:r w:rsidRPr="006F4F5C">
        <w:rPr>
          <w:rFonts w:ascii="Book Antiqua" w:hAnsi="Book Antiqua"/>
        </w:rPr>
        <w:t>-</w:t>
      </w:r>
      <w:proofErr w:type="spellStart"/>
      <w:r w:rsidRPr="006F4F5C">
        <w:rPr>
          <w:rFonts w:ascii="Book Antiqua" w:hAnsi="Book Antiqua"/>
        </w:rPr>
        <w:t>ing</w:t>
      </w:r>
      <w:proofErr w:type="spellEnd"/>
      <w:proofErr w:type="gramStart"/>
      <w:r w:rsidRPr="006F4F5C">
        <w:rPr>
          <w:rFonts w:ascii="Book Antiqua" w:hAnsi="Book Antiqua"/>
        </w:rPr>
        <w:t>, ,</w:t>
      </w:r>
      <w:proofErr w:type="gramEnd"/>
      <w:r w:rsidRPr="006F4F5C">
        <w:rPr>
          <w:rFonts w:ascii="Book Antiqua" w:hAnsi="Book Antiqua"/>
        </w:rPr>
        <w:t xml:space="preserve"> </w:t>
      </w:r>
      <w:r w:rsidRPr="006F4F5C">
        <w:rPr>
          <w:rFonts w:ascii="Book Antiqua" w:hAnsi="Times New Roman" w:cs="Times New Roman"/>
        </w:rPr>
        <w:t>ɸ</w:t>
      </w:r>
      <w:r w:rsidRPr="006F4F5C">
        <w:rPr>
          <w:rFonts w:ascii="Book Antiqua" w:hAnsi="Book Antiqua" w:cs="Times New Roman"/>
        </w:rPr>
        <w:t>*</w:t>
      </w:r>
      <w:r w:rsidRPr="006F4F5C">
        <w:rPr>
          <w:rFonts w:ascii="Book Antiqua" w:hAnsi="Book Antiqua"/>
        </w:rPr>
        <w:t>-</w:t>
      </w:r>
      <w:proofErr w:type="spellStart"/>
      <w:r w:rsidRPr="006F4F5C">
        <w:rPr>
          <w:rFonts w:ascii="Book Antiqua" w:hAnsi="Book Antiqua"/>
        </w:rPr>
        <w:t>ing</w:t>
      </w:r>
      <w:proofErr w:type="spellEnd"/>
      <w:r w:rsidRPr="006F4F5C">
        <w:rPr>
          <w:rFonts w:ascii="Book Antiqua" w:hAnsi="Book Antiqua"/>
        </w:rPr>
        <w:t xml:space="preserve">, which is like </w:t>
      </w:r>
      <w:r w:rsidRPr="006F4F5C">
        <w:rPr>
          <w:rFonts w:ascii="Book Antiqua" w:hAnsi="Times New Roman" w:cs="Times New Roman"/>
        </w:rPr>
        <w:t>ɸ</w:t>
      </w:r>
      <w:r w:rsidRPr="006F4F5C">
        <w:rPr>
          <w:rFonts w:ascii="Book Antiqua" w:hAnsi="Book Antiqua"/>
        </w:rPr>
        <w:t>-</w:t>
      </w:r>
      <w:proofErr w:type="spellStart"/>
      <w:r w:rsidRPr="006F4F5C">
        <w:rPr>
          <w:rFonts w:ascii="Book Antiqua" w:hAnsi="Book Antiqua"/>
        </w:rPr>
        <w:t>ing</w:t>
      </w:r>
      <w:proofErr w:type="spellEnd"/>
      <w:r w:rsidRPr="006F4F5C">
        <w:rPr>
          <w:rFonts w:ascii="Book Antiqua" w:hAnsi="Book Antiqua"/>
        </w:rPr>
        <w:t xml:space="preserve"> but does not depend on any deontological distinctions</w:t>
      </w:r>
      <w:r w:rsidR="00725791" w:rsidRPr="006F4F5C">
        <w:rPr>
          <w:rFonts w:ascii="Book Antiqua" w:hAnsi="Book Antiqua"/>
        </w:rPr>
        <w:t xml:space="preserve"> i.e. is neutral between differen</w:t>
      </w:r>
      <w:r w:rsidR="00E61D2A" w:rsidRPr="006F4F5C">
        <w:rPr>
          <w:rFonts w:ascii="Book Antiqua" w:hAnsi="Book Antiqua"/>
        </w:rPr>
        <w:t>t</w:t>
      </w:r>
      <w:r w:rsidR="00725791" w:rsidRPr="006F4F5C">
        <w:rPr>
          <w:rFonts w:ascii="Book Antiqua" w:hAnsi="Book Antiqua"/>
        </w:rPr>
        <w:t xml:space="preserve"> ways </w:t>
      </w:r>
      <w:r w:rsidR="00283967" w:rsidRPr="006F4F5C">
        <w:rPr>
          <w:rFonts w:ascii="Book Antiqua" w:hAnsi="Book Antiqua"/>
        </w:rPr>
        <w:t>I</w:t>
      </w:r>
      <w:r w:rsidR="00725791" w:rsidRPr="006F4F5C">
        <w:rPr>
          <w:rFonts w:ascii="Book Antiqua" w:hAnsi="Book Antiqua"/>
        </w:rPr>
        <w:t xml:space="preserve"> might </w:t>
      </w:r>
      <w:r w:rsidR="006A2A00" w:rsidRPr="006F4F5C">
        <w:rPr>
          <w:rFonts w:ascii="Book Antiqua" w:hAnsi="Book Antiqua"/>
        </w:rPr>
        <w:t xml:space="preserve">be </w:t>
      </w:r>
      <w:r w:rsidR="00725791" w:rsidRPr="006F4F5C">
        <w:rPr>
          <w:rFonts w:ascii="Book Antiqua" w:hAnsi="Book Antiqua"/>
        </w:rPr>
        <w:t xml:space="preserve">related </w:t>
      </w:r>
      <w:r w:rsidR="007525C9" w:rsidRPr="006F4F5C">
        <w:rPr>
          <w:rFonts w:ascii="Book Antiqua" w:hAnsi="Book Antiqua"/>
        </w:rPr>
        <w:t xml:space="preserve">as an agent </w:t>
      </w:r>
      <w:r w:rsidR="00725791" w:rsidRPr="006F4F5C">
        <w:rPr>
          <w:rFonts w:ascii="Book Antiqua" w:hAnsi="Book Antiqua"/>
        </w:rPr>
        <w:t>to the consequences of my actions</w:t>
      </w:r>
      <w:r w:rsidRPr="006F4F5C">
        <w:rPr>
          <w:rFonts w:ascii="Book Antiqua" w:hAnsi="Book Antiqua"/>
        </w:rPr>
        <w:t xml:space="preserve">.  </w:t>
      </w:r>
      <w:r w:rsidRPr="006F4F5C">
        <w:rPr>
          <w:rFonts w:ascii="Book Antiqua" w:hAnsi="Times New Roman" w:cs="Times New Roman"/>
        </w:rPr>
        <w:t>ɸ</w:t>
      </w:r>
      <w:r w:rsidRPr="006F4F5C">
        <w:rPr>
          <w:rFonts w:ascii="Book Antiqua" w:hAnsi="Book Antiqua" w:cs="Times New Roman"/>
        </w:rPr>
        <w:t>*</w:t>
      </w:r>
      <w:r w:rsidRPr="006F4F5C">
        <w:rPr>
          <w:rFonts w:ascii="Book Antiqua" w:hAnsi="Book Antiqua"/>
        </w:rPr>
        <w:t>-</w:t>
      </w:r>
      <w:proofErr w:type="spellStart"/>
      <w:r w:rsidRPr="006F4F5C">
        <w:rPr>
          <w:rFonts w:ascii="Book Antiqua" w:hAnsi="Book Antiqua"/>
        </w:rPr>
        <w:t>ing</w:t>
      </w:r>
      <w:proofErr w:type="spellEnd"/>
      <w:r w:rsidRPr="006F4F5C">
        <w:rPr>
          <w:rFonts w:ascii="Book Antiqua" w:hAnsi="Book Antiqua"/>
        </w:rPr>
        <w:t xml:space="preserve"> must be equivalent to </w:t>
      </w:r>
      <w:r w:rsidR="00725791" w:rsidRPr="006F4F5C">
        <w:rPr>
          <w:rFonts w:ascii="Book Antiqua" w:hAnsi="Book Antiqua"/>
        </w:rPr>
        <w:t xml:space="preserve">countenancing some outcome O, for it is, by hypothesis, </w:t>
      </w:r>
      <w:r w:rsidR="00BF2522">
        <w:rPr>
          <w:rFonts w:ascii="Book Antiqua" w:hAnsi="Book Antiqua"/>
        </w:rPr>
        <w:t>picked out solely by</w:t>
      </w:r>
      <w:r w:rsidR="00725791" w:rsidRPr="006F4F5C">
        <w:rPr>
          <w:rFonts w:ascii="Book Antiqua" w:hAnsi="Book Antiqua"/>
        </w:rPr>
        <w:t xml:space="preserve"> </w:t>
      </w:r>
      <w:r w:rsidR="00BF2522">
        <w:rPr>
          <w:rFonts w:ascii="Book Antiqua" w:hAnsi="Book Antiqua"/>
        </w:rPr>
        <w:t>reference to</w:t>
      </w:r>
      <w:r w:rsidR="00725791" w:rsidRPr="006F4F5C">
        <w:rPr>
          <w:rFonts w:ascii="Book Antiqua" w:hAnsi="Book Antiqua"/>
        </w:rPr>
        <w:t xml:space="preserve"> the consequences of the agent’s actions.  </w:t>
      </w:r>
      <w:r w:rsidR="00BF4509" w:rsidRPr="006F4F5C">
        <w:rPr>
          <w:rFonts w:ascii="Book Antiqua" w:hAnsi="Book Antiqua"/>
        </w:rPr>
        <w:t xml:space="preserve">If a Nonconsequentialist does not endorse </w:t>
      </w:r>
      <w:r w:rsidR="007525C9" w:rsidRPr="006F4F5C">
        <w:rPr>
          <w:rFonts w:ascii="Book Antiqua" w:hAnsi="Book Antiqua"/>
        </w:rPr>
        <w:t xml:space="preserve">some deontological distinction </w:t>
      </w:r>
      <w:r w:rsidR="00BF4509" w:rsidRPr="006F4F5C">
        <w:rPr>
          <w:rFonts w:ascii="Book Antiqua" w:hAnsi="Book Antiqua"/>
        </w:rPr>
        <w:t xml:space="preserve">such as the Doctrine of Doing and Allowing or the Doctrine of Double Effect, she cannot distinguish between </w:t>
      </w:r>
      <w:r w:rsidR="00BF4509" w:rsidRPr="006F4F5C">
        <w:rPr>
          <w:rFonts w:ascii="Book Antiqua" w:hAnsi="Times New Roman" w:cs="Times New Roman"/>
        </w:rPr>
        <w:t>ɸ</w:t>
      </w:r>
      <w:r w:rsidR="00BF4509" w:rsidRPr="006F4F5C">
        <w:rPr>
          <w:rFonts w:ascii="Book Antiqua" w:hAnsi="Book Antiqua"/>
        </w:rPr>
        <w:t>-</w:t>
      </w:r>
      <w:proofErr w:type="spellStart"/>
      <w:r w:rsidR="00BF4509" w:rsidRPr="006F4F5C">
        <w:rPr>
          <w:rFonts w:ascii="Book Antiqua" w:hAnsi="Book Antiqua"/>
        </w:rPr>
        <w:t>ing</w:t>
      </w:r>
      <w:proofErr w:type="spellEnd"/>
      <w:r w:rsidR="00BF4509" w:rsidRPr="006F4F5C">
        <w:rPr>
          <w:rFonts w:ascii="Book Antiqua" w:hAnsi="Book Antiqua"/>
        </w:rPr>
        <w:t xml:space="preserve"> and </w:t>
      </w:r>
      <w:r w:rsidR="00BF4509" w:rsidRPr="006F4F5C">
        <w:rPr>
          <w:rFonts w:ascii="Book Antiqua" w:hAnsi="Times New Roman" w:cs="Times New Roman"/>
        </w:rPr>
        <w:t>ɸ</w:t>
      </w:r>
      <w:r w:rsidR="00BF4509" w:rsidRPr="006F4F5C">
        <w:rPr>
          <w:rFonts w:ascii="Book Antiqua" w:hAnsi="Book Antiqua" w:cs="Times New Roman"/>
        </w:rPr>
        <w:t>*</w:t>
      </w:r>
      <w:r w:rsidR="00BF4509" w:rsidRPr="006F4F5C">
        <w:rPr>
          <w:rFonts w:ascii="Book Antiqua" w:hAnsi="Book Antiqua"/>
        </w:rPr>
        <w:t>-</w:t>
      </w:r>
      <w:proofErr w:type="spellStart"/>
      <w:r w:rsidR="00BF4509" w:rsidRPr="006F4F5C">
        <w:rPr>
          <w:rFonts w:ascii="Book Antiqua" w:hAnsi="Book Antiqua"/>
        </w:rPr>
        <w:t>ing</w:t>
      </w:r>
      <w:proofErr w:type="spellEnd"/>
      <w:r w:rsidR="00BF4509" w:rsidRPr="006F4F5C">
        <w:rPr>
          <w:rFonts w:ascii="Book Antiqua" w:hAnsi="Book Antiqua"/>
        </w:rPr>
        <w:t xml:space="preserve">.  The requirement to </w:t>
      </w:r>
      <w:r w:rsidR="00C12D20">
        <w:rPr>
          <w:rFonts w:ascii="Book Antiqua" w:hAnsi="Book Antiqua"/>
        </w:rPr>
        <w:t>respect</w:t>
      </w:r>
      <w:r w:rsidR="00BF4509" w:rsidRPr="006F4F5C">
        <w:rPr>
          <w:rFonts w:ascii="Book Antiqua" w:hAnsi="Book Antiqua"/>
        </w:rPr>
        <w:t xml:space="preserve"> V becomes a requirement not to </w:t>
      </w:r>
      <w:r w:rsidR="00BF4509" w:rsidRPr="006F4F5C">
        <w:rPr>
          <w:rFonts w:ascii="Book Antiqua" w:hAnsi="Times New Roman" w:cs="Times New Roman"/>
        </w:rPr>
        <w:t>ɸ</w:t>
      </w:r>
      <w:r w:rsidR="00BF4509" w:rsidRPr="006F4F5C">
        <w:rPr>
          <w:rFonts w:ascii="Book Antiqua" w:hAnsi="Book Antiqua" w:cs="Times New Roman"/>
        </w:rPr>
        <w:t>*</w:t>
      </w:r>
      <w:r w:rsidR="00BF4509" w:rsidRPr="006F4F5C">
        <w:rPr>
          <w:rFonts w:ascii="Book Antiqua" w:hAnsi="Book Antiqua"/>
        </w:rPr>
        <w:t xml:space="preserve">.  A requirement not to </w:t>
      </w:r>
      <w:r w:rsidR="00BF4509" w:rsidRPr="006F4F5C">
        <w:rPr>
          <w:rFonts w:ascii="Book Antiqua" w:hAnsi="Times New Roman" w:cs="Times New Roman"/>
        </w:rPr>
        <w:t>ɸ</w:t>
      </w:r>
      <w:r w:rsidR="00BF4509" w:rsidRPr="006F4F5C">
        <w:rPr>
          <w:rFonts w:ascii="Book Antiqua" w:hAnsi="Book Antiqua" w:cs="Times New Roman"/>
        </w:rPr>
        <w:t xml:space="preserve">* is equivalent to a requirement </w:t>
      </w:r>
      <w:r w:rsidR="007525C9" w:rsidRPr="006F4F5C">
        <w:rPr>
          <w:rFonts w:ascii="Book Antiqua" w:hAnsi="Book Antiqua" w:cs="Times New Roman"/>
        </w:rPr>
        <w:t>not to countenance</w:t>
      </w:r>
      <w:r w:rsidR="00BF4509" w:rsidRPr="006F4F5C">
        <w:rPr>
          <w:rFonts w:ascii="Book Antiqua" w:hAnsi="Book Antiqua" w:cs="Times New Roman"/>
        </w:rPr>
        <w:t xml:space="preserve"> O or to promote not-O.  </w:t>
      </w:r>
      <w:r w:rsidR="00BF4509" w:rsidRPr="006F4F5C">
        <w:rPr>
          <w:rFonts w:ascii="Book Antiqua" w:hAnsi="Book Antiqua"/>
        </w:rPr>
        <w:t xml:space="preserve"> </w:t>
      </w:r>
      <w:r w:rsidR="00725791" w:rsidRPr="006F4F5C">
        <w:rPr>
          <w:rFonts w:ascii="Book Antiqua" w:hAnsi="Book Antiqua"/>
        </w:rPr>
        <w:t xml:space="preserve">Thus, without some deontological distinction, a requirement to honour, V, becomes simply a requirement to promote not-O.  Promoting not-O may or may not be equivalent to promoting V, but it is not a Nonconsequentialist </w:t>
      </w:r>
      <w:r w:rsidR="00E61D2A" w:rsidRPr="006F4F5C">
        <w:rPr>
          <w:rFonts w:ascii="Book Antiqua" w:hAnsi="Book Antiqua"/>
        </w:rPr>
        <w:t>requirement on action</w:t>
      </w:r>
      <w:r w:rsidR="00725791" w:rsidRPr="006F4F5C">
        <w:rPr>
          <w:rFonts w:ascii="Book Antiqua" w:hAnsi="Book Antiqua"/>
        </w:rPr>
        <w:t>.</w:t>
      </w:r>
    </w:p>
    <w:p w14:paraId="7A65436C" w14:textId="0DDD9880" w:rsidR="00BF4509" w:rsidRPr="00CA6D59" w:rsidRDefault="00BF2522" w:rsidP="00CA6D59">
      <w:pPr>
        <w:spacing w:line="360" w:lineRule="auto"/>
        <w:ind w:firstLine="720"/>
        <w:jc w:val="both"/>
        <w:rPr>
          <w:rFonts w:ascii="Book Antiqua" w:hAnsi="Book Antiqua"/>
          <w:lang w:val="en-US"/>
        </w:rPr>
      </w:pPr>
      <w:r>
        <w:rPr>
          <w:rFonts w:ascii="Book Antiqua" w:hAnsi="Book Antiqua"/>
        </w:rPr>
        <w:t xml:space="preserve">A key part of this argument is the claim that any forbidden action, </w:t>
      </w:r>
      <w:r w:rsidRPr="006F4F5C">
        <w:rPr>
          <w:rFonts w:ascii="Book Antiqua" w:hAnsi="Times New Roman" w:cs="Times New Roman"/>
        </w:rPr>
        <w:t>ɸ</w:t>
      </w:r>
      <w:r w:rsidRPr="006F4F5C">
        <w:rPr>
          <w:rFonts w:ascii="Book Antiqua" w:hAnsi="Book Antiqua"/>
        </w:rPr>
        <w:t>-</w:t>
      </w:r>
      <w:proofErr w:type="spellStart"/>
      <w:r w:rsidRPr="006F4F5C">
        <w:rPr>
          <w:rFonts w:ascii="Book Antiqua" w:hAnsi="Book Antiqua"/>
        </w:rPr>
        <w:t>ing</w:t>
      </w:r>
      <w:proofErr w:type="spellEnd"/>
      <w:r w:rsidRPr="006F4F5C">
        <w:rPr>
          <w:rFonts w:ascii="Book Antiqua" w:hAnsi="Book Antiqua"/>
        </w:rPr>
        <w:t xml:space="preserve">, </w:t>
      </w:r>
      <w:r>
        <w:rPr>
          <w:rFonts w:ascii="Book Antiqua" w:hAnsi="Book Antiqua"/>
        </w:rPr>
        <w:t xml:space="preserve">can be matched with a </w:t>
      </w:r>
      <w:r w:rsidRPr="006F4F5C">
        <w:rPr>
          <w:rFonts w:ascii="Book Antiqua" w:hAnsi="Book Antiqua"/>
        </w:rPr>
        <w:t xml:space="preserve">counterpart </w:t>
      </w:r>
      <w:r w:rsidRPr="006F4F5C">
        <w:rPr>
          <w:rFonts w:ascii="Book Antiqua" w:hAnsi="Times New Roman" w:cs="Times New Roman"/>
        </w:rPr>
        <w:t>ɸ</w:t>
      </w:r>
      <w:r w:rsidRPr="006F4F5C">
        <w:rPr>
          <w:rFonts w:ascii="Book Antiqua" w:hAnsi="Book Antiqua" w:cs="Times New Roman"/>
        </w:rPr>
        <w:t>*</w:t>
      </w:r>
      <w:r w:rsidRPr="006F4F5C">
        <w:rPr>
          <w:rFonts w:ascii="Book Antiqua" w:hAnsi="Book Antiqua"/>
        </w:rPr>
        <w:t>-</w:t>
      </w:r>
      <w:proofErr w:type="spellStart"/>
      <w:r w:rsidRPr="006F4F5C">
        <w:rPr>
          <w:rFonts w:ascii="Book Antiqua" w:hAnsi="Book Antiqua"/>
        </w:rPr>
        <w:t>ing</w:t>
      </w:r>
      <w:proofErr w:type="spellEnd"/>
      <w:r w:rsidRPr="006F4F5C">
        <w:rPr>
          <w:rFonts w:ascii="Book Antiqua" w:hAnsi="Book Antiqua"/>
        </w:rPr>
        <w:t>, which</w:t>
      </w:r>
      <w:r>
        <w:rPr>
          <w:rFonts w:ascii="Book Antiqua" w:hAnsi="Book Antiqua"/>
        </w:rPr>
        <w:t>, not depending on any deontological distinctions,</w:t>
      </w:r>
      <w:r w:rsidRPr="006F4F5C">
        <w:rPr>
          <w:rFonts w:ascii="Book Antiqua" w:hAnsi="Book Antiqua"/>
        </w:rPr>
        <w:t xml:space="preserve"> </w:t>
      </w:r>
      <w:r>
        <w:rPr>
          <w:rFonts w:ascii="Book Antiqua" w:hAnsi="Book Antiqua"/>
        </w:rPr>
        <w:t>is picked out solely by reference to</w:t>
      </w:r>
      <w:r w:rsidRPr="006F4F5C">
        <w:rPr>
          <w:rFonts w:ascii="Book Antiqua" w:hAnsi="Book Antiqua"/>
        </w:rPr>
        <w:t xml:space="preserve"> the consequences of the agent’s actions.</w:t>
      </w:r>
      <w:r w:rsidR="001A4F62">
        <w:rPr>
          <w:rFonts w:ascii="Book Antiqua" w:hAnsi="Book Antiqua"/>
        </w:rPr>
        <w:t xml:space="preserve">   The underlying idea is </w:t>
      </w:r>
      <w:r w:rsidR="00E32C28">
        <w:rPr>
          <w:rFonts w:ascii="Book Antiqua" w:hAnsi="Book Antiqua"/>
        </w:rPr>
        <w:t xml:space="preserve">that each action-type is identified by a distinctive set of consequences, usually with </w:t>
      </w:r>
      <w:r w:rsidR="00E32C28">
        <w:rPr>
          <w:rFonts w:ascii="Book Antiqua" w:hAnsi="Book Antiqua"/>
        </w:rPr>
        <w:lastRenderedPageBreak/>
        <w:t>the requirement that to count as performing an action of that type the agent must stand in a specified relation with consequences of the relevant type.  Thus to lie is (a) to countenance misrepresentation; (b) for the misrepresentation to be strictly intended and brought about rather than merely allow</w:t>
      </w:r>
      <w:r w:rsidR="003716FF">
        <w:rPr>
          <w:rFonts w:ascii="Book Antiqua" w:hAnsi="Book Antiqua"/>
        </w:rPr>
        <w:t>ed</w:t>
      </w:r>
      <w:r w:rsidR="00E32C28">
        <w:rPr>
          <w:rFonts w:ascii="Book Antiqua" w:hAnsi="Book Antiqua"/>
        </w:rPr>
        <w:t xml:space="preserve"> (and possibly to meet some further conditions).</w:t>
      </w:r>
      <w:r w:rsidR="00E32C28">
        <w:rPr>
          <w:rStyle w:val="FootnoteReference"/>
          <w:rFonts w:ascii="Book Antiqua" w:hAnsi="Book Antiqua"/>
        </w:rPr>
        <w:footnoteReference w:id="28"/>
      </w:r>
      <w:r w:rsidR="00E32C28">
        <w:rPr>
          <w:rFonts w:ascii="Book Antiqua" w:hAnsi="Book Antiqua"/>
        </w:rPr>
        <w:t xml:space="preserve"> </w:t>
      </w:r>
      <w:r w:rsidR="003716FF">
        <w:rPr>
          <w:rFonts w:ascii="Book Antiqua" w:hAnsi="Book Antiqua"/>
        </w:rPr>
        <w:t xml:space="preserve"> To kill is (a) to countenance death; (b) for the death to be brought about rather than merely allowed (and possibly to meet some further conditions).</w:t>
      </w:r>
      <w:r w:rsidR="00CA6D59">
        <w:rPr>
          <w:rFonts w:ascii="Book Antiqua" w:hAnsi="Book Antiqua"/>
        </w:rPr>
        <w:t xml:space="preserve">  </w:t>
      </w:r>
      <w:r w:rsidR="003716FF">
        <w:rPr>
          <w:rFonts w:ascii="Book Antiqua" w:hAnsi="Book Antiqua"/>
        </w:rPr>
        <w:t xml:space="preserve">Thus when we remove the appeal to deontological distinctions, all we have left to identify the action is the distinctive consequences. </w:t>
      </w:r>
      <w:r w:rsidR="00CA6D59">
        <w:rPr>
          <w:rFonts w:ascii="Book Antiqua" w:hAnsi="Book Antiqua"/>
        </w:rPr>
        <w:t xml:space="preserve"> This understanding of action is compatible with that which Jonathan </w:t>
      </w:r>
      <w:proofErr w:type="spellStart"/>
      <w:r w:rsidR="00CA6D59">
        <w:rPr>
          <w:rFonts w:ascii="Book Antiqua" w:hAnsi="Book Antiqua"/>
        </w:rPr>
        <w:t>Dancy</w:t>
      </w:r>
      <w:proofErr w:type="spellEnd"/>
      <w:r w:rsidR="00CA6D59">
        <w:rPr>
          <w:rFonts w:ascii="Book Antiqua" w:hAnsi="Book Antiqua"/>
        </w:rPr>
        <w:t xml:space="preserve"> attributes to Prichard and </w:t>
      </w:r>
      <w:proofErr w:type="spellStart"/>
      <w:r w:rsidR="00CA6D59">
        <w:rPr>
          <w:rFonts w:ascii="Book Antiqua" w:hAnsi="Book Antiqua"/>
        </w:rPr>
        <w:t>Sidgewick</w:t>
      </w:r>
      <w:proofErr w:type="spellEnd"/>
      <w:r w:rsidR="002C0A72">
        <w:rPr>
          <w:rFonts w:ascii="Book Antiqua" w:hAnsi="Book Antiqua"/>
        </w:rPr>
        <w:t xml:space="preserve">: </w:t>
      </w:r>
      <w:r w:rsidR="002C0A72" w:rsidRPr="002C0A72">
        <w:rPr>
          <w:rFonts w:ascii="Book Antiqua" w:hAnsi="Book Antiqua"/>
        </w:rPr>
        <w:t>“…</w:t>
      </w:r>
      <w:proofErr w:type="spellStart"/>
      <w:r w:rsidR="002C0A72" w:rsidRPr="002C0A72">
        <w:rPr>
          <w:rFonts w:ascii="Book Antiqua" w:hAnsi="Book Antiqua"/>
          <w:lang w:val="en-US"/>
        </w:rPr>
        <w:t>Sidgwick</w:t>
      </w:r>
      <w:proofErr w:type="spellEnd"/>
      <w:r w:rsidR="002C0A72" w:rsidRPr="002C0A72">
        <w:rPr>
          <w:rFonts w:ascii="Book Antiqua" w:hAnsi="Book Antiqua"/>
          <w:lang w:val="en-US"/>
        </w:rPr>
        <w:t xml:space="preserve"> thinks of action as volition plus consequences, and Prichard thinks of it as the originating of those consequences, they agree that our terms for different types of action often take us way out along the train of effects, to things that at best we only ‘indirectly cause’.”</w:t>
      </w:r>
      <w:r w:rsidR="00CA6D59">
        <w:rPr>
          <w:rStyle w:val="FootnoteReference"/>
          <w:rFonts w:ascii="Book Antiqua" w:hAnsi="Book Antiqua"/>
        </w:rPr>
        <w:footnoteReference w:id="29"/>
      </w:r>
      <w:r w:rsidR="00CA6D59">
        <w:rPr>
          <w:rFonts w:ascii="Book Antiqua" w:hAnsi="Book Antiqua"/>
        </w:rPr>
        <w:t xml:space="preserve">  To echo </w:t>
      </w:r>
      <w:proofErr w:type="spellStart"/>
      <w:r w:rsidR="00CA6D59">
        <w:rPr>
          <w:rFonts w:ascii="Book Antiqua" w:hAnsi="Book Antiqua"/>
        </w:rPr>
        <w:t>Dancy’s</w:t>
      </w:r>
      <w:proofErr w:type="spellEnd"/>
      <w:r w:rsidR="00CA6D59">
        <w:rPr>
          <w:rFonts w:ascii="Book Antiqua" w:hAnsi="Book Antiqua"/>
        </w:rPr>
        <w:t xml:space="preserve"> words:  “</w:t>
      </w:r>
      <w:r w:rsidR="00CA6D59">
        <w:rPr>
          <w:rFonts w:ascii="Book Antiqua" w:hAnsi="Book Antiqua"/>
          <w:lang w:val="en-US"/>
        </w:rPr>
        <w:t>My general suspicion…</w:t>
      </w:r>
      <w:r w:rsidR="00CA6D59" w:rsidRPr="00CA6D59">
        <w:rPr>
          <w:rFonts w:ascii="Book Antiqua" w:hAnsi="Book Antiqua"/>
          <w:lang w:val="en-US"/>
        </w:rPr>
        <w:t>is that there are not that many rival conceptions of what an action is, and that the ones that there are don’t look as if they would change things much.</w:t>
      </w:r>
      <w:r w:rsidR="00CA6D59">
        <w:rPr>
          <w:rFonts w:ascii="Book Antiqua" w:hAnsi="Book Antiqua"/>
          <w:lang w:val="en-US"/>
        </w:rPr>
        <w:t>”</w:t>
      </w:r>
      <w:r w:rsidR="00CA6D59">
        <w:rPr>
          <w:rStyle w:val="FootnoteReference"/>
          <w:rFonts w:ascii="Book Antiqua" w:hAnsi="Book Antiqua"/>
          <w:lang w:val="en-US"/>
        </w:rPr>
        <w:footnoteReference w:id="30"/>
      </w:r>
      <w:r w:rsidR="00C668F6">
        <w:rPr>
          <w:rFonts w:ascii="Book Antiqua" w:hAnsi="Book Antiqua"/>
          <w:lang w:val="en-US"/>
        </w:rPr>
        <w:t xml:space="preserve">  It is certainly hard to deny that most common prohibitions relate to actions which are associated with specified consequences.  If it suggested that not all actions are identified in this way, the challenge remains for the Nonconsequentialist to show that she can give a halfway decent theory of right action in which the actions are not identified by consequences </w:t>
      </w:r>
      <w:r w:rsidR="0069033D">
        <w:rPr>
          <w:rFonts w:ascii="Book Antiqua" w:hAnsi="Book Antiqua"/>
          <w:lang w:val="en-US"/>
        </w:rPr>
        <w:t>and</w:t>
      </w:r>
      <w:r w:rsidR="00C668F6">
        <w:rPr>
          <w:rFonts w:ascii="Book Antiqua" w:hAnsi="Book Antiqua"/>
          <w:lang w:val="en-US"/>
        </w:rPr>
        <w:t xml:space="preserve"> deontological distinctions.</w:t>
      </w:r>
    </w:p>
    <w:p w14:paraId="20C19E6C" w14:textId="63B8B80A" w:rsidR="00DD2D59" w:rsidRPr="006F4F5C" w:rsidRDefault="00A65E1C" w:rsidP="00CE7BC8">
      <w:pPr>
        <w:spacing w:line="360" w:lineRule="auto"/>
        <w:ind w:firstLine="720"/>
        <w:jc w:val="both"/>
        <w:rPr>
          <w:rFonts w:ascii="Book Antiqua" w:hAnsi="Book Antiqua"/>
        </w:rPr>
      </w:pPr>
      <w:r w:rsidRPr="006F4F5C">
        <w:rPr>
          <w:rFonts w:ascii="Book Antiqua" w:hAnsi="Book Antiqua"/>
        </w:rPr>
        <w:t xml:space="preserve">Some clarification is needed here.  I am not claiming that without deontological distinctions the would-be Nonconsequentialist theory must be equivalent to traditional Act-Consequentialism.  The would-be </w:t>
      </w:r>
      <w:proofErr w:type="spellStart"/>
      <w:r w:rsidRPr="006F4F5C">
        <w:rPr>
          <w:rFonts w:ascii="Book Antiqua" w:hAnsi="Book Antiqua"/>
        </w:rPr>
        <w:t>Nonconsequentalist</w:t>
      </w:r>
      <w:proofErr w:type="spellEnd"/>
      <w:r w:rsidRPr="006F4F5C">
        <w:rPr>
          <w:rFonts w:ascii="Book Antiqua" w:hAnsi="Book Antiqua"/>
        </w:rPr>
        <w:t xml:space="preserve"> can still i</w:t>
      </w:r>
      <w:r w:rsidR="00CE22C3" w:rsidRPr="006F4F5C">
        <w:rPr>
          <w:rFonts w:ascii="Book Antiqua" w:hAnsi="Book Antiqua"/>
        </w:rPr>
        <w:t>nclude</w:t>
      </w:r>
      <w:r w:rsidRPr="006F4F5C">
        <w:rPr>
          <w:rFonts w:ascii="Book Antiqua" w:hAnsi="Book Antiqua"/>
        </w:rPr>
        <w:t xml:space="preserve"> lots of Nonconsequentialist features into h</w:t>
      </w:r>
      <w:r w:rsidR="006126F7" w:rsidRPr="006F4F5C">
        <w:rPr>
          <w:rFonts w:ascii="Book Antiqua" w:hAnsi="Book Antiqua"/>
        </w:rPr>
        <w:t>er</w:t>
      </w:r>
      <w:r w:rsidRPr="006F4F5C">
        <w:rPr>
          <w:rFonts w:ascii="Book Antiqua" w:hAnsi="Book Antiqua"/>
        </w:rPr>
        <w:t xml:space="preserve"> theory</w:t>
      </w:r>
      <w:r w:rsidR="006A2A00" w:rsidRPr="006F4F5C">
        <w:rPr>
          <w:rFonts w:ascii="Book Antiqua" w:hAnsi="Book Antiqua"/>
        </w:rPr>
        <w:t>,</w:t>
      </w:r>
      <w:r w:rsidRPr="006F4F5C">
        <w:rPr>
          <w:rFonts w:ascii="Book Antiqua" w:hAnsi="Book Antiqua"/>
        </w:rPr>
        <w:t xml:space="preserve"> </w:t>
      </w:r>
      <w:r w:rsidR="006126F7" w:rsidRPr="006F4F5C">
        <w:rPr>
          <w:rFonts w:ascii="Book Antiqua" w:hAnsi="Book Antiqua"/>
        </w:rPr>
        <w:t>for example</w:t>
      </w:r>
      <w:r w:rsidRPr="006F4F5C">
        <w:rPr>
          <w:rFonts w:ascii="Book Antiqua" w:hAnsi="Book Antiqua"/>
        </w:rPr>
        <w:t xml:space="preserve"> </w:t>
      </w:r>
      <w:r w:rsidR="00B0752F" w:rsidRPr="006F4F5C">
        <w:rPr>
          <w:rFonts w:ascii="Book Antiqua" w:hAnsi="Book Antiqua"/>
        </w:rPr>
        <w:t xml:space="preserve">giving non-instrumental significance to </w:t>
      </w:r>
      <w:r w:rsidR="00E445A2" w:rsidRPr="006F4F5C">
        <w:rPr>
          <w:rFonts w:ascii="Book Antiqua" w:hAnsi="Book Antiqua"/>
        </w:rPr>
        <w:t xml:space="preserve">choice, </w:t>
      </w:r>
      <w:r w:rsidRPr="006F4F5C">
        <w:rPr>
          <w:rFonts w:ascii="Book Antiqua" w:hAnsi="Book Antiqua"/>
        </w:rPr>
        <w:t>rights</w:t>
      </w:r>
      <w:r w:rsidR="006126F7" w:rsidRPr="006F4F5C">
        <w:rPr>
          <w:rFonts w:ascii="Book Antiqua" w:hAnsi="Book Antiqua"/>
        </w:rPr>
        <w:t>, gratitude, desert and promise</w:t>
      </w:r>
      <w:r w:rsidR="00B0752F" w:rsidRPr="006F4F5C">
        <w:rPr>
          <w:rFonts w:ascii="Book Antiqua" w:hAnsi="Book Antiqua"/>
        </w:rPr>
        <w:t>s</w:t>
      </w:r>
      <w:r w:rsidRPr="006F4F5C">
        <w:rPr>
          <w:rFonts w:ascii="Book Antiqua" w:hAnsi="Book Antiqua"/>
        </w:rPr>
        <w:t>. Moreover, the would-</w:t>
      </w:r>
      <w:r w:rsidR="00B0752F" w:rsidRPr="006F4F5C">
        <w:rPr>
          <w:rFonts w:ascii="Book Antiqua" w:hAnsi="Book Antiqua"/>
        </w:rPr>
        <w:t xml:space="preserve">be </w:t>
      </w:r>
      <w:r w:rsidRPr="006F4F5C">
        <w:rPr>
          <w:rFonts w:ascii="Book Antiqua" w:hAnsi="Book Antiqua"/>
        </w:rPr>
        <w:t xml:space="preserve">Nonconsequentialist can still endorse a theory of right action that is, in one important way, agent relative.  There is nothing to stop O being agent-relative.  </w:t>
      </w:r>
      <w:r w:rsidR="00283967" w:rsidRPr="006F4F5C">
        <w:rPr>
          <w:rFonts w:ascii="Book Antiqua" w:hAnsi="Book Antiqua"/>
        </w:rPr>
        <w:t xml:space="preserve">By hypothesis, whether I count as </w:t>
      </w:r>
      <w:r w:rsidR="00283967" w:rsidRPr="006F4F5C">
        <w:rPr>
          <w:rFonts w:ascii="Book Antiqua" w:hAnsi="Times New Roman" w:cs="Times New Roman"/>
        </w:rPr>
        <w:t>ɸ</w:t>
      </w:r>
      <w:r w:rsidR="00283967" w:rsidRPr="006F4F5C">
        <w:rPr>
          <w:rFonts w:ascii="Book Antiqua" w:hAnsi="Book Antiqua" w:cs="Times New Roman"/>
        </w:rPr>
        <w:t>*-</w:t>
      </w:r>
      <w:proofErr w:type="spellStart"/>
      <w:r w:rsidR="00283967" w:rsidRPr="006F4F5C">
        <w:rPr>
          <w:rFonts w:ascii="Book Antiqua" w:hAnsi="Book Antiqua" w:cs="Times New Roman"/>
        </w:rPr>
        <w:t>ing</w:t>
      </w:r>
      <w:proofErr w:type="spellEnd"/>
      <w:r w:rsidR="00283967" w:rsidRPr="006F4F5C">
        <w:rPr>
          <w:rFonts w:ascii="Book Antiqua" w:hAnsi="Book Antiqua" w:cs="Times New Roman"/>
        </w:rPr>
        <w:t xml:space="preserve"> or not is neutral with respect to how I am related to the consequences of my actions </w:t>
      </w:r>
      <w:r w:rsidR="00283967" w:rsidRPr="006F4F5C">
        <w:rPr>
          <w:rFonts w:ascii="Book Antiqua" w:hAnsi="Book Antiqua" w:cs="Times New Roman"/>
          <w:i/>
        </w:rPr>
        <w:t>as an agent</w:t>
      </w:r>
      <w:r w:rsidR="00283967" w:rsidRPr="006F4F5C">
        <w:rPr>
          <w:rFonts w:ascii="Book Antiqua" w:hAnsi="Book Antiqua" w:cs="Times New Roman"/>
        </w:rPr>
        <w:t xml:space="preserve">.  However, it need not be neutral with respect to how I am related to the consequences of my actions </w:t>
      </w:r>
      <w:r w:rsidR="00283967" w:rsidRPr="006F4F5C">
        <w:rPr>
          <w:rFonts w:ascii="Book Antiqua" w:hAnsi="Book Antiqua" w:cs="Times New Roman"/>
          <w:i/>
        </w:rPr>
        <w:t>tout court</w:t>
      </w:r>
      <w:r w:rsidR="00283967" w:rsidRPr="006F4F5C">
        <w:rPr>
          <w:rFonts w:ascii="Book Antiqua" w:hAnsi="Book Antiqua" w:cs="Times New Roman"/>
        </w:rPr>
        <w:t xml:space="preserve">.   </w:t>
      </w:r>
      <w:r w:rsidR="00CF796C" w:rsidRPr="006F4F5C">
        <w:rPr>
          <w:rFonts w:ascii="Book Antiqua" w:hAnsi="Book Antiqua" w:cs="Times New Roman"/>
        </w:rPr>
        <w:t xml:space="preserve">A theory which does not endorse deontological distinctions must </w:t>
      </w:r>
      <w:r w:rsidR="004427CC" w:rsidRPr="006F4F5C">
        <w:rPr>
          <w:rFonts w:ascii="Book Antiqua" w:hAnsi="Book Antiqua" w:cs="Times New Roman"/>
        </w:rPr>
        <w:t>have</w:t>
      </w:r>
      <w:r w:rsidR="00CF796C" w:rsidRPr="006F4F5C">
        <w:rPr>
          <w:rFonts w:ascii="Book Antiqua" w:hAnsi="Book Antiqua" w:cs="Times New Roman"/>
        </w:rPr>
        <w:t xml:space="preserve"> Consequentialist</w:t>
      </w:r>
      <w:r w:rsidR="004427CC" w:rsidRPr="006F4F5C">
        <w:rPr>
          <w:rFonts w:ascii="Book Antiqua" w:hAnsi="Book Antiqua" w:cs="Times New Roman"/>
        </w:rPr>
        <w:t xml:space="preserve"> implications</w:t>
      </w:r>
      <w:r w:rsidR="00CF796C" w:rsidRPr="006F4F5C">
        <w:rPr>
          <w:rFonts w:ascii="Book Antiqua" w:hAnsi="Book Antiqua" w:cs="Times New Roman"/>
        </w:rPr>
        <w:t xml:space="preserve"> in the sense that it requires us to bring </w:t>
      </w:r>
      <w:r w:rsidR="00CF796C" w:rsidRPr="006F4F5C">
        <w:rPr>
          <w:rFonts w:ascii="Book Antiqua" w:hAnsi="Book Antiqua" w:cs="Times New Roman"/>
        </w:rPr>
        <w:lastRenderedPageBreak/>
        <w:t>about a certain type of</w:t>
      </w:r>
      <w:r w:rsidR="00CF796C" w:rsidRPr="006F4F5C">
        <w:rPr>
          <w:rFonts w:ascii="Book Antiqua" w:hAnsi="Book Antiqua" w:cs="Times New Roman"/>
          <w:i/>
        </w:rPr>
        <w:t xml:space="preserve"> </w:t>
      </w:r>
      <w:r w:rsidR="00CF796C" w:rsidRPr="006F4F5C">
        <w:rPr>
          <w:rFonts w:ascii="Book Antiqua" w:hAnsi="Book Antiqua" w:cs="Times New Roman"/>
        </w:rPr>
        <w:t xml:space="preserve">consequence, but the consequences I am required to bring about may have some special relation to me and differ from the consequences you are required to bring about.  For example, </w:t>
      </w:r>
      <w:r w:rsidR="00352A8C" w:rsidRPr="006F4F5C">
        <w:rPr>
          <w:rFonts w:ascii="Book Antiqua" w:hAnsi="Book Antiqua" w:cs="Times New Roman"/>
        </w:rPr>
        <w:t xml:space="preserve">suppose I am required to teach my first year Ethics class.  Without a deontological distinction, we cannot make sense of a requirement that I </w:t>
      </w:r>
      <w:r w:rsidR="00352A8C" w:rsidRPr="006F4F5C">
        <w:rPr>
          <w:rFonts w:ascii="Book Antiqua" w:hAnsi="Book Antiqua" w:cs="Times New Roman"/>
          <w:i/>
        </w:rPr>
        <w:t>teach</w:t>
      </w:r>
      <w:r w:rsidR="00352A8C" w:rsidRPr="006F4F5C">
        <w:rPr>
          <w:rFonts w:ascii="Book Antiqua" w:hAnsi="Book Antiqua" w:cs="Times New Roman"/>
        </w:rPr>
        <w:t xml:space="preserve"> the course rather than simply bringing it about that the course is taught.  However, we can certainly make sense of a requirement to bring it about that </w:t>
      </w:r>
      <w:r w:rsidR="00352A8C" w:rsidRPr="006F4F5C">
        <w:rPr>
          <w:rFonts w:ascii="Book Antiqua" w:hAnsi="Book Antiqua" w:cs="Times New Roman"/>
          <w:i/>
        </w:rPr>
        <w:t xml:space="preserve">that </w:t>
      </w:r>
      <w:r w:rsidR="00352A8C" w:rsidRPr="006F4F5C">
        <w:rPr>
          <w:rFonts w:ascii="Book Antiqua" w:hAnsi="Book Antiqua" w:cs="Times New Roman"/>
        </w:rPr>
        <w:t xml:space="preserve">group of students, the ones </w:t>
      </w:r>
      <w:r w:rsidR="00F85BCB">
        <w:rPr>
          <w:rFonts w:ascii="Book Antiqua" w:hAnsi="Book Antiqua" w:cs="Times New Roman"/>
        </w:rPr>
        <w:t xml:space="preserve">enrolled on </w:t>
      </w:r>
      <w:r w:rsidR="00F85BCB">
        <w:rPr>
          <w:rFonts w:ascii="Book Antiqua" w:hAnsi="Book Antiqua" w:cs="Times New Roman"/>
          <w:i/>
        </w:rPr>
        <w:t>my</w:t>
      </w:r>
      <w:r w:rsidR="00F85BCB">
        <w:rPr>
          <w:rFonts w:ascii="Book Antiqua" w:hAnsi="Book Antiqua" w:cs="Times New Roman"/>
        </w:rPr>
        <w:t xml:space="preserve"> course</w:t>
      </w:r>
      <w:r w:rsidR="00352A8C" w:rsidRPr="006F4F5C">
        <w:rPr>
          <w:rFonts w:ascii="Book Antiqua" w:hAnsi="Book Antiqua" w:cs="Times New Roman"/>
        </w:rPr>
        <w:t xml:space="preserve">, are taught, rather than that students in general are taught.  </w:t>
      </w:r>
      <w:r w:rsidR="00CF796C" w:rsidRPr="006F4F5C">
        <w:rPr>
          <w:rFonts w:ascii="Book Antiqua" w:hAnsi="Book Antiqua" w:cs="Times New Roman"/>
        </w:rPr>
        <w:t xml:space="preserve">  </w:t>
      </w:r>
      <w:r w:rsidR="00352A8C" w:rsidRPr="006F4F5C">
        <w:rPr>
          <w:rFonts w:ascii="Book Antiqua" w:hAnsi="Book Antiqua" w:cs="Times New Roman"/>
        </w:rPr>
        <w:t xml:space="preserve">McNaughton and Rawlings </w:t>
      </w:r>
      <w:r w:rsidR="00BE79A3">
        <w:rPr>
          <w:rFonts w:ascii="Book Antiqua" w:hAnsi="Book Antiqua" w:cs="Times New Roman"/>
        </w:rPr>
        <w:t>distinguish overall agent-</w:t>
      </w:r>
      <w:r w:rsidR="00BE79A3" w:rsidRPr="00BE79A3">
        <w:rPr>
          <w:rFonts w:ascii="Book Antiqua" w:hAnsi="Book Antiqua" w:cs="Times New Roman"/>
        </w:rPr>
        <w:t>relativity</w:t>
      </w:r>
      <w:r w:rsidR="00BE79A3">
        <w:rPr>
          <w:rFonts w:ascii="Book Antiqua" w:hAnsi="Book Antiqua" w:cs="Times New Roman"/>
        </w:rPr>
        <w:t xml:space="preserve"> </w:t>
      </w:r>
      <w:r w:rsidR="00BE79A3" w:rsidRPr="00BE79A3">
        <w:rPr>
          <w:rFonts w:ascii="Book Antiqua" w:hAnsi="Book Antiqua" w:cs="Times New Roman"/>
        </w:rPr>
        <w:t>and</w:t>
      </w:r>
      <w:r w:rsidR="007D490F" w:rsidRPr="006F4F5C">
        <w:rPr>
          <w:rFonts w:ascii="Book Antiqua" w:hAnsi="Book Antiqua" w:cs="Times New Roman"/>
        </w:rPr>
        <w:t xml:space="preserve"> </w:t>
      </w:r>
      <w:r w:rsidR="007D490F" w:rsidRPr="006F4F5C">
        <w:rPr>
          <w:rFonts w:ascii="Book Antiqua" w:hAnsi="Book Antiqua" w:cs="Times New Roman"/>
          <w:i/>
        </w:rPr>
        <w:t>author</w:t>
      </w:r>
      <w:r w:rsidR="007D490F" w:rsidRPr="006F4F5C">
        <w:rPr>
          <w:rFonts w:ascii="Book Antiqua" w:hAnsi="Book Antiqua" w:cs="Times New Roman"/>
        </w:rPr>
        <w:t xml:space="preserve"> agent-relativity.  Author agent relative requirements include an interest in the author of the required activity.  In McNaughton and Rawlings</w:t>
      </w:r>
      <w:r w:rsidR="00154B0F" w:rsidRPr="006F4F5C">
        <w:rPr>
          <w:rFonts w:ascii="Book Antiqua" w:hAnsi="Book Antiqua" w:cs="Times New Roman"/>
        </w:rPr>
        <w:t>’</w:t>
      </w:r>
      <w:r w:rsidR="007D490F" w:rsidRPr="006F4F5C">
        <w:rPr>
          <w:rFonts w:ascii="Book Antiqua" w:hAnsi="Book Antiqua" w:cs="Times New Roman"/>
        </w:rPr>
        <w:t xml:space="preserve"> words, they require us to do certain things “directly”.</w:t>
      </w:r>
      <w:r w:rsidR="007D490F" w:rsidRPr="006F4F5C">
        <w:rPr>
          <w:rStyle w:val="FootnoteReference"/>
          <w:rFonts w:ascii="Book Antiqua" w:hAnsi="Book Antiqua" w:cs="Times New Roman"/>
        </w:rPr>
        <w:footnoteReference w:id="31"/>
      </w:r>
      <w:r w:rsidR="007D490F" w:rsidRPr="006F4F5C">
        <w:rPr>
          <w:rFonts w:ascii="Book Antiqua" w:hAnsi="Book Antiqua" w:cs="Times New Roman"/>
        </w:rPr>
        <w:t xml:space="preserve"> </w:t>
      </w:r>
      <w:r w:rsidR="00DC7F55" w:rsidRPr="006F4F5C">
        <w:rPr>
          <w:rFonts w:ascii="Book Antiqua" w:hAnsi="Book Antiqua" w:cs="Times New Roman"/>
        </w:rPr>
        <w:t xml:space="preserve">Author agent-relative requirements only make sense if we can identify the difference between doing something directly and ensuring that it is done.  It </w:t>
      </w:r>
      <w:r w:rsidR="00154B0F" w:rsidRPr="006F4F5C">
        <w:rPr>
          <w:rFonts w:ascii="Book Antiqua" w:hAnsi="Book Antiqua" w:cs="Times New Roman"/>
        </w:rPr>
        <w:t xml:space="preserve">is </w:t>
      </w:r>
      <w:r w:rsidR="00DC7F55" w:rsidRPr="006F4F5C">
        <w:rPr>
          <w:rFonts w:ascii="Book Antiqua" w:hAnsi="Book Antiqua" w:cs="Times New Roman"/>
        </w:rPr>
        <w:t>this type of agent-</w:t>
      </w:r>
      <w:proofErr w:type="gramStart"/>
      <w:r w:rsidR="001D41F4">
        <w:rPr>
          <w:rFonts w:ascii="Book Antiqua" w:hAnsi="Book Antiqua" w:cs="Times New Roman"/>
        </w:rPr>
        <w:t xml:space="preserve">relativity </w:t>
      </w:r>
      <w:r w:rsidR="004466E0">
        <w:rPr>
          <w:rFonts w:ascii="Book Antiqua" w:hAnsi="Book Antiqua" w:cs="Times New Roman"/>
        </w:rPr>
        <w:t>which</w:t>
      </w:r>
      <w:proofErr w:type="gramEnd"/>
      <w:r w:rsidR="004466E0">
        <w:rPr>
          <w:rFonts w:ascii="Book Antiqua" w:hAnsi="Book Antiqua" w:cs="Times New Roman"/>
        </w:rPr>
        <w:t xml:space="preserve"> </w:t>
      </w:r>
      <w:r w:rsidR="00087CC3">
        <w:rPr>
          <w:rFonts w:ascii="Book Antiqua" w:hAnsi="Book Antiqua" w:cs="Times New Roman"/>
        </w:rPr>
        <w:t xml:space="preserve">requires an </w:t>
      </w:r>
      <w:r w:rsidR="00DC7F55" w:rsidRPr="006F4F5C">
        <w:rPr>
          <w:rFonts w:ascii="Book Antiqua" w:hAnsi="Book Antiqua" w:cs="Times New Roman"/>
        </w:rPr>
        <w:t xml:space="preserve">appeal to some </w:t>
      </w:r>
      <w:r w:rsidR="004427CC" w:rsidRPr="006F4F5C">
        <w:rPr>
          <w:rFonts w:ascii="Book Antiqua" w:hAnsi="Book Antiqua" w:cs="Times New Roman"/>
        </w:rPr>
        <w:t>deontological distinction such as</w:t>
      </w:r>
      <w:r w:rsidR="00DC7F55" w:rsidRPr="006F4F5C">
        <w:rPr>
          <w:rFonts w:ascii="Book Antiqua" w:hAnsi="Book Antiqua" w:cs="Times New Roman"/>
        </w:rPr>
        <w:t xml:space="preserve"> the Doctrine of Doing and Allowing or the Doctrine of Double Effect.</w:t>
      </w:r>
      <w:r w:rsidR="009F4DF1" w:rsidRPr="006F4F5C">
        <w:rPr>
          <w:rFonts w:ascii="Book Antiqua" w:hAnsi="Book Antiqua"/>
        </w:rPr>
        <w:t xml:space="preserve"> </w:t>
      </w:r>
    </w:p>
    <w:p w14:paraId="3EE75945" w14:textId="606DCE46" w:rsidR="009D0617" w:rsidRPr="006F4F5C" w:rsidRDefault="009D0617" w:rsidP="00D9022E">
      <w:pPr>
        <w:spacing w:line="360" w:lineRule="auto"/>
        <w:ind w:firstLine="720"/>
        <w:jc w:val="both"/>
        <w:rPr>
          <w:rFonts w:ascii="Book Antiqua" w:hAnsi="Book Antiqua"/>
        </w:rPr>
      </w:pPr>
      <w:r w:rsidRPr="006F4F5C">
        <w:rPr>
          <w:rFonts w:ascii="Book Antiqua" w:hAnsi="Book Antiqua"/>
        </w:rPr>
        <w:t>My worry</w:t>
      </w:r>
      <w:r w:rsidRPr="006F4F5C">
        <w:rPr>
          <w:rFonts w:ascii="Book Antiqua" w:hAnsi="Book Antiqua"/>
          <w:b/>
        </w:rPr>
        <w:t xml:space="preserve"> </w:t>
      </w:r>
      <w:r w:rsidRPr="006F4F5C">
        <w:rPr>
          <w:rFonts w:ascii="Book Antiqua" w:hAnsi="Book Antiqua"/>
        </w:rPr>
        <w:t xml:space="preserve">is </w:t>
      </w:r>
      <w:r w:rsidR="00F85BCB">
        <w:rPr>
          <w:rFonts w:ascii="Book Antiqua" w:hAnsi="Book Antiqua"/>
        </w:rPr>
        <w:t>related to</w:t>
      </w:r>
      <w:r w:rsidRPr="006F4F5C">
        <w:rPr>
          <w:rFonts w:ascii="Book Antiqua" w:hAnsi="Book Antiqua"/>
        </w:rPr>
        <w:t xml:space="preserve"> the worry that any Nonconsequentialist theory that does not meet certain condition</w:t>
      </w:r>
      <w:r w:rsidR="00CE7BC8" w:rsidRPr="006F4F5C">
        <w:rPr>
          <w:rFonts w:ascii="Book Antiqua" w:hAnsi="Book Antiqua"/>
        </w:rPr>
        <w:t>s can be “</w:t>
      </w:r>
      <w:proofErr w:type="spellStart"/>
      <w:r w:rsidR="00CE7BC8" w:rsidRPr="006F4F5C">
        <w:rPr>
          <w:rFonts w:ascii="Book Antiqua" w:hAnsi="Book Antiqua"/>
        </w:rPr>
        <w:t>consequentialised</w:t>
      </w:r>
      <w:proofErr w:type="spellEnd"/>
      <w:r w:rsidR="00CE7BC8" w:rsidRPr="006F4F5C">
        <w:rPr>
          <w:rFonts w:ascii="Book Antiqua" w:hAnsi="Book Antiqua"/>
        </w:rPr>
        <w:t xml:space="preserve">”.  </w:t>
      </w:r>
      <w:r w:rsidR="00D9022E" w:rsidRPr="006F4F5C">
        <w:rPr>
          <w:rFonts w:ascii="Book Antiqua" w:hAnsi="Book Antiqua"/>
        </w:rPr>
        <w:t>As noted above, t</w:t>
      </w:r>
      <w:r w:rsidRPr="006F4F5C">
        <w:rPr>
          <w:rFonts w:ascii="Book Antiqua" w:hAnsi="Book Antiqua"/>
        </w:rPr>
        <w:t>ypical features of a Nonconsequentialist theory such as the importance of honesty, of avoiding rights violations, of keeping promises, of recognising special relationships can be imported into a Consequentialist theory.  This is done simply by taking account of these features in the theory of the good</w:t>
      </w:r>
      <w:r w:rsidR="009E2D58" w:rsidRPr="006F4F5C">
        <w:rPr>
          <w:rFonts w:ascii="Book Antiqua" w:hAnsi="Book Antiqua"/>
        </w:rPr>
        <w:t>,</w:t>
      </w:r>
      <w:r w:rsidRPr="006F4F5C">
        <w:rPr>
          <w:rFonts w:ascii="Book Antiqua" w:hAnsi="Book Antiqua"/>
        </w:rPr>
        <w:t xml:space="preserve"> in other words, adding them to the set of values to be promoted.  Consequentialism recognises the importance of honesty by holding that we must reduce the number of </w:t>
      </w:r>
      <w:r w:rsidR="00BE79A3">
        <w:rPr>
          <w:rFonts w:ascii="Book Antiqua" w:hAnsi="Book Antiqua"/>
        </w:rPr>
        <w:t>misrepresentations</w:t>
      </w:r>
      <w:r w:rsidRPr="006F4F5C">
        <w:rPr>
          <w:rFonts w:ascii="Book Antiqua" w:hAnsi="Book Antiqua"/>
        </w:rPr>
        <w:t>.</w:t>
      </w:r>
      <w:r w:rsidRPr="006F4F5C">
        <w:rPr>
          <w:rStyle w:val="FootnoteReference"/>
          <w:rFonts w:ascii="Book Antiqua" w:hAnsi="Book Antiqua"/>
        </w:rPr>
        <w:footnoteReference w:id="32"/>
      </w:r>
      <w:r w:rsidR="00D54606">
        <w:rPr>
          <w:rFonts w:ascii="Book Antiqua" w:hAnsi="Book Antiqua"/>
        </w:rPr>
        <w:t xml:space="preserve">  However my worry </w:t>
      </w:r>
      <w:r w:rsidRPr="006F4F5C">
        <w:rPr>
          <w:rFonts w:ascii="Book Antiqua" w:hAnsi="Book Antiqua"/>
        </w:rPr>
        <w:t>is not just that the Nonconsequentialist who does not accept a deontological distinction will have a theory that is extensionally equivalent to a consequentialist theory, but that such a Nonconsequentialist won’t be able to say some things that she thinks she can say and wants to say.  She won’t be able to say that I must not lie even if lying would reduce th</w:t>
      </w:r>
      <w:r w:rsidR="00BE79A3">
        <w:rPr>
          <w:rFonts w:ascii="Book Antiqua" w:hAnsi="Book Antiqua"/>
        </w:rPr>
        <w:t>e total amount of misrepresentat</w:t>
      </w:r>
      <w:r w:rsidRPr="006F4F5C">
        <w:rPr>
          <w:rFonts w:ascii="Book Antiqua" w:hAnsi="Book Antiqua"/>
        </w:rPr>
        <w:t xml:space="preserve">ion or that I should refrain from violating rights even if </w:t>
      </w:r>
      <w:r w:rsidR="00F736AC" w:rsidRPr="006F4F5C">
        <w:rPr>
          <w:rFonts w:ascii="Book Antiqua" w:hAnsi="Book Antiqua"/>
        </w:rPr>
        <w:t>violating rights would reduce the amount of rights violated.</w:t>
      </w:r>
    </w:p>
    <w:p w14:paraId="3A93095E" w14:textId="51FFC369" w:rsidR="001B6663" w:rsidRPr="006F4F5C" w:rsidRDefault="001B6663" w:rsidP="001B6663">
      <w:pPr>
        <w:spacing w:line="360" w:lineRule="auto"/>
        <w:jc w:val="both"/>
        <w:rPr>
          <w:rFonts w:ascii="Book Antiqua" w:hAnsi="Book Antiqua"/>
          <w:b/>
        </w:rPr>
      </w:pPr>
      <w:r w:rsidRPr="006F4F5C">
        <w:rPr>
          <w:rFonts w:ascii="Book Antiqua" w:hAnsi="Book Antiqua"/>
          <w:b/>
        </w:rPr>
        <w:lastRenderedPageBreak/>
        <w:t>Premise 2:  The Deontological Distinction should be the DDE or DDA</w:t>
      </w:r>
      <w:r w:rsidR="00860156">
        <w:rPr>
          <w:rFonts w:ascii="Book Antiqua" w:hAnsi="Book Antiqua"/>
          <w:b/>
        </w:rPr>
        <w:t xml:space="preserve"> or a replacement of one of those doctrines</w:t>
      </w:r>
    </w:p>
    <w:p w14:paraId="745BD2F1" w14:textId="4C4418BC" w:rsidR="009F238B" w:rsidRPr="006F4F5C" w:rsidRDefault="00DD2D59" w:rsidP="00BE1E15">
      <w:pPr>
        <w:spacing w:line="360" w:lineRule="auto"/>
        <w:jc w:val="both"/>
        <w:rPr>
          <w:rFonts w:ascii="Book Antiqua" w:hAnsi="Book Antiqua"/>
        </w:rPr>
      </w:pPr>
      <w:r w:rsidRPr="006F4F5C">
        <w:rPr>
          <w:rFonts w:ascii="Book Antiqua" w:hAnsi="Book Antiqua"/>
        </w:rPr>
        <w:tab/>
      </w:r>
      <w:r w:rsidR="004466E0">
        <w:rPr>
          <w:rFonts w:ascii="Book Antiqua" w:hAnsi="Book Antiqua"/>
        </w:rPr>
        <w:t xml:space="preserve">I </w:t>
      </w:r>
      <w:r w:rsidR="004427CC" w:rsidRPr="006F4F5C">
        <w:rPr>
          <w:rFonts w:ascii="Book Antiqua" w:hAnsi="Book Antiqua"/>
        </w:rPr>
        <w:t xml:space="preserve">now argue that there is good reason to think that </w:t>
      </w:r>
      <w:r w:rsidR="00860156">
        <w:rPr>
          <w:rFonts w:ascii="Book Antiqua" w:hAnsi="Book Antiqua"/>
        </w:rPr>
        <w:t xml:space="preserve">the Nonconsequentialist who endorses </w:t>
      </w:r>
      <w:r w:rsidR="00BE79A3">
        <w:rPr>
          <w:rFonts w:ascii="Book Antiqua" w:hAnsi="Book Antiqua"/>
        </w:rPr>
        <w:t>some</w:t>
      </w:r>
      <w:r w:rsidR="00860156">
        <w:rPr>
          <w:rFonts w:ascii="Book Antiqua" w:hAnsi="Book Antiqua"/>
        </w:rPr>
        <w:t xml:space="preserve"> deontological distinction should endorse </w:t>
      </w:r>
      <w:r w:rsidR="004427CC" w:rsidRPr="006F4F5C">
        <w:rPr>
          <w:rFonts w:ascii="Book Antiqua" w:hAnsi="Book Antiqua"/>
        </w:rPr>
        <w:t xml:space="preserve">either the Doctrine of Double Effect </w:t>
      </w:r>
      <w:r w:rsidR="00860156">
        <w:rPr>
          <w:rFonts w:ascii="Book Antiqua" w:hAnsi="Book Antiqua"/>
        </w:rPr>
        <w:t xml:space="preserve">(or a replacement) </w:t>
      </w:r>
      <w:r w:rsidR="004427CC" w:rsidRPr="006F4F5C">
        <w:rPr>
          <w:rFonts w:ascii="Book Antiqua" w:hAnsi="Book Antiqua"/>
        </w:rPr>
        <w:t>or the Doctrine of Doing and Allowing</w:t>
      </w:r>
      <w:r w:rsidR="00860156">
        <w:rPr>
          <w:rFonts w:ascii="Book Antiqua" w:hAnsi="Book Antiqua"/>
        </w:rPr>
        <w:t xml:space="preserve"> (or a replacement)</w:t>
      </w:r>
      <w:r w:rsidR="004427CC" w:rsidRPr="006F4F5C">
        <w:rPr>
          <w:rFonts w:ascii="Book Antiqua" w:hAnsi="Book Antiqua"/>
        </w:rPr>
        <w:t xml:space="preserve">.  </w:t>
      </w:r>
      <w:r w:rsidR="00E45C53" w:rsidRPr="006F4F5C">
        <w:rPr>
          <w:rFonts w:ascii="Book Antiqua" w:hAnsi="Book Antiqua"/>
        </w:rPr>
        <w:t xml:space="preserve">In order to avoid accepting a form of Consequentialism, the Nonconsequentialist needs constraints that are </w:t>
      </w:r>
      <w:r w:rsidR="00B222DB">
        <w:rPr>
          <w:rFonts w:ascii="Book Antiqua" w:hAnsi="Book Antiqua"/>
        </w:rPr>
        <w:t>author-agent-relative</w:t>
      </w:r>
      <w:r w:rsidR="00E45C53" w:rsidRPr="006F4F5C">
        <w:rPr>
          <w:rFonts w:ascii="Book Antiqua" w:hAnsi="Book Antiqua"/>
        </w:rPr>
        <w:t>.  Any set of constraints that do not appeal to some idea of authorship will be equivalent to a Consequentialist theory.  This is what we see with the requirement above that states that I am required to ensure that my students – but not the students of others – are taught Ethics.  Meeting this requirement simply involves promoting the learning of my students.  The need for author-agent-r</w:t>
      </w:r>
      <w:r w:rsidR="00C00681" w:rsidRPr="006F4F5C">
        <w:rPr>
          <w:rFonts w:ascii="Book Antiqua" w:hAnsi="Book Antiqua"/>
        </w:rPr>
        <w:t xml:space="preserve">elative constraints rules out deontological distinctions based on, for example, distance between agent and those affected by his actions. </w:t>
      </w:r>
      <w:r w:rsidR="00B222DB">
        <w:rPr>
          <w:rFonts w:ascii="Book Antiqua" w:hAnsi="Book Antiqua"/>
        </w:rPr>
        <w:t>I cannot see</w:t>
      </w:r>
      <w:r w:rsidR="00C00681" w:rsidRPr="006F4F5C">
        <w:rPr>
          <w:rFonts w:ascii="Book Antiqua" w:hAnsi="Book Antiqua"/>
        </w:rPr>
        <w:t xml:space="preserve"> any obvious alternative </w:t>
      </w:r>
      <w:r w:rsidR="009F238B" w:rsidRPr="006F4F5C">
        <w:rPr>
          <w:rFonts w:ascii="Book Antiqua" w:hAnsi="Book Antiqua"/>
        </w:rPr>
        <w:t xml:space="preserve">candidate </w:t>
      </w:r>
      <w:r w:rsidR="00C00681" w:rsidRPr="006F4F5C">
        <w:rPr>
          <w:rFonts w:ascii="Book Antiqua" w:hAnsi="Book Antiqua"/>
        </w:rPr>
        <w:t xml:space="preserve">deontological distinction that can provide author-agent-relative constraints.  Indeed, </w:t>
      </w:r>
      <w:r w:rsidR="00B222DB">
        <w:rPr>
          <w:rFonts w:ascii="Book Antiqua" w:hAnsi="Book Antiqua"/>
        </w:rPr>
        <w:t>I cannot see</w:t>
      </w:r>
      <w:r w:rsidR="00C00681" w:rsidRPr="006F4F5C">
        <w:rPr>
          <w:rFonts w:ascii="Book Antiqua" w:hAnsi="Book Antiqua"/>
        </w:rPr>
        <w:t xml:space="preserve"> any obvious </w:t>
      </w:r>
      <w:r w:rsidR="009F238B" w:rsidRPr="006F4F5C">
        <w:rPr>
          <w:rFonts w:ascii="Book Antiqua" w:hAnsi="Book Antiqua"/>
        </w:rPr>
        <w:t xml:space="preserve">plausible </w:t>
      </w:r>
      <w:r w:rsidR="00C00681" w:rsidRPr="006F4F5C">
        <w:rPr>
          <w:rFonts w:ascii="Book Antiqua" w:hAnsi="Book Antiqua"/>
        </w:rPr>
        <w:t>alternative candidates</w:t>
      </w:r>
      <w:r w:rsidR="004427CC" w:rsidRPr="006F4F5C">
        <w:rPr>
          <w:rFonts w:ascii="Book Antiqua" w:hAnsi="Book Antiqua"/>
        </w:rPr>
        <w:t xml:space="preserve">. </w:t>
      </w:r>
      <w:r w:rsidR="0082490D" w:rsidRPr="006F4F5C">
        <w:rPr>
          <w:rFonts w:ascii="Book Antiqua" w:hAnsi="Book Antiqua"/>
        </w:rPr>
        <w:t>The</w:t>
      </w:r>
      <w:r w:rsidR="00EE2266" w:rsidRPr="006F4F5C">
        <w:rPr>
          <w:rFonts w:ascii="Book Antiqua" w:hAnsi="Book Antiqua"/>
        </w:rPr>
        <w:t xml:space="preserve"> Nonconsequentialist constraints that are actually put forward appear to appeal to </w:t>
      </w:r>
      <w:r w:rsidR="000B233A">
        <w:rPr>
          <w:rFonts w:ascii="Book Antiqua" w:hAnsi="Book Antiqua"/>
        </w:rPr>
        <w:t xml:space="preserve">the distinctions that ground </w:t>
      </w:r>
      <w:r w:rsidR="00EE2266" w:rsidRPr="006F4F5C">
        <w:rPr>
          <w:rFonts w:ascii="Book Antiqua" w:hAnsi="Book Antiqua"/>
        </w:rPr>
        <w:t>either the D</w:t>
      </w:r>
      <w:r w:rsidR="00FE3BDE">
        <w:rPr>
          <w:rFonts w:ascii="Book Antiqua" w:hAnsi="Book Antiqua"/>
        </w:rPr>
        <w:t xml:space="preserve">octrine of </w:t>
      </w:r>
      <w:r w:rsidR="00EE2266" w:rsidRPr="006F4F5C">
        <w:rPr>
          <w:rFonts w:ascii="Book Antiqua" w:hAnsi="Book Antiqua"/>
        </w:rPr>
        <w:t>D</w:t>
      </w:r>
      <w:r w:rsidR="00FE3BDE">
        <w:rPr>
          <w:rFonts w:ascii="Book Antiqua" w:hAnsi="Book Antiqua"/>
        </w:rPr>
        <w:t xml:space="preserve">ouble </w:t>
      </w:r>
      <w:r w:rsidR="00EE2266" w:rsidRPr="006F4F5C">
        <w:rPr>
          <w:rFonts w:ascii="Book Antiqua" w:hAnsi="Book Antiqua"/>
        </w:rPr>
        <w:t>E</w:t>
      </w:r>
      <w:r w:rsidR="00FE3BDE">
        <w:rPr>
          <w:rFonts w:ascii="Book Antiqua" w:hAnsi="Book Antiqua"/>
        </w:rPr>
        <w:t>ffect</w:t>
      </w:r>
      <w:r w:rsidR="00EE2266" w:rsidRPr="006F4F5C">
        <w:rPr>
          <w:rFonts w:ascii="Book Antiqua" w:hAnsi="Book Antiqua"/>
        </w:rPr>
        <w:t xml:space="preserve"> or the D</w:t>
      </w:r>
      <w:r w:rsidR="00FE3BDE">
        <w:rPr>
          <w:rFonts w:ascii="Book Antiqua" w:hAnsi="Book Antiqua"/>
        </w:rPr>
        <w:t xml:space="preserve">octrine of </w:t>
      </w:r>
      <w:r w:rsidR="00EE2266" w:rsidRPr="006F4F5C">
        <w:rPr>
          <w:rFonts w:ascii="Book Antiqua" w:hAnsi="Book Antiqua"/>
        </w:rPr>
        <w:t>D</w:t>
      </w:r>
      <w:r w:rsidR="00FE3BDE">
        <w:rPr>
          <w:rFonts w:ascii="Book Antiqua" w:hAnsi="Book Antiqua"/>
        </w:rPr>
        <w:t xml:space="preserve">oing and </w:t>
      </w:r>
      <w:r w:rsidR="00EE2266" w:rsidRPr="006F4F5C">
        <w:rPr>
          <w:rFonts w:ascii="Book Antiqua" w:hAnsi="Book Antiqua"/>
        </w:rPr>
        <w:t>A</w:t>
      </w:r>
      <w:r w:rsidR="00FE3BDE">
        <w:rPr>
          <w:rFonts w:ascii="Book Antiqua" w:hAnsi="Book Antiqua"/>
        </w:rPr>
        <w:t>llowing</w:t>
      </w:r>
      <w:r w:rsidR="00EE2266" w:rsidRPr="006F4F5C">
        <w:rPr>
          <w:rFonts w:ascii="Book Antiqua" w:hAnsi="Book Antiqua"/>
        </w:rPr>
        <w:t xml:space="preserve">, </w:t>
      </w:r>
      <w:r w:rsidR="000B233A">
        <w:rPr>
          <w:rFonts w:ascii="Book Antiqua" w:hAnsi="Book Antiqua"/>
        </w:rPr>
        <w:t>or</w:t>
      </w:r>
      <w:r w:rsidR="00EE2266" w:rsidRPr="006F4F5C">
        <w:rPr>
          <w:rFonts w:ascii="Book Antiqua" w:hAnsi="Book Antiqua"/>
        </w:rPr>
        <w:t xml:space="preserve"> both.</w:t>
      </w:r>
      <w:r w:rsidR="009F238B" w:rsidRPr="006F4F5C">
        <w:rPr>
          <w:rFonts w:ascii="Book Antiqua" w:hAnsi="Book Antiqua"/>
        </w:rPr>
        <w:t xml:space="preserve">   This gives us reason to think that if a Nonconsequentialist does accept a deontological distinction</w:t>
      </w:r>
      <w:r w:rsidR="00860156">
        <w:rPr>
          <w:rFonts w:ascii="Book Antiqua" w:hAnsi="Book Antiqua"/>
        </w:rPr>
        <w:t xml:space="preserve"> in order to make sense of the respecting/promoting distinction</w:t>
      </w:r>
      <w:r w:rsidR="009F238B" w:rsidRPr="006F4F5C">
        <w:rPr>
          <w:rFonts w:ascii="Book Antiqua" w:hAnsi="Book Antiqua"/>
        </w:rPr>
        <w:t xml:space="preserve">, it will be </w:t>
      </w:r>
      <w:r w:rsidR="00DF0B88" w:rsidRPr="006F4F5C">
        <w:rPr>
          <w:rFonts w:ascii="Book Antiqua" w:hAnsi="Book Antiqua"/>
        </w:rPr>
        <w:t>D</w:t>
      </w:r>
      <w:r w:rsidR="00DF0B88">
        <w:rPr>
          <w:rFonts w:ascii="Book Antiqua" w:hAnsi="Book Antiqua"/>
        </w:rPr>
        <w:t xml:space="preserve">octrine of </w:t>
      </w:r>
      <w:r w:rsidR="00DF0B88" w:rsidRPr="006F4F5C">
        <w:rPr>
          <w:rFonts w:ascii="Book Antiqua" w:hAnsi="Book Antiqua"/>
        </w:rPr>
        <w:t>D</w:t>
      </w:r>
      <w:r w:rsidR="00DF0B88">
        <w:rPr>
          <w:rFonts w:ascii="Book Antiqua" w:hAnsi="Book Antiqua"/>
        </w:rPr>
        <w:t xml:space="preserve">ouble </w:t>
      </w:r>
      <w:r w:rsidR="00DF0B88" w:rsidRPr="006F4F5C">
        <w:rPr>
          <w:rFonts w:ascii="Book Antiqua" w:hAnsi="Book Antiqua"/>
        </w:rPr>
        <w:t>E</w:t>
      </w:r>
      <w:r w:rsidR="00DF0B88">
        <w:rPr>
          <w:rFonts w:ascii="Book Antiqua" w:hAnsi="Book Antiqua"/>
        </w:rPr>
        <w:t>ffect</w:t>
      </w:r>
      <w:r w:rsidR="00DF0B88" w:rsidRPr="006F4F5C">
        <w:rPr>
          <w:rFonts w:ascii="Book Antiqua" w:hAnsi="Book Antiqua"/>
        </w:rPr>
        <w:t xml:space="preserve"> or the D</w:t>
      </w:r>
      <w:r w:rsidR="00DF0B88">
        <w:rPr>
          <w:rFonts w:ascii="Book Antiqua" w:hAnsi="Book Antiqua"/>
        </w:rPr>
        <w:t xml:space="preserve">octrine of </w:t>
      </w:r>
      <w:r w:rsidR="00DF0B88" w:rsidRPr="006F4F5C">
        <w:rPr>
          <w:rFonts w:ascii="Book Antiqua" w:hAnsi="Book Antiqua"/>
        </w:rPr>
        <w:t>D</w:t>
      </w:r>
      <w:r w:rsidR="00DF0B88">
        <w:rPr>
          <w:rFonts w:ascii="Book Antiqua" w:hAnsi="Book Antiqua"/>
        </w:rPr>
        <w:t xml:space="preserve">oing and </w:t>
      </w:r>
      <w:r w:rsidR="00DF0B88" w:rsidRPr="006F4F5C">
        <w:rPr>
          <w:rFonts w:ascii="Book Antiqua" w:hAnsi="Book Antiqua"/>
        </w:rPr>
        <w:t>A</w:t>
      </w:r>
      <w:r w:rsidR="00DF0B88">
        <w:rPr>
          <w:rFonts w:ascii="Book Antiqua" w:hAnsi="Book Antiqua"/>
        </w:rPr>
        <w:t>llowing</w:t>
      </w:r>
      <w:r w:rsidR="00860156">
        <w:rPr>
          <w:rFonts w:ascii="Book Antiqua" w:hAnsi="Book Antiqua"/>
        </w:rPr>
        <w:t xml:space="preserve"> or a replacement for one of those doctrines</w:t>
      </w:r>
      <w:r w:rsidR="009F238B" w:rsidRPr="006F4F5C">
        <w:rPr>
          <w:rFonts w:ascii="Book Antiqua" w:hAnsi="Book Antiqua"/>
        </w:rPr>
        <w:t xml:space="preserve">. </w:t>
      </w:r>
      <w:r w:rsidR="00C00681" w:rsidRPr="006F4F5C">
        <w:rPr>
          <w:rFonts w:ascii="Book Antiqua" w:hAnsi="Book Antiqua"/>
        </w:rPr>
        <w:t xml:space="preserve">    </w:t>
      </w:r>
      <w:r w:rsidR="00EE2266" w:rsidRPr="006F4F5C">
        <w:rPr>
          <w:rFonts w:ascii="Book Antiqua" w:hAnsi="Book Antiqua"/>
        </w:rPr>
        <w:t xml:space="preserve">  </w:t>
      </w:r>
    </w:p>
    <w:p w14:paraId="710DCCAA" w14:textId="7527F287" w:rsidR="004427CC" w:rsidRPr="006F4F5C" w:rsidRDefault="009F238B" w:rsidP="009F238B">
      <w:pPr>
        <w:spacing w:line="360" w:lineRule="auto"/>
        <w:ind w:firstLine="720"/>
        <w:jc w:val="both"/>
        <w:rPr>
          <w:rFonts w:ascii="Book Antiqua" w:hAnsi="Book Antiqua"/>
        </w:rPr>
      </w:pPr>
      <w:r w:rsidRPr="006F4F5C">
        <w:rPr>
          <w:rFonts w:ascii="Book Antiqua" w:hAnsi="Book Antiqua"/>
        </w:rPr>
        <w:t>In addition</w:t>
      </w:r>
      <w:r w:rsidR="004427CC" w:rsidRPr="006F4F5C">
        <w:rPr>
          <w:rFonts w:ascii="Book Antiqua" w:hAnsi="Book Antiqua"/>
        </w:rPr>
        <w:t xml:space="preserve">, if a theory endorses a deontological distinction it is, other things equal, better to endorse a distinction that explains widespread intuitions.  </w:t>
      </w:r>
      <w:r w:rsidR="002B5EE2" w:rsidRPr="006F4F5C">
        <w:rPr>
          <w:rFonts w:ascii="Book Antiqua" w:hAnsi="Book Antiqua"/>
        </w:rPr>
        <w:t xml:space="preserve">Let NC1 be a Nonconsequentialist theory that endorses some form of the </w:t>
      </w:r>
      <w:r w:rsidR="00DF0B88" w:rsidRPr="006F4F5C">
        <w:rPr>
          <w:rFonts w:ascii="Book Antiqua" w:hAnsi="Book Antiqua"/>
        </w:rPr>
        <w:t>D</w:t>
      </w:r>
      <w:r w:rsidR="00DF0B88">
        <w:rPr>
          <w:rFonts w:ascii="Book Antiqua" w:hAnsi="Book Antiqua"/>
        </w:rPr>
        <w:t xml:space="preserve">octrine of </w:t>
      </w:r>
      <w:r w:rsidR="00DF0B88" w:rsidRPr="006F4F5C">
        <w:rPr>
          <w:rFonts w:ascii="Book Antiqua" w:hAnsi="Book Antiqua"/>
        </w:rPr>
        <w:t>D</w:t>
      </w:r>
      <w:r w:rsidR="00DF0B88">
        <w:rPr>
          <w:rFonts w:ascii="Book Antiqua" w:hAnsi="Book Antiqua"/>
        </w:rPr>
        <w:t xml:space="preserve">ouble </w:t>
      </w:r>
      <w:r w:rsidR="00DF0B88" w:rsidRPr="006F4F5C">
        <w:rPr>
          <w:rFonts w:ascii="Book Antiqua" w:hAnsi="Book Antiqua"/>
        </w:rPr>
        <w:t>E</w:t>
      </w:r>
      <w:r w:rsidR="00DF0B88">
        <w:rPr>
          <w:rFonts w:ascii="Book Antiqua" w:hAnsi="Book Antiqua"/>
        </w:rPr>
        <w:t>ffect</w:t>
      </w:r>
      <w:r w:rsidR="00DF0B88" w:rsidRPr="006F4F5C">
        <w:rPr>
          <w:rFonts w:ascii="Book Antiqua" w:hAnsi="Book Antiqua"/>
        </w:rPr>
        <w:t xml:space="preserve"> or the D</w:t>
      </w:r>
      <w:r w:rsidR="00DF0B88">
        <w:rPr>
          <w:rFonts w:ascii="Book Antiqua" w:hAnsi="Book Antiqua"/>
        </w:rPr>
        <w:t xml:space="preserve">octrine of </w:t>
      </w:r>
      <w:r w:rsidR="00DF0B88" w:rsidRPr="006F4F5C">
        <w:rPr>
          <w:rFonts w:ascii="Book Antiqua" w:hAnsi="Book Antiqua"/>
        </w:rPr>
        <w:t>D</w:t>
      </w:r>
      <w:r w:rsidR="00DF0B88">
        <w:rPr>
          <w:rFonts w:ascii="Book Antiqua" w:hAnsi="Book Antiqua"/>
        </w:rPr>
        <w:t xml:space="preserve">oing and </w:t>
      </w:r>
      <w:r w:rsidR="00DF0B88" w:rsidRPr="006F4F5C">
        <w:rPr>
          <w:rFonts w:ascii="Book Antiqua" w:hAnsi="Book Antiqua"/>
        </w:rPr>
        <w:t>A</w:t>
      </w:r>
      <w:r w:rsidR="00DF0B88">
        <w:rPr>
          <w:rFonts w:ascii="Book Antiqua" w:hAnsi="Book Antiqua"/>
        </w:rPr>
        <w:t>llowing</w:t>
      </w:r>
      <w:r w:rsidR="002B5EE2" w:rsidRPr="006F4F5C">
        <w:rPr>
          <w:rFonts w:ascii="Book Antiqua" w:hAnsi="Book Antiqua"/>
        </w:rPr>
        <w:t xml:space="preserve">.  Let NC2 be a Nonconsequentialist theory that endorses some alternative deontological distinction.  Both </w:t>
      </w:r>
      <w:r w:rsidR="006864A2" w:rsidRPr="006F4F5C">
        <w:rPr>
          <w:rFonts w:ascii="Book Antiqua" w:hAnsi="Book Antiqua"/>
        </w:rPr>
        <w:t>NC1 and NC2 must bear a</w:t>
      </w:r>
      <w:r w:rsidR="002B5EE2" w:rsidRPr="006F4F5C">
        <w:rPr>
          <w:rFonts w:ascii="Book Antiqua" w:hAnsi="Book Antiqua"/>
        </w:rPr>
        <w:t xml:space="preserve"> justificatory cost.  Each must explain why the deontological distinction it endorses is morally relevant.</w:t>
      </w:r>
      <w:r w:rsidR="006864A2" w:rsidRPr="006F4F5C">
        <w:rPr>
          <w:rFonts w:ascii="Book Antiqua" w:hAnsi="Book Antiqua"/>
        </w:rPr>
        <w:t xml:space="preserve">  However, the theoretical payoff for NC1 is much greater.  NC1 is able to explain widespread and deeply held intuitions about a set of cases (either the cases that motivate the </w:t>
      </w:r>
      <w:r w:rsidR="00DF0B88" w:rsidRPr="006F4F5C">
        <w:rPr>
          <w:rFonts w:ascii="Book Antiqua" w:hAnsi="Book Antiqua"/>
        </w:rPr>
        <w:t>D</w:t>
      </w:r>
      <w:r w:rsidR="00DF0B88">
        <w:rPr>
          <w:rFonts w:ascii="Book Antiqua" w:hAnsi="Book Antiqua"/>
        </w:rPr>
        <w:t xml:space="preserve">octrine of </w:t>
      </w:r>
      <w:r w:rsidR="00DF0B88" w:rsidRPr="006F4F5C">
        <w:rPr>
          <w:rFonts w:ascii="Book Antiqua" w:hAnsi="Book Antiqua"/>
        </w:rPr>
        <w:t>D</w:t>
      </w:r>
      <w:r w:rsidR="00DF0B88">
        <w:rPr>
          <w:rFonts w:ascii="Book Antiqua" w:hAnsi="Book Antiqua"/>
        </w:rPr>
        <w:t xml:space="preserve">ouble </w:t>
      </w:r>
      <w:r w:rsidR="00DF0B88" w:rsidRPr="006F4F5C">
        <w:rPr>
          <w:rFonts w:ascii="Book Antiqua" w:hAnsi="Book Antiqua"/>
        </w:rPr>
        <w:t>E</w:t>
      </w:r>
      <w:r w:rsidR="00DF0B88">
        <w:rPr>
          <w:rFonts w:ascii="Book Antiqua" w:hAnsi="Book Antiqua"/>
        </w:rPr>
        <w:t>ffect</w:t>
      </w:r>
      <w:r w:rsidR="006864A2" w:rsidRPr="006F4F5C">
        <w:rPr>
          <w:rFonts w:ascii="Book Antiqua" w:hAnsi="Book Antiqua"/>
        </w:rPr>
        <w:t xml:space="preserve"> or the cases that motivate </w:t>
      </w:r>
      <w:r w:rsidR="00DF0B88" w:rsidRPr="006F4F5C">
        <w:rPr>
          <w:rFonts w:ascii="Book Antiqua" w:hAnsi="Book Antiqua"/>
        </w:rPr>
        <w:t>the D</w:t>
      </w:r>
      <w:r w:rsidR="00DF0B88">
        <w:rPr>
          <w:rFonts w:ascii="Book Antiqua" w:hAnsi="Book Antiqua"/>
        </w:rPr>
        <w:t xml:space="preserve">octrine of </w:t>
      </w:r>
      <w:r w:rsidR="00DF0B88" w:rsidRPr="006F4F5C">
        <w:rPr>
          <w:rFonts w:ascii="Book Antiqua" w:hAnsi="Book Antiqua"/>
        </w:rPr>
        <w:t>D</w:t>
      </w:r>
      <w:r w:rsidR="00DF0B88">
        <w:rPr>
          <w:rFonts w:ascii="Book Antiqua" w:hAnsi="Book Antiqua"/>
        </w:rPr>
        <w:t xml:space="preserve">oing and </w:t>
      </w:r>
      <w:r w:rsidR="00DF0B88" w:rsidRPr="006F4F5C">
        <w:rPr>
          <w:rFonts w:ascii="Book Antiqua" w:hAnsi="Book Antiqua"/>
        </w:rPr>
        <w:t>A</w:t>
      </w:r>
      <w:r w:rsidR="00DF0B88">
        <w:rPr>
          <w:rFonts w:ascii="Book Antiqua" w:hAnsi="Book Antiqua"/>
        </w:rPr>
        <w:t>llowing</w:t>
      </w:r>
      <w:r w:rsidR="006864A2" w:rsidRPr="006F4F5C">
        <w:rPr>
          <w:rFonts w:ascii="Book Antiqua" w:hAnsi="Book Antiqua"/>
        </w:rPr>
        <w:t xml:space="preserve">).  </w:t>
      </w:r>
      <w:r w:rsidR="006B4B3A" w:rsidRPr="006F4F5C">
        <w:rPr>
          <w:rFonts w:ascii="Book Antiqua" w:hAnsi="Book Antiqua"/>
        </w:rPr>
        <w:t>Thus, other things being equal, NC1 is preferable to NC2.</w:t>
      </w:r>
      <w:r w:rsidR="006864A2" w:rsidRPr="006F4F5C">
        <w:rPr>
          <w:rFonts w:ascii="Book Antiqua" w:hAnsi="Book Antiqua"/>
        </w:rPr>
        <w:t xml:space="preserve"> </w:t>
      </w:r>
      <w:r w:rsidR="002B5EE2" w:rsidRPr="006F4F5C">
        <w:rPr>
          <w:rFonts w:ascii="Book Antiqua" w:hAnsi="Book Antiqua"/>
        </w:rPr>
        <w:t xml:space="preserve">   </w:t>
      </w:r>
    </w:p>
    <w:p w14:paraId="4C588335" w14:textId="201ECA20" w:rsidR="0096685F" w:rsidRPr="006F4F5C" w:rsidRDefault="0082490D" w:rsidP="0082490D">
      <w:pPr>
        <w:spacing w:line="360" w:lineRule="auto"/>
        <w:ind w:firstLine="720"/>
        <w:jc w:val="both"/>
        <w:rPr>
          <w:rFonts w:ascii="Book Antiqua" w:hAnsi="Book Antiqua"/>
        </w:rPr>
      </w:pPr>
      <w:r w:rsidRPr="006F4F5C">
        <w:rPr>
          <w:rFonts w:ascii="Book Antiqua" w:hAnsi="Book Antiqua"/>
        </w:rPr>
        <w:t xml:space="preserve">In an effort to endorse a deontological distinction without accepting </w:t>
      </w:r>
      <w:r w:rsidR="006A722B" w:rsidRPr="006F4F5C">
        <w:rPr>
          <w:rFonts w:ascii="Book Antiqua" w:hAnsi="Book Antiqua"/>
        </w:rPr>
        <w:t>D</w:t>
      </w:r>
      <w:r w:rsidR="006A722B">
        <w:rPr>
          <w:rFonts w:ascii="Book Antiqua" w:hAnsi="Book Antiqua"/>
        </w:rPr>
        <w:t xml:space="preserve">octrine of </w:t>
      </w:r>
      <w:r w:rsidR="006A722B" w:rsidRPr="006F4F5C">
        <w:rPr>
          <w:rFonts w:ascii="Book Antiqua" w:hAnsi="Book Antiqua"/>
        </w:rPr>
        <w:t>D</w:t>
      </w:r>
      <w:r w:rsidR="006A722B">
        <w:rPr>
          <w:rFonts w:ascii="Book Antiqua" w:hAnsi="Book Antiqua"/>
        </w:rPr>
        <w:t xml:space="preserve">ouble </w:t>
      </w:r>
      <w:r w:rsidR="006A722B" w:rsidRPr="006F4F5C">
        <w:rPr>
          <w:rFonts w:ascii="Book Antiqua" w:hAnsi="Book Antiqua"/>
        </w:rPr>
        <w:t>E</w:t>
      </w:r>
      <w:r w:rsidR="006A722B">
        <w:rPr>
          <w:rFonts w:ascii="Book Antiqua" w:hAnsi="Book Antiqua"/>
        </w:rPr>
        <w:t>ffect</w:t>
      </w:r>
      <w:r w:rsidR="006A722B" w:rsidRPr="006F4F5C">
        <w:rPr>
          <w:rFonts w:ascii="Book Antiqua" w:hAnsi="Book Antiqua"/>
        </w:rPr>
        <w:t xml:space="preserve"> or the D</w:t>
      </w:r>
      <w:r w:rsidR="006A722B">
        <w:rPr>
          <w:rFonts w:ascii="Book Antiqua" w:hAnsi="Book Antiqua"/>
        </w:rPr>
        <w:t xml:space="preserve">octrine of </w:t>
      </w:r>
      <w:r w:rsidR="006A722B" w:rsidRPr="006F4F5C">
        <w:rPr>
          <w:rFonts w:ascii="Book Antiqua" w:hAnsi="Book Antiqua"/>
        </w:rPr>
        <w:t>D</w:t>
      </w:r>
      <w:r w:rsidR="006A722B">
        <w:rPr>
          <w:rFonts w:ascii="Book Antiqua" w:hAnsi="Book Antiqua"/>
        </w:rPr>
        <w:t xml:space="preserve">oing and </w:t>
      </w:r>
      <w:r w:rsidR="006A722B" w:rsidRPr="006F4F5C">
        <w:rPr>
          <w:rFonts w:ascii="Book Antiqua" w:hAnsi="Book Antiqua"/>
        </w:rPr>
        <w:t>A</w:t>
      </w:r>
      <w:r w:rsidR="006A722B">
        <w:rPr>
          <w:rFonts w:ascii="Book Antiqua" w:hAnsi="Book Antiqua"/>
        </w:rPr>
        <w:t>llowing</w:t>
      </w:r>
      <w:r w:rsidRPr="006F4F5C">
        <w:rPr>
          <w:rFonts w:ascii="Book Antiqua" w:hAnsi="Book Antiqua"/>
        </w:rPr>
        <w:t>, a</w:t>
      </w:r>
      <w:r w:rsidR="00810C5F" w:rsidRPr="006F4F5C">
        <w:rPr>
          <w:rFonts w:ascii="Book Antiqua" w:hAnsi="Book Antiqua"/>
        </w:rPr>
        <w:t xml:space="preserve"> Nonconsequ</w:t>
      </w:r>
      <w:r w:rsidRPr="006F4F5C">
        <w:rPr>
          <w:rFonts w:ascii="Book Antiqua" w:hAnsi="Book Antiqua"/>
        </w:rPr>
        <w:t xml:space="preserve">entialist might propose that we </w:t>
      </w:r>
      <w:r w:rsidR="00810C5F" w:rsidRPr="006F4F5C">
        <w:rPr>
          <w:rFonts w:ascii="Book Antiqua" w:hAnsi="Book Antiqua"/>
        </w:rPr>
        <w:t xml:space="preserve">adopt a local deontological distinction.  For example, she could hold that there is a </w:t>
      </w:r>
      <w:r w:rsidR="00810C5F" w:rsidRPr="006F4F5C">
        <w:rPr>
          <w:rFonts w:ascii="Book Antiqua" w:hAnsi="Book Antiqua"/>
        </w:rPr>
        <w:lastRenderedPageBreak/>
        <w:t>morally significant distinction between</w:t>
      </w:r>
      <w:r w:rsidR="00BE1E15" w:rsidRPr="006F4F5C">
        <w:rPr>
          <w:rFonts w:ascii="Book Antiqua" w:hAnsi="Book Antiqua"/>
        </w:rPr>
        <w:t xml:space="preserve"> </w:t>
      </w:r>
      <w:r w:rsidR="00810C5F" w:rsidRPr="006F4F5C">
        <w:rPr>
          <w:rFonts w:ascii="Book Antiqua" w:hAnsi="Book Antiqua"/>
        </w:rPr>
        <w:t xml:space="preserve">lies and merely countenanced </w:t>
      </w:r>
      <w:r w:rsidR="001D2FF1">
        <w:rPr>
          <w:rFonts w:ascii="Book Antiqua" w:hAnsi="Book Antiqua"/>
        </w:rPr>
        <w:t>misrepresentat</w:t>
      </w:r>
      <w:r w:rsidR="00810C5F" w:rsidRPr="006F4F5C">
        <w:rPr>
          <w:rFonts w:ascii="Book Antiqua" w:hAnsi="Book Antiqua"/>
        </w:rPr>
        <w:t xml:space="preserve">ions without holding that this </w:t>
      </w:r>
      <w:r w:rsidR="005261EA" w:rsidRPr="006F4F5C">
        <w:rPr>
          <w:rFonts w:ascii="Book Antiqua" w:hAnsi="Book Antiqua"/>
        </w:rPr>
        <w:t>depends on a generally significant distinction between what is done and what is merely allowed</w:t>
      </w:r>
      <w:r w:rsidR="00256011" w:rsidRPr="006F4F5C">
        <w:rPr>
          <w:rFonts w:ascii="Book Antiqua" w:hAnsi="Book Antiqua"/>
        </w:rPr>
        <w:t xml:space="preserve"> or what is strictly intended and what is merely foreseen</w:t>
      </w:r>
      <w:r w:rsidR="00810C5F" w:rsidRPr="006F4F5C">
        <w:rPr>
          <w:rFonts w:ascii="Book Antiqua" w:hAnsi="Book Antiqua"/>
        </w:rPr>
        <w:t>.  Specifically, she might hold that th</w:t>
      </w:r>
      <w:r w:rsidR="005261EA" w:rsidRPr="006F4F5C">
        <w:rPr>
          <w:rFonts w:ascii="Book Antiqua" w:hAnsi="Book Antiqua"/>
        </w:rPr>
        <w:t>e doing/allowing and intended</w:t>
      </w:r>
      <w:r w:rsidR="00256011" w:rsidRPr="006F4F5C">
        <w:rPr>
          <w:rFonts w:ascii="Book Antiqua" w:hAnsi="Book Antiqua"/>
        </w:rPr>
        <w:t xml:space="preserve">/foreseen </w:t>
      </w:r>
      <w:r w:rsidR="00810C5F" w:rsidRPr="006F4F5C">
        <w:rPr>
          <w:rFonts w:ascii="Book Antiqua" w:hAnsi="Book Antiqua"/>
        </w:rPr>
        <w:t>distinction</w:t>
      </w:r>
      <w:r w:rsidR="00256011" w:rsidRPr="006F4F5C">
        <w:rPr>
          <w:rFonts w:ascii="Book Antiqua" w:hAnsi="Book Antiqua"/>
        </w:rPr>
        <w:t>s</w:t>
      </w:r>
      <w:r w:rsidR="00810C5F" w:rsidRPr="006F4F5C">
        <w:rPr>
          <w:rFonts w:ascii="Book Antiqua" w:hAnsi="Book Antiqua"/>
        </w:rPr>
        <w:t xml:space="preserve"> </w:t>
      </w:r>
      <w:r w:rsidR="00256011" w:rsidRPr="006F4F5C">
        <w:rPr>
          <w:rFonts w:ascii="Book Antiqua" w:hAnsi="Book Antiqua"/>
        </w:rPr>
        <w:t>are</w:t>
      </w:r>
      <w:r w:rsidR="00810C5F" w:rsidRPr="006F4F5C">
        <w:rPr>
          <w:rFonts w:ascii="Book Antiqua" w:hAnsi="Book Antiqua"/>
        </w:rPr>
        <w:t xml:space="preserve"> not significant when it comes to proper responses to the value of well-being.  She might say that the proper response to the value of well-being is to promote it:  thus we should not draw a moral distinction between </w:t>
      </w:r>
      <w:r w:rsidR="0096685F" w:rsidRPr="006F4F5C">
        <w:rPr>
          <w:rFonts w:ascii="Book Antiqua" w:hAnsi="Book Antiqua"/>
        </w:rPr>
        <w:t xml:space="preserve">doing and allowing or between foreseen and strictly intended harm.  Such a </w:t>
      </w:r>
      <w:r w:rsidR="006A722B">
        <w:rPr>
          <w:rFonts w:ascii="Book Antiqua" w:hAnsi="Book Antiqua"/>
        </w:rPr>
        <w:t>Nonconsequentialist does not</w:t>
      </w:r>
      <w:r w:rsidR="0096685F" w:rsidRPr="006F4F5C">
        <w:rPr>
          <w:rFonts w:ascii="Book Antiqua" w:hAnsi="Book Antiqua"/>
        </w:rPr>
        <w:t xml:space="preserve"> endors</w:t>
      </w:r>
      <w:r w:rsidR="006A722B">
        <w:rPr>
          <w:rFonts w:ascii="Book Antiqua" w:hAnsi="Book Antiqua"/>
        </w:rPr>
        <w:t>e</w:t>
      </w:r>
      <w:r w:rsidR="0096685F" w:rsidRPr="006F4F5C">
        <w:rPr>
          <w:rFonts w:ascii="Book Antiqua" w:hAnsi="Book Antiqua"/>
        </w:rPr>
        <w:t xml:space="preserve"> the Doctrine of Double Effect or the Doctrine of Doing and Allowing as generally understood.</w:t>
      </w:r>
    </w:p>
    <w:p w14:paraId="06E3A32B" w14:textId="2D197A77" w:rsidR="0082490D" w:rsidRPr="006F4F5C" w:rsidRDefault="00E47543" w:rsidP="00455776">
      <w:pPr>
        <w:spacing w:line="360" w:lineRule="auto"/>
        <w:jc w:val="both"/>
        <w:rPr>
          <w:rFonts w:ascii="Book Antiqua" w:hAnsi="Book Antiqua"/>
        </w:rPr>
      </w:pPr>
      <w:r w:rsidRPr="006F4F5C">
        <w:rPr>
          <w:rFonts w:ascii="Book Antiqua" w:hAnsi="Book Antiqua"/>
        </w:rPr>
        <w:tab/>
        <w:t xml:space="preserve">This position seems to me to be peculiar.  </w:t>
      </w:r>
      <w:r w:rsidR="0082490D" w:rsidRPr="006F4F5C">
        <w:rPr>
          <w:rFonts w:ascii="Book Antiqua" w:hAnsi="Book Antiqua"/>
        </w:rPr>
        <w:t xml:space="preserve">First, as noted above, other things being equal any theory that endorses a deontological distinction must justify that distinction.  To do the theoretical work of justifying a deontological distinction without the payoff of explaining widespread intuitions </w:t>
      </w:r>
      <w:r w:rsidR="001D2FF1">
        <w:rPr>
          <w:rFonts w:ascii="Book Antiqua" w:hAnsi="Book Antiqua"/>
        </w:rPr>
        <w:t>i</w:t>
      </w:r>
      <w:r w:rsidR="0082490D" w:rsidRPr="006F4F5C">
        <w:rPr>
          <w:rFonts w:ascii="Book Antiqua" w:hAnsi="Book Antiqua"/>
        </w:rPr>
        <w:t xml:space="preserve">s inefficient.  More importantly, the position about the proper response to value seems unmotivated.  </w:t>
      </w:r>
      <w:r w:rsidR="00957CCD">
        <w:rPr>
          <w:rFonts w:ascii="Book Antiqua" w:hAnsi="Book Antiqua"/>
        </w:rPr>
        <w:t>T</w:t>
      </w:r>
      <w:r w:rsidR="00F82BF9" w:rsidRPr="006F4F5C">
        <w:rPr>
          <w:rFonts w:ascii="Book Antiqua" w:hAnsi="Book Antiqua"/>
        </w:rPr>
        <w:t>here are differences between the value</w:t>
      </w:r>
      <w:r w:rsidR="0018022C" w:rsidRPr="006F4F5C">
        <w:rPr>
          <w:rFonts w:ascii="Book Antiqua" w:hAnsi="Book Antiqua"/>
        </w:rPr>
        <w:t xml:space="preserve"> of honesty and the value of well-being</w:t>
      </w:r>
      <w:r w:rsidR="00F82BF9" w:rsidRPr="006F4F5C">
        <w:rPr>
          <w:rFonts w:ascii="Book Antiqua" w:hAnsi="Book Antiqua"/>
        </w:rPr>
        <w:t xml:space="preserve">.  It is quite plausible that the only way that we are required to respond to honesty is to </w:t>
      </w:r>
      <w:r w:rsidR="000D4669">
        <w:rPr>
          <w:rFonts w:ascii="Book Antiqua" w:hAnsi="Book Antiqua"/>
        </w:rPr>
        <w:t>respect</w:t>
      </w:r>
      <w:r w:rsidR="00F82BF9" w:rsidRPr="006F4F5C">
        <w:rPr>
          <w:rFonts w:ascii="Book Antiqua" w:hAnsi="Book Antiqua"/>
        </w:rPr>
        <w:t xml:space="preserve"> it.  We might not be required to promote honesty even if to do so is compatible with </w:t>
      </w:r>
      <w:r w:rsidR="000D4669">
        <w:rPr>
          <w:rFonts w:ascii="Book Antiqua" w:hAnsi="Book Antiqua"/>
        </w:rPr>
        <w:t>respect</w:t>
      </w:r>
      <w:r w:rsidR="00F82BF9" w:rsidRPr="006F4F5C">
        <w:rPr>
          <w:rFonts w:ascii="Book Antiqua" w:hAnsi="Book Antiqua"/>
        </w:rPr>
        <w:t>ing it.</w:t>
      </w:r>
      <w:r w:rsidR="00F023D4" w:rsidRPr="006F4F5C">
        <w:rPr>
          <w:rStyle w:val="FootnoteReference"/>
          <w:rFonts w:ascii="Book Antiqua" w:hAnsi="Book Antiqua"/>
        </w:rPr>
        <w:footnoteReference w:id="33"/>
      </w:r>
      <w:r w:rsidR="00F82BF9" w:rsidRPr="006F4F5C">
        <w:rPr>
          <w:rFonts w:ascii="Book Antiqua" w:hAnsi="Book Antiqua"/>
        </w:rPr>
        <w:t xml:space="preserve">  In contrast, it seems clear that there is a requirement to promote well-being when doing so is compatible with </w:t>
      </w:r>
      <w:r w:rsidR="00B12FDF" w:rsidRPr="006F4F5C">
        <w:rPr>
          <w:rFonts w:ascii="Book Antiqua" w:hAnsi="Book Antiqua"/>
        </w:rPr>
        <w:t>other moral requirements</w:t>
      </w:r>
      <w:r w:rsidR="00F82BF9" w:rsidRPr="006F4F5C">
        <w:rPr>
          <w:rFonts w:ascii="Book Antiqua" w:hAnsi="Book Antiqua"/>
        </w:rPr>
        <w:t xml:space="preserve"> and not too demanding. </w:t>
      </w:r>
      <w:r w:rsidR="0018022C" w:rsidRPr="006F4F5C">
        <w:rPr>
          <w:rFonts w:ascii="Book Antiqua" w:hAnsi="Book Antiqua"/>
        </w:rPr>
        <w:t xml:space="preserve">But what this </w:t>
      </w:r>
      <w:r w:rsidR="00797E0D" w:rsidRPr="006F4F5C">
        <w:rPr>
          <w:rFonts w:ascii="Book Antiqua" w:hAnsi="Book Antiqua"/>
        </w:rPr>
        <w:t>N</w:t>
      </w:r>
      <w:r w:rsidR="007B6CEF" w:rsidRPr="006F4F5C">
        <w:rPr>
          <w:rFonts w:ascii="Book Antiqua" w:hAnsi="Book Antiqua"/>
        </w:rPr>
        <w:t>on</w:t>
      </w:r>
      <w:r w:rsidR="0018022C" w:rsidRPr="006F4F5C">
        <w:rPr>
          <w:rFonts w:ascii="Book Antiqua" w:hAnsi="Book Antiqua"/>
        </w:rPr>
        <w:t>consequentialist</w:t>
      </w:r>
      <w:r w:rsidR="00D62C19" w:rsidRPr="006F4F5C">
        <w:rPr>
          <w:rFonts w:ascii="Book Antiqua" w:hAnsi="Book Antiqua"/>
        </w:rPr>
        <w:t xml:space="preserve"> requires is that the intended/</w:t>
      </w:r>
      <w:r w:rsidR="0018022C" w:rsidRPr="006F4F5C">
        <w:rPr>
          <w:rFonts w:ascii="Book Antiqua" w:hAnsi="Book Antiqua"/>
        </w:rPr>
        <w:t xml:space="preserve">foreseen or doing/allowing distinction should be deeply significant when it comes to the value of honesty, but not significant </w:t>
      </w:r>
      <w:r w:rsidR="00797E0D" w:rsidRPr="006F4F5C">
        <w:rPr>
          <w:rFonts w:ascii="Book Antiqua" w:hAnsi="Book Antiqua"/>
        </w:rPr>
        <w:t xml:space="preserve">at all </w:t>
      </w:r>
      <w:r w:rsidR="0018022C" w:rsidRPr="006F4F5C">
        <w:rPr>
          <w:rFonts w:ascii="Book Antiqua" w:hAnsi="Book Antiqua"/>
        </w:rPr>
        <w:t xml:space="preserve">when it comes to the value of human well-being.  </w:t>
      </w:r>
      <w:r w:rsidR="007B6CEF" w:rsidRPr="006F4F5C">
        <w:rPr>
          <w:rFonts w:ascii="Book Antiqua" w:hAnsi="Book Antiqua"/>
        </w:rPr>
        <w:t>It is hard to see what features of honesty or well-being could explain this.  Even if it could be shown that promotion is the correct response to human well-being, there are other values in this area.  Consider the value of bodily autonomy.  Surely anyone who holds that honesty must be</w:t>
      </w:r>
      <w:r w:rsidR="000D4669">
        <w:rPr>
          <w:rFonts w:ascii="Book Antiqua" w:hAnsi="Book Antiqua"/>
        </w:rPr>
        <w:t xml:space="preserve"> respected</w:t>
      </w:r>
      <w:r w:rsidR="007B6CEF" w:rsidRPr="006F4F5C">
        <w:rPr>
          <w:rFonts w:ascii="Book Antiqua" w:hAnsi="Book Antiqua"/>
        </w:rPr>
        <w:t xml:space="preserve">, even if not thereby promoted, </w:t>
      </w:r>
      <w:r w:rsidR="00957CCD">
        <w:rPr>
          <w:rFonts w:ascii="Book Antiqua" w:hAnsi="Book Antiqua"/>
        </w:rPr>
        <w:t>should</w:t>
      </w:r>
      <w:r w:rsidR="007B6CEF" w:rsidRPr="006F4F5C">
        <w:rPr>
          <w:rFonts w:ascii="Book Antiqua" w:hAnsi="Book Antiqua"/>
        </w:rPr>
        <w:t xml:space="preserve"> also hold that bodily autonomy must be </w:t>
      </w:r>
      <w:r w:rsidR="000D4669">
        <w:rPr>
          <w:rFonts w:ascii="Book Antiqua" w:hAnsi="Book Antiqua"/>
        </w:rPr>
        <w:t>respect</w:t>
      </w:r>
      <w:r w:rsidR="007B6CEF" w:rsidRPr="006F4F5C">
        <w:rPr>
          <w:rFonts w:ascii="Book Antiqua" w:hAnsi="Book Antiqua"/>
        </w:rPr>
        <w:t>ed.   Taking these other values into account seems likely to leave the Nonconsequentialist with something very close to the traditional deontological doctrines.</w:t>
      </w:r>
      <w:r w:rsidR="00CB11F9" w:rsidRPr="006F4F5C">
        <w:rPr>
          <w:rStyle w:val="FootnoteReference"/>
          <w:rFonts w:ascii="Book Antiqua" w:hAnsi="Book Antiqua"/>
        </w:rPr>
        <w:t xml:space="preserve"> </w:t>
      </w:r>
    </w:p>
    <w:p w14:paraId="4401D1E8" w14:textId="683B9BD9" w:rsidR="00034780" w:rsidRPr="006F4F5C" w:rsidRDefault="001B6663" w:rsidP="003F4737">
      <w:pPr>
        <w:spacing w:line="360" w:lineRule="auto"/>
        <w:jc w:val="both"/>
        <w:rPr>
          <w:rFonts w:ascii="Book Antiqua" w:hAnsi="Book Antiqua"/>
          <w:b/>
        </w:rPr>
      </w:pPr>
      <w:r w:rsidRPr="006F4F5C">
        <w:rPr>
          <w:rFonts w:ascii="Book Antiqua" w:hAnsi="Book Antiqua"/>
          <w:b/>
        </w:rPr>
        <w:t>Premise 3</w:t>
      </w:r>
      <w:r w:rsidR="004E022E" w:rsidRPr="006F4F5C">
        <w:rPr>
          <w:rFonts w:ascii="Book Antiqua" w:hAnsi="Book Antiqua"/>
          <w:b/>
        </w:rPr>
        <w:t xml:space="preserve">:  Anyone who accepts either </w:t>
      </w:r>
      <w:r w:rsidR="003F4737" w:rsidRPr="006F4F5C">
        <w:rPr>
          <w:rFonts w:ascii="Book Antiqua" w:hAnsi="Book Antiqua"/>
          <w:b/>
        </w:rPr>
        <w:t>d</w:t>
      </w:r>
      <w:r w:rsidR="004E022E" w:rsidRPr="006F4F5C">
        <w:rPr>
          <w:rFonts w:ascii="Book Antiqua" w:hAnsi="Book Antiqua"/>
          <w:b/>
        </w:rPr>
        <w:t>octrine must accept both</w:t>
      </w:r>
    </w:p>
    <w:p w14:paraId="14DE8FB2" w14:textId="4DAC62DF" w:rsidR="002F47B2" w:rsidRPr="006F4F5C" w:rsidRDefault="00DC01B6" w:rsidP="008B0BB6">
      <w:pPr>
        <w:spacing w:line="360" w:lineRule="auto"/>
        <w:jc w:val="both"/>
        <w:rPr>
          <w:rFonts w:ascii="Book Antiqua" w:hAnsi="Book Antiqua"/>
        </w:rPr>
      </w:pPr>
      <w:r w:rsidRPr="006F4F5C">
        <w:rPr>
          <w:rFonts w:ascii="Book Antiqua" w:hAnsi="Book Antiqua"/>
        </w:rPr>
        <w:t>Suppose the Nonconsequentialist accepts that she must endorse either the D</w:t>
      </w:r>
      <w:r w:rsidR="0065392E" w:rsidRPr="006F4F5C">
        <w:rPr>
          <w:rFonts w:ascii="Book Antiqua" w:hAnsi="Book Antiqua"/>
        </w:rPr>
        <w:t xml:space="preserve">octrine of </w:t>
      </w:r>
      <w:r w:rsidRPr="006F4F5C">
        <w:rPr>
          <w:rFonts w:ascii="Book Antiqua" w:hAnsi="Book Antiqua"/>
        </w:rPr>
        <w:t>D</w:t>
      </w:r>
      <w:r w:rsidR="0065392E" w:rsidRPr="006F4F5C">
        <w:rPr>
          <w:rFonts w:ascii="Book Antiqua" w:hAnsi="Book Antiqua"/>
        </w:rPr>
        <w:t xml:space="preserve">ouble </w:t>
      </w:r>
      <w:r w:rsidRPr="006F4F5C">
        <w:rPr>
          <w:rFonts w:ascii="Book Antiqua" w:hAnsi="Book Antiqua"/>
        </w:rPr>
        <w:t>E</w:t>
      </w:r>
      <w:r w:rsidR="0065392E" w:rsidRPr="006F4F5C">
        <w:rPr>
          <w:rFonts w:ascii="Book Antiqua" w:hAnsi="Book Antiqua"/>
        </w:rPr>
        <w:t>ffect</w:t>
      </w:r>
      <w:r w:rsidR="00CA25EC">
        <w:rPr>
          <w:rFonts w:ascii="Book Antiqua" w:hAnsi="Book Antiqua"/>
        </w:rPr>
        <w:t xml:space="preserve"> (or a replacement)</w:t>
      </w:r>
      <w:r w:rsidRPr="006F4F5C">
        <w:rPr>
          <w:rFonts w:ascii="Book Antiqua" w:hAnsi="Book Antiqua"/>
        </w:rPr>
        <w:t xml:space="preserve"> or the D</w:t>
      </w:r>
      <w:r w:rsidR="0065392E" w:rsidRPr="006F4F5C">
        <w:rPr>
          <w:rFonts w:ascii="Book Antiqua" w:hAnsi="Book Antiqua"/>
        </w:rPr>
        <w:t xml:space="preserve">octrine of </w:t>
      </w:r>
      <w:r w:rsidRPr="006F4F5C">
        <w:rPr>
          <w:rFonts w:ascii="Book Antiqua" w:hAnsi="Book Antiqua"/>
        </w:rPr>
        <w:t>D</w:t>
      </w:r>
      <w:r w:rsidR="0065392E" w:rsidRPr="006F4F5C">
        <w:rPr>
          <w:rFonts w:ascii="Book Antiqua" w:hAnsi="Book Antiqua"/>
        </w:rPr>
        <w:t xml:space="preserve">oing and </w:t>
      </w:r>
      <w:r w:rsidRPr="006F4F5C">
        <w:rPr>
          <w:rFonts w:ascii="Book Antiqua" w:hAnsi="Book Antiqua"/>
        </w:rPr>
        <w:t>A</w:t>
      </w:r>
      <w:r w:rsidR="0065392E" w:rsidRPr="006F4F5C">
        <w:rPr>
          <w:rFonts w:ascii="Book Antiqua" w:hAnsi="Book Antiqua"/>
        </w:rPr>
        <w:t>llowing</w:t>
      </w:r>
      <w:r w:rsidR="00CA25EC">
        <w:rPr>
          <w:rFonts w:ascii="Book Antiqua" w:hAnsi="Book Antiqua"/>
        </w:rPr>
        <w:t xml:space="preserve"> (or a replacement)</w:t>
      </w:r>
      <w:r w:rsidRPr="006F4F5C">
        <w:rPr>
          <w:rFonts w:ascii="Book Antiqua" w:hAnsi="Book Antiqua"/>
        </w:rPr>
        <w:t xml:space="preserve">.  How should she choose between them?  Shelly </w:t>
      </w:r>
      <w:proofErr w:type="spellStart"/>
      <w:r w:rsidRPr="006F4F5C">
        <w:rPr>
          <w:rFonts w:ascii="Book Antiqua" w:hAnsi="Book Antiqua"/>
        </w:rPr>
        <w:t>Kagan</w:t>
      </w:r>
      <w:proofErr w:type="spellEnd"/>
      <w:r w:rsidRPr="006F4F5C">
        <w:rPr>
          <w:rFonts w:ascii="Book Antiqua" w:hAnsi="Book Antiqua"/>
        </w:rPr>
        <w:t xml:space="preserve"> has argued persuasively that we </w:t>
      </w:r>
      <w:r w:rsidRPr="006F4F5C">
        <w:rPr>
          <w:rFonts w:ascii="Book Antiqua" w:hAnsi="Book Antiqua"/>
        </w:rPr>
        <w:lastRenderedPageBreak/>
        <w:t xml:space="preserve">should not endorse </w:t>
      </w:r>
      <w:r w:rsidR="0065392E" w:rsidRPr="006F4F5C">
        <w:rPr>
          <w:rFonts w:ascii="Book Antiqua" w:hAnsi="Book Antiqua"/>
        </w:rPr>
        <w:t>the</w:t>
      </w:r>
      <w:r w:rsidRPr="006F4F5C">
        <w:rPr>
          <w:rFonts w:ascii="Book Antiqua" w:hAnsi="Book Antiqua"/>
        </w:rPr>
        <w:t xml:space="preserve"> D</w:t>
      </w:r>
      <w:r w:rsidR="0065392E" w:rsidRPr="006F4F5C">
        <w:rPr>
          <w:rFonts w:ascii="Book Antiqua" w:hAnsi="Book Antiqua"/>
        </w:rPr>
        <w:t xml:space="preserve">octrine of </w:t>
      </w:r>
      <w:r w:rsidRPr="006F4F5C">
        <w:rPr>
          <w:rFonts w:ascii="Book Antiqua" w:hAnsi="Book Antiqua"/>
        </w:rPr>
        <w:t>D</w:t>
      </w:r>
      <w:r w:rsidR="0065392E" w:rsidRPr="006F4F5C">
        <w:rPr>
          <w:rFonts w:ascii="Book Antiqua" w:hAnsi="Book Antiqua"/>
        </w:rPr>
        <w:t xml:space="preserve">ouble </w:t>
      </w:r>
      <w:r w:rsidRPr="006F4F5C">
        <w:rPr>
          <w:rFonts w:ascii="Book Antiqua" w:hAnsi="Book Antiqua"/>
        </w:rPr>
        <w:t>E</w:t>
      </w:r>
      <w:r w:rsidR="0065392E" w:rsidRPr="006F4F5C">
        <w:rPr>
          <w:rFonts w:ascii="Book Antiqua" w:hAnsi="Book Antiqua"/>
        </w:rPr>
        <w:t>ffect</w:t>
      </w:r>
      <w:r w:rsidRPr="006F4F5C">
        <w:rPr>
          <w:rFonts w:ascii="Book Antiqua" w:hAnsi="Book Antiqua"/>
        </w:rPr>
        <w:t xml:space="preserve"> without also endorsing </w:t>
      </w:r>
      <w:r w:rsidR="00CA25EC">
        <w:rPr>
          <w:rFonts w:ascii="Book Antiqua" w:hAnsi="Book Antiqua"/>
        </w:rPr>
        <w:t>something like</w:t>
      </w:r>
      <w:r w:rsidR="0065392E" w:rsidRPr="006F4F5C">
        <w:rPr>
          <w:rFonts w:ascii="Book Antiqua" w:hAnsi="Book Antiqua"/>
        </w:rPr>
        <w:t xml:space="preserve"> the</w:t>
      </w:r>
      <w:r w:rsidRPr="006F4F5C">
        <w:rPr>
          <w:rFonts w:ascii="Book Antiqua" w:hAnsi="Book Antiqua"/>
        </w:rPr>
        <w:t xml:space="preserve"> D</w:t>
      </w:r>
      <w:r w:rsidR="0065392E" w:rsidRPr="006F4F5C">
        <w:rPr>
          <w:rFonts w:ascii="Book Antiqua" w:hAnsi="Book Antiqua"/>
        </w:rPr>
        <w:t xml:space="preserve">octrine of </w:t>
      </w:r>
      <w:r w:rsidRPr="006F4F5C">
        <w:rPr>
          <w:rFonts w:ascii="Book Antiqua" w:hAnsi="Book Antiqua"/>
        </w:rPr>
        <w:t>D</w:t>
      </w:r>
      <w:r w:rsidR="0065392E" w:rsidRPr="006F4F5C">
        <w:rPr>
          <w:rFonts w:ascii="Book Antiqua" w:hAnsi="Book Antiqua"/>
        </w:rPr>
        <w:t xml:space="preserve">oing and </w:t>
      </w:r>
      <w:r w:rsidRPr="006F4F5C">
        <w:rPr>
          <w:rFonts w:ascii="Book Antiqua" w:hAnsi="Book Antiqua"/>
        </w:rPr>
        <w:t>A</w:t>
      </w:r>
      <w:r w:rsidR="0065392E" w:rsidRPr="006F4F5C">
        <w:rPr>
          <w:rFonts w:ascii="Book Antiqua" w:hAnsi="Book Antiqua"/>
        </w:rPr>
        <w:t>llowing</w:t>
      </w:r>
      <w:r w:rsidRPr="006F4F5C">
        <w:rPr>
          <w:rFonts w:ascii="Book Antiqua" w:hAnsi="Book Antiqua"/>
        </w:rPr>
        <w:t>.</w:t>
      </w:r>
      <w:r w:rsidR="00ED5887" w:rsidRPr="006F4F5C">
        <w:rPr>
          <w:rStyle w:val="FootnoteReference"/>
          <w:rFonts w:ascii="Book Antiqua" w:hAnsi="Book Antiqua"/>
        </w:rPr>
        <w:footnoteReference w:id="34"/>
      </w:r>
      <w:r w:rsidRPr="006F4F5C">
        <w:rPr>
          <w:rFonts w:ascii="Book Antiqua" w:hAnsi="Book Antiqua"/>
        </w:rPr>
        <w:t xml:space="preserve">  As </w:t>
      </w:r>
      <w:proofErr w:type="spellStart"/>
      <w:r w:rsidRPr="006F4F5C">
        <w:rPr>
          <w:rFonts w:ascii="Book Antiqua" w:hAnsi="Book Antiqua"/>
        </w:rPr>
        <w:t>Kagan</w:t>
      </w:r>
      <w:proofErr w:type="spellEnd"/>
      <w:r w:rsidRPr="006F4F5C">
        <w:rPr>
          <w:rFonts w:ascii="Book Antiqua" w:hAnsi="Book Antiqua"/>
        </w:rPr>
        <w:t xml:space="preserve"> believes that he has already established that </w:t>
      </w:r>
      <w:r w:rsidR="00455776" w:rsidRPr="006F4F5C">
        <w:rPr>
          <w:rFonts w:ascii="Book Antiqua" w:hAnsi="Book Antiqua"/>
        </w:rPr>
        <w:t xml:space="preserve">the </w:t>
      </w:r>
      <w:r w:rsidRPr="006F4F5C">
        <w:rPr>
          <w:rFonts w:ascii="Book Antiqua" w:hAnsi="Book Antiqua"/>
        </w:rPr>
        <w:t>D</w:t>
      </w:r>
      <w:r w:rsidR="0065392E" w:rsidRPr="006F4F5C">
        <w:rPr>
          <w:rFonts w:ascii="Book Antiqua" w:hAnsi="Book Antiqua"/>
        </w:rPr>
        <w:t xml:space="preserve">octrine of </w:t>
      </w:r>
      <w:r w:rsidRPr="006F4F5C">
        <w:rPr>
          <w:rFonts w:ascii="Book Antiqua" w:hAnsi="Book Antiqua"/>
        </w:rPr>
        <w:t>D</w:t>
      </w:r>
      <w:r w:rsidR="0065392E" w:rsidRPr="006F4F5C">
        <w:rPr>
          <w:rFonts w:ascii="Book Antiqua" w:hAnsi="Book Antiqua"/>
        </w:rPr>
        <w:t xml:space="preserve">oing and </w:t>
      </w:r>
      <w:r w:rsidRPr="006F4F5C">
        <w:rPr>
          <w:rFonts w:ascii="Book Antiqua" w:hAnsi="Book Antiqua"/>
        </w:rPr>
        <w:t>A</w:t>
      </w:r>
      <w:r w:rsidR="0065392E" w:rsidRPr="006F4F5C">
        <w:rPr>
          <w:rFonts w:ascii="Book Antiqua" w:hAnsi="Book Antiqua"/>
        </w:rPr>
        <w:t>llowing</w:t>
      </w:r>
      <w:r w:rsidRPr="006F4F5C">
        <w:rPr>
          <w:rFonts w:ascii="Book Antiqua" w:hAnsi="Book Antiqua"/>
        </w:rPr>
        <w:t xml:space="preserve"> is untenable</w:t>
      </w:r>
      <w:r w:rsidR="006D6258" w:rsidRPr="006F4F5C">
        <w:rPr>
          <w:rStyle w:val="FootnoteReference"/>
          <w:rFonts w:ascii="Book Antiqua" w:hAnsi="Book Antiqua"/>
        </w:rPr>
        <w:footnoteReference w:id="35"/>
      </w:r>
      <w:r w:rsidRPr="006F4F5C">
        <w:rPr>
          <w:rFonts w:ascii="Book Antiqua" w:hAnsi="Book Antiqua"/>
        </w:rPr>
        <w:t xml:space="preserve">, </w:t>
      </w:r>
      <w:r w:rsidR="001A6B22">
        <w:rPr>
          <w:rFonts w:ascii="Book Antiqua" w:hAnsi="Book Antiqua"/>
        </w:rPr>
        <w:t>he</w:t>
      </w:r>
      <w:r w:rsidRPr="006F4F5C">
        <w:rPr>
          <w:rFonts w:ascii="Book Antiqua" w:hAnsi="Book Antiqua"/>
        </w:rPr>
        <w:t xml:space="preserve"> takes this as an argument against the D</w:t>
      </w:r>
      <w:r w:rsidR="0065392E" w:rsidRPr="006F4F5C">
        <w:rPr>
          <w:rFonts w:ascii="Book Antiqua" w:hAnsi="Book Antiqua"/>
        </w:rPr>
        <w:t xml:space="preserve">octrine of </w:t>
      </w:r>
      <w:r w:rsidRPr="006F4F5C">
        <w:rPr>
          <w:rFonts w:ascii="Book Antiqua" w:hAnsi="Book Antiqua"/>
        </w:rPr>
        <w:t>D</w:t>
      </w:r>
      <w:r w:rsidR="0065392E" w:rsidRPr="006F4F5C">
        <w:rPr>
          <w:rFonts w:ascii="Book Antiqua" w:hAnsi="Book Antiqua"/>
        </w:rPr>
        <w:t xml:space="preserve">ouble </w:t>
      </w:r>
      <w:r w:rsidRPr="006F4F5C">
        <w:rPr>
          <w:rFonts w:ascii="Book Antiqua" w:hAnsi="Book Antiqua"/>
        </w:rPr>
        <w:t>E</w:t>
      </w:r>
      <w:r w:rsidR="0065392E" w:rsidRPr="006F4F5C">
        <w:rPr>
          <w:rFonts w:ascii="Book Antiqua" w:hAnsi="Book Antiqua"/>
        </w:rPr>
        <w:t>ffect</w:t>
      </w:r>
      <w:r w:rsidRPr="006F4F5C">
        <w:rPr>
          <w:rFonts w:ascii="Book Antiqua" w:hAnsi="Book Antiqua"/>
        </w:rPr>
        <w:t>.  In contrast, I think that this argument favours endorsing a combination of deontological distinctions, both the D</w:t>
      </w:r>
      <w:r w:rsidR="0065392E" w:rsidRPr="006F4F5C">
        <w:rPr>
          <w:rFonts w:ascii="Book Antiqua" w:hAnsi="Book Antiqua"/>
        </w:rPr>
        <w:t xml:space="preserve">octrine of </w:t>
      </w:r>
      <w:r w:rsidRPr="006F4F5C">
        <w:rPr>
          <w:rFonts w:ascii="Book Antiqua" w:hAnsi="Book Antiqua"/>
        </w:rPr>
        <w:t>D</w:t>
      </w:r>
      <w:r w:rsidR="0065392E" w:rsidRPr="006F4F5C">
        <w:rPr>
          <w:rFonts w:ascii="Book Antiqua" w:hAnsi="Book Antiqua"/>
        </w:rPr>
        <w:t xml:space="preserve">ouble </w:t>
      </w:r>
      <w:r w:rsidRPr="006F4F5C">
        <w:rPr>
          <w:rFonts w:ascii="Book Antiqua" w:hAnsi="Book Antiqua"/>
        </w:rPr>
        <w:t>E</w:t>
      </w:r>
      <w:r w:rsidR="0065392E" w:rsidRPr="006F4F5C">
        <w:rPr>
          <w:rFonts w:ascii="Book Antiqua" w:hAnsi="Book Antiqua"/>
        </w:rPr>
        <w:t>ffect</w:t>
      </w:r>
      <w:r w:rsidRPr="006F4F5C">
        <w:rPr>
          <w:rFonts w:ascii="Book Antiqua" w:hAnsi="Book Antiqua"/>
        </w:rPr>
        <w:t xml:space="preserve"> </w:t>
      </w:r>
      <w:r w:rsidR="006D3BE6">
        <w:rPr>
          <w:rFonts w:ascii="Book Antiqua" w:hAnsi="Book Antiqua"/>
        </w:rPr>
        <w:t xml:space="preserve">(or replacement) </w:t>
      </w:r>
      <w:r w:rsidRPr="006F4F5C">
        <w:rPr>
          <w:rFonts w:ascii="Book Antiqua" w:hAnsi="Book Antiqua"/>
        </w:rPr>
        <w:t>and the D</w:t>
      </w:r>
      <w:r w:rsidR="0065392E" w:rsidRPr="006F4F5C">
        <w:rPr>
          <w:rFonts w:ascii="Book Antiqua" w:hAnsi="Book Antiqua"/>
        </w:rPr>
        <w:t xml:space="preserve">octrine of </w:t>
      </w:r>
      <w:r w:rsidRPr="006F4F5C">
        <w:rPr>
          <w:rFonts w:ascii="Book Antiqua" w:hAnsi="Book Antiqua"/>
        </w:rPr>
        <w:t>D</w:t>
      </w:r>
      <w:r w:rsidR="0065392E" w:rsidRPr="006F4F5C">
        <w:rPr>
          <w:rFonts w:ascii="Book Antiqua" w:hAnsi="Book Antiqua"/>
        </w:rPr>
        <w:t xml:space="preserve">oing and </w:t>
      </w:r>
      <w:r w:rsidRPr="006F4F5C">
        <w:rPr>
          <w:rFonts w:ascii="Book Antiqua" w:hAnsi="Book Antiqua"/>
        </w:rPr>
        <w:t>A</w:t>
      </w:r>
      <w:r w:rsidR="0065392E" w:rsidRPr="006F4F5C">
        <w:rPr>
          <w:rFonts w:ascii="Book Antiqua" w:hAnsi="Book Antiqua"/>
        </w:rPr>
        <w:t>llowing</w:t>
      </w:r>
      <w:r w:rsidR="006D3BE6">
        <w:rPr>
          <w:rFonts w:ascii="Book Antiqua" w:hAnsi="Book Antiqua"/>
        </w:rPr>
        <w:t xml:space="preserve"> (or replacement)</w:t>
      </w:r>
      <w:r w:rsidRPr="006F4F5C">
        <w:rPr>
          <w:rFonts w:ascii="Book Antiqua" w:hAnsi="Book Antiqua"/>
        </w:rPr>
        <w:t>.</w:t>
      </w:r>
      <w:r w:rsidR="002F47B2" w:rsidRPr="006F4F5C">
        <w:rPr>
          <w:rFonts w:ascii="Book Antiqua" w:hAnsi="Book Antiqua"/>
        </w:rPr>
        <w:t xml:space="preserve">  The argument shows that these two deontological doctrines, often portrayed as rivals, are in fact mutually </w:t>
      </w:r>
      <w:r w:rsidR="00C61F58" w:rsidRPr="006F4F5C">
        <w:rPr>
          <w:rFonts w:ascii="Book Antiqua" w:hAnsi="Book Antiqua"/>
        </w:rPr>
        <w:t>supporting</w:t>
      </w:r>
      <w:r w:rsidR="002F47B2" w:rsidRPr="006F4F5C">
        <w:rPr>
          <w:rFonts w:ascii="Book Antiqua" w:hAnsi="Book Antiqua"/>
        </w:rPr>
        <w:t>.</w:t>
      </w:r>
      <w:r w:rsidR="0061771B">
        <w:rPr>
          <w:rStyle w:val="FootnoteReference"/>
          <w:rFonts w:ascii="Book Antiqua" w:hAnsi="Book Antiqua"/>
        </w:rPr>
        <w:footnoteReference w:id="36"/>
      </w:r>
      <w:r w:rsidR="002F47B2" w:rsidRPr="006F4F5C">
        <w:rPr>
          <w:rFonts w:ascii="Book Antiqua" w:hAnsi="Book Antiqua"/>
        </w:rPr>
        <w:t xml:space="preserve">  </w:t>
      </w:r>
    </w:p>
    <w:p w14:paraId="393B4E0C" w14:textId="237F75E9" w:rsidR="00F64C74" w:rsidRPr="006F4F5C" w:rsidRDefault="002F47B2" w:rsidP="00C64DB5">
      <w:pPr>
        <w:spacing w:line="360" w:lineRule="auto"/>
        <w:jc w:val="both"/>
        <w:rPr>
          <w:rFonts w:ascii="Book Antiqua" w:hAnsi="Book Antiqua"/>
        </w:rPr>
      </w:pPr>
      <w:r w:rsidRPr="006F4F5C">
        <w:rPr>
          <w:rFonts w:ascii="Book Antiqua" w:hAnsi="Book Antiqua"/>
        </w:rPr>
        <w:tab/>
        <w:t>Kagan’s argument begins with the observation that the Doctrine of Double Effec</w:t>
      </w:r>
      <w:r w:rsidR="00F64C74" w:rsidRPr="006F4F5C">
        <w:rPr>
          <w:rFonts w:ascii="Book Antiqua" w:hAnsi="Book Antiqua"/>
        </w:rPr>
        <w:t xml:space="preserve">t should </w:t>
      </w:r>
      <w:r w:rsidR="00C64DB5" w:rsidRPr="006F4F5C">
        <w:rPr>
          <w:rFonts w:ascii="Book Antiqua" w:hAnsi="Book Antiqua"/>
        </w:rPr>
        <w:t xml:space="preserve">not </w:t>
      </w:r>
      <w:r w:rsidR="00F64C74" w:rsidRPr="006F4F5C">
        <w:rPr>
          <w:rFonts w:ascii="Book Antiqua" w:hAnsi="Book Antiqua"/>
        </w:rPr>
        <w:t xml:space="preserve">licence unrestrained </w:t>
      </w:r>
      <w:r w:rsidRPr="006F4F5C">
        <w:rPr>
          <w:rFonts w:ascii="Book Antiqua" w:hAnsi="Book Antiqua"/>
        </w:rPr>
        <w:t xml:space="preserve">foreseen harm.  </w:t>
      </w:r>
      <w:r w:rsidR="001A6B22">
        <w:rPr>
          <w:rFonts w:ascii="Book Antiqua" w:hAnsi="Book Antiqua"/>
        </w:rPr>
        <w:t>Suppose</w:t>
      </w:r>
      <w:r w:rsidRPr="006F4F5C">
        <w:rPr>
          <w:rFonts w:ascii="Book Antiqua" w:hAnsi="Book Antiqua"/>
        </w:rPr>
        <w:t xml:space="preserve"> a factory owner plans to increase his profits by using a new chemical process </w:t>
      </w:r>
      <w:r w:rsidR="001A6B22">
        <w:rPr>
          <w:rFonts w:ascii="Book Antiqua" w:hAnsi="Book Antiqua"/>
        </w:rPr>
        <w:t>that</w:t>
      </w:r>
      <w:r w:rsidRPr="006F4F5C">
        <w:rPr>
          <w:rFonts w:ascii="Book Antiqua" w:hAnsi="Book Antiqua"/>
        </w:rPr>
        <w:t xml:space="preserve"> will</w:t>
      </w:r>
      <w:r w:rsidR="001927D3" w:rsidRPr="006F4F5C">
        <w:rPr>
          <w:rFonts w:ascii="Book Antiqua" w:hAnsi="Book Antiqua"/>
        </w:rPr>
        <w:t>, as a side-effect,</w:t>
      </w:r>
      <w:r w:rsidRPr="006F4F5C">
        <w:rPr>
          <w:rFonts w:ascii="Book Antiqua" w:hAnsi="Book Antiqua"/>
        </w:rPr>
        <w:t xml:space="preserve"> release poisonous waste into the river and kill people nearby.  The factory owner cannot evade blame by </w:t>
      </w:r>
      <w:r w:rsidR="001A6B22">
        <w:rPr>
          <w:rFonts w:ascii="Book Antiqua" w:hAnsi="Book Antiqua"/>
        </w:rPr>
        <w:t>noting</w:t>
      </w:r>
      <w:r w:rsidRPr="006F4F5C">
        <w:rPr>
          <w:rFonts w:ascii="Book Antiqua" w:hAnsi="Book Antiqua"/>
        </w:rPr>
        <w:t xml:space="preserve"> that the harm to the residents is merely foreseen and not strictly intended.</w:t>
      </w:r>
      <w:r w:rsidR="00F64C74" w:rsidRPr="006F4F5C">
        <w:rPr>
          <w:rStyle w:val="FootnoteReference"/>
          <w:rFonts w:ascii="Book Antiqua" w:hAnsi="Book Antiqua"/>
        </w:rPr>
        <w:footnoteReference w:id="37"/>
      </w:r>
      <w:r w:rsidRPr="006F4F5C">
        <w:rPr>
          <w:rFonts w:ascii="Book Antiqua" w:hAnsi="Book Antiqua"/>
        </w:rPr>
        <w:t xml:space="preserve">  </w:t>
      </w:r>
      <w:proofErr w:type="spellStart"/>
      <w:r w:rsidR="00F64C74" w:rsidRPr="006F4F5C">
        <w:rPr>
          <w:rFonts w:ascii="Book Antiqua" w:hAnsi="Book Antiqua"/>
        </w:rPr>
        <w:t>Kagan</w:t>
      </w:r>
      <w:proofErr w:type="spellEnd"/>
      <w:r w:rsidR="00F64C74" w:rsidRPr="006F4F5C">
        <w:rPr>
          <w:rFonts w:ascii="Book Antiqua" w:hAnsi="Book Antiqua"/>
        </w:rPr>
        <w:t xml:space="preserve"> concludes that the D</w:t>
      </w:r>
      <w:r w:rsidR="00321F03" w:rsidRPr="006F4F5C">
        <w:rPr>
          <w:rFonts w:ascii="Book Antiqua" w:hAnsi="Book Antiqua"/>
        </w:rPr>
        <w:t xml:space="preserve">octrine of </w:t>
      </w:r>
      <w:r w:rsidR="00F64C74" w:rsidRPr="006F4F5C">
        <w:rPr>
          <w:rFonts w:ascii="Book Antiqua" w:hAnsi="Book Antiqua"/>
        </w:rPr>
        <w:t>D</w:t>
      </w:r>
      <w:r w:rsidR="00321F03" w:rsidRPr="006F4F5C">
        <w:rPr>
          <w:rFonts w:ascii="Book Antiqua" w:hAnsi="Book Antiqua"/>
        </w:rPr>
        <w:t xml:space="preserve">ouble </w:t>
      </w:r>
      <w:r w:rsidR="00F64C74" w:rsidRPr="006F4F5C">
        <w:rPr>
          <w:rFonts w:ascii="Book Antiqua" w:hAnsi="Book Antiqua"/>
        </w:rPr>
        <w:t>E</w:t>
      </w:r>
      <w:r w:rsidR="00321F03" w:rsidRPr="006F4F5C">
        <w:rPr>
          <w:rFonts w:ascii="Book Antiqua" w:hAnsi="Book Antiqua"/>
        </w:rPr>
        <w:t>ffect</w:t>
      </w:r>
      <w:r w:rsidR="00F64C74" w:rsidRPr="006F4F5C">
        <w:rPr>
          <w:rFonts w:ascii="Book Antiqua" w:hAnsi="Book Antiqua"/>
        </w:rPr>
        <w:t xml:space="preserve"> must contain a requirement of </w:t>
      </w:r>
      <w:r w:rsidR="00455776" w:rsidRPr="006F4F5C">
        <w:rPr>
          <w:rFonts w:ascii="Book Antiqua" w:hAnsi="Book Antiqua"/>
        </w:rPr>
        <w:t>“</w:t>
      </w:r>
      <w:r w:rsidR="00F64C74" w:rsidRPr="006F4F5C">
        <w:rPr>
          <w:rFonts w:ascii="Book Antiqua" w:hAnsi="Book Antiqua"/>
        </w:rPr>
        <w:t>due proportion</w:t>
      </w:r>
      <w:r w:rsidR="00455776" w:rsidRPr="006F4F5C">
        <w:rPr>
          <w:rFonts w:ascii="Book Antiqua" w:hAnsi="Book Antiqua"/>
        </w:rPr>
        <w:t>”</w:t>
      </w:r>
      <w:r w:rsidR="00F64C74" w:rsidRPr="006F4F5C">
        <w:rPr>
          <w:rFonts w:ascii="Book Antiqua" w:hAnsi="Book Antiqua"/>
        </w:rPr>
        <w:t xml:space="preserve"> if it is to avoid licensing such behaviour.  The Doctrine of Double Effect should not hold that harm is always permissible if it is merely intended. Instead, it should hold that, unlike strictly intended harm, merely foreseen harm may be justified if there is </w:t>
      </w:r>
      <w:r w:rsidR="00F64C74" w:rsidRPr="006F4F5C">
        <w:rPr>
          <w:rFonts w:ascii="Book Antiqua" w:hAnsi="Book Antiqua"/>
          <w:i/>
        </w:rPr>
        <w:t>due proportion</w:t>
      </w:r>
      <w:r w:rsidR="00F64C74" w:rsidRPr="006F4F5C">
        <w:rPr>
          <w:rFonts w:ascii="Book Antiqua" w:hAnsi="Book Antiqua"/>
        </w:rPr>
        <w:t xml:space="preserve"> between the various aspects of the outcome countenanced by the agent: the good aspects of what he countenances must be enough to justify countenancing the bad.  </w:t>
      </w:r>
      <w:r w:rsidR="00467839" w:rsidRPr="006F4F5C">
        <w:rPr>
          <w:rFonts w:ascii="Book Antiqua" w:hAnsi="Book Antiqua"/>
        </w:rPr>
        <w:t>In the Factory case, the profit to</w:t>
      </w:r>
      <w:r w:rsidR="00F64C74" w:rsidRPr="006F4F5C">
        <w:rPr>
          <w:rFonts w:ascii="Book Antiqua" w:hAnsi="Book Antiqua"/>
        </w:rPr>
        <w:t xml:space="preserve"> the factory owner </w:t>
      </w:r>
      <w:r w:rsidR="00467839" w:rsidRPr="006F4F5C">
        <w:rPr>
          <w:rFonts w:ascii="Book Antiqua" w:hAnsi="Book Antiqua"/>
        </w:rPr>
        <w:t>is</w:t>
      </w:r>
      <w:r w:rsidR="00F64C74" w:rsidRPr="006F4F5C">
        <w:rPr>
          <w:rFonts w:ascii="Book Antiqua" w:hAnsi="Book Antiqua"/>
        </w:rPr>
        <w:t xml:space="preserve"> not significant enough to justify countenancing the deaths of innocent people.  Due proportion is not satisfied.  The factory owner’s behaviour is impermissible, even if he does not strictly intend harm.</w:t>
      </w:r>
      <w:r w:rsidR="00F64C74" w:rsidRPr="006F4F5C">
        <w:rPr>
          <w:rStyle w:val="FootnoteReference"/>
          <w:rFonts w:ascii="Book Antiqua" w:hAnsi="Book Antiqua"/>
        </w:rPr>
        <w:footnoteReference w:id="38"/>
      </w:r>
      <w:r w:rsidRPr="006F4F5C">
        <w:rPr>
          <w:rFonts w:ascii="Book Antiqua" w:hAnsi="Book Antiqua"/>
        </w:rPr>
        <w:t xml:space="preserve">  </w:t>
      </w:r>
    </w:p>
    <w:p w14:paraId="332DE68C" w14:textId="77777777" w:rsidR="0073218E" w:rsidRPr="006F4F5C" w:rsidRDefault="00F64C74" w:rsidP="00B608F2">
      <w:pPr>
        <w:spacing w:line="360" w:lineRule="auto"/>
        <w:jc w:val="both"/>
        <w:rPr>
          <w:rFonts w:ascii="Book Antiqua" w:hAnsi="Book Antiqua"/>
        </w:rPr>
      </w:pPr>
      <w:r w:rsidRPr="006F4F5C">
        <w:rPr>
          <w:rFonts w:ascii="Book Antiqua" w:hAnsi="Book Antiqua"/>
        </w:rPr>
        <w:tab/>
      </w:r>
      <w:proofErr w:type="spellStart"/>
      <w:r w:rsidRPr="006F4F5C">
        <w:rPr>
          <w:rFonts w:ascii="Book Antiqua" w:hAnsi="Book Antiqua"/>
        </w:rPr>
        <w:t>Kagan</w:t>
      </w:r>
      <w:proofErr w:type="spellEnd"/>
      <w:r w:rsidRPr="006F4F5C">
        <w:rPr>
          <w:rFonts w:ascii="Book Antiqua" w:hAnsi="Book Antiqua"/>
        </w:rPr>
        <w:t xml:space="preserve"> doubts that the appeal to due proportion can be satisfactory.  This is because he </w:t>
      </w:r>
      <w:r w:rsidR="0073218E" w:rsidRPr="006F4F5C">
        <w:rPr>
          <w:rFonts w:ascii="Book Antiqua" w:hAnsi="Book Antiqua"/>
        </w:rPr>
        <w:t>doubts th</w:t>
      </w:r>
      <w:r w:rsidR="00B608F2" w:rsidRPr="006F4F5C">
        <w:rPr>
          <w:rFonts w:ascii="Book Antiqua" w:hAnsi="Book Antiqua"/>
        </w:rPr>
        <w:t>at</w:t>
      </w:r>
      <w:r w:rsidR="0073218E" w:rsidRPr="006F4F5C">
        <w:rPr>
          <w:rFonts w:ascii="Book Antiqua" w:hAnsi="Book Antiqua"/>
        </w:rPr>
        <w:t xml:space="preserve"> we can find a consistent, plausible way of understanding exactly what due proportion requires.  Consider the following cases:</w:t>
      </w:r>
    </w:p>
    <w:p w14:paraId="3C1221FF" w14:textId="77777777" w:rsidR="001A6B22" w:rsidRPr="006F4F5C" w:rsidRDefault="001A6B22" w:rsidP="001A6B22">
      <w:pPr>
        <w:spacing w:line="360" w:lineRule="auto"/>
        <w:jc w:val="both"/>
        <w:rPr>
          <w:rFonts w:ascii="Book Antiqua" w:hAnsi="Book Antiqua"/>
        </w:rPr>
      </w:pPr>
      <w:r w:rsidRPr="006F4F5C">
        <w:rPr>
          <w:rFonts w:ascii="Book Antiqua" w:hAnsi="Book Antiqua"/>
        </w:rPr>
        <w:t>Mosquito Poison II: Using the smoke bomb would have polluted the river, causing an elderly man in the next town to die from drinking poisoned water.</w:t>
      </w:r>
    </w:p>
    <w:p w14:paraId="23B0AD84" w14:textId="4233527A" w:rsidR="0073218E" w:rsidRPr="006F4F5C" w:rsidRDefault="001A6B22" w:rsidP="00455776">
      <w:pPr>
        <w:spacing w:line="360" w:lineRule="auto"/>
        <w:jc w:val="both"/>
        <w:rPr>
          <w:rFonts w:ascii="Book Antiqua" w:hAnsi="Book Antiqua"/>
        </w:rPr>
      </w:pPr>
      <w:r w:rsidRPr="006F4F5C">
        <w:rPr>
          <w:rFonts w:ascii="Book Antiqua" w:hAnsi="Book Antiqua"/>
        </w:rPr>
        <w:lastRenderedPageBreak/>
        <w:t>Mosquito No-Donation II: I could have used the money spent on the smoke bomb to fit a water filter to the house of an elderly man in the next town.  Without the water filter he dies from drinking poisoned water.</w:t>
      </w:r>
      <w:r w:rsidR="00426A9E" w:rsidRPr="006F4F5C">
        <w:rPr>
          <w:rStyle w:val="FootnoteReference"/>
          <w:rFonts w:ascii="Book Antiqua" w:hAnsi="Book Antiqua"/>
        </w:rPr>
        <w:footnoteReference w:id="39"/>
      </w:r>
    </w:p>
    <w:p w14:paraId="4BFD7600" w14:textId="77777777" w:rsidR="0039446C" w:rsidRPr="006F4F5C" w:rsidRDefault="0039446C" w:rsidP="00455776">
      <w:pPr>
        <w:spacing w:line="360" w:lineRule="auto"/>
        <w:jc w:val="both"/>
        <w:rPr>
          <w:rFonts w:ascii="Book Antiqua" w:hAnsi="Book Antiqua"/>
        </w:rPr>
      </w:pPr>
    </w:p>
    <w:p w14:paraId="55A4AEB2" w14:textId="77777777" w:rsidR="0039446C" w:rsidRPr="006F4F5C" w:rsidRDefault="0039446C" w:rsidP="00455776">
      <w:pPr>
        <w:spacing w:line="360" w:lineRule="auto"/>
        <w:jc w:val="both"/>
        <w:rPr>
          <w:rFonts w:ascii="Book Antiqua" w:hAnsi="Book Antiqua"/>
        </w:rPr>
      </w:pPr>
      <w:r w:rsidRPr="006F4F5C">
        <w:rPr>
          <w:rFonts w:ascii="Book Antiqua" w:hAnsi="Book Antiqua"/>
        </w:rPr>
        <w:t xml:space="preserve">Intuitively, Mosquito Poison is impermissible while Mosquito No-Donation is permissible.  But the two cases are proportionally identical.  The harm countenanced is the same: an individual’s death.  The cost of avoiding countenancing that harm is the same:  a backyard full of mosquitoes.  So how can we hold that one satisfies due proportion while the other does not?  </w:t>
      </w:r>
    </w:p>
    <w:p w14:paraId="29CED48F" w14:textId="77777777" w:rsidR="009F5826" w:rsidRPr="006F4F5C" w:rsidRDefault="009B30BB" w:rsidP="00B729A7">
      <w:pPr>
        <w:spacing w:line="360" w:lineRule="auto"/>
        <w:jc w:val="both"/>
        <w:rPr>
          <w:rFonts w:ascii="Book Antiqua" w:hAnsi="Book Antiqua"/>
        </w:rPr>
      </w:pPr>
      <w:r w:rsidRPr="006F4F5C">
        <w:rPr>
          <w:rFonts w:ascii="Book Antiqua" w:hAnsi="Book Antiqua"/>
        </w:rPr>
        <w:tab/>
        <w:t xml:space="preserve">As </w:t>
      </w:r>
      <w:proofErr w:type="spellStart"/>
      <w:r w:rsidRPr="006F4F5C">
        <w:rPr>
          <w:rFonts w:ascii="Book Antiqua" w:hAnsi="Book Antiqua"/>
        </w:rPr>
        <w:t>Kagan</w:t>
      </w:r>
      <w:proofErr w:type="spellEnd"/>
      <w:r w:rsidRPr="006F4F5C">
        <w:rPr>
          <w:rFonts w:ascii="Book Antiqua" w:hAnsi="Book Antiqua"/>
        </w:rPr>
        <w:t xml:space="preserve"> points out, the obvious answer is to appeal to the D</w:t>
      </w:r>
      <w:r w:rsidR="00321F03" w:rsidRPr="006F4F5C">
        <w:rPr>
          <w:rFonts w:ascii="Book Antiqua" w:hAnsi="Book Antiqua"/>
        </w:rPr>
        <w:t xml:space="preserve">octrine of </w:t>
      </w:r>
      <w:r w:rsidRPr="006F4F5C">
        <w:rPr>
          <w:rFonts w:ascii="Book Antiqua" w:hAnsi="Book Antiqua"/>
        </w:rPr>
        <w:t>D</w:t>
      </w:r>
      <w:r w:rsidR="00321F03" w:rsidRPr="006F4F5C">
        <w:rPr>
          <w:rFonts w:ascii="Book Antiqua" w:hAnsi="Book Antiqua"/>
        </w:rPr>
        <w:t xml:space="preserve">oing and </w:t>
      </w:r>
      <w:r w:rsidRPr="006F4F5C">
        <w:rPr>
          <w:rFonts w:ascii="Book Antiqua" w:hAnsi="Book Antiqua"/>
        </w:rPr>
        <w:t>A</w:t>
      </w:r>
      <w:r w:rsidR="00321F03" w:rsidRPr="006F4F5C">
        <w:rPr>
          <w:rFonts w:ascii="Book Antiqua" w:hAnsi="Book Antiqua"/>
        </w:rPr>
        <w:t>llowing</w:t>
      </w:r>
      <w:r w:rsidRPr="006F4F5C">
        <w:rPr>
          <w:rFonts w:ascii="Book Antiqua" w:hAnsi="Book Antiqua"/>
        </w:rPr>
        <w:t xml:space="preserve">.  Mosquito Poison involves doing harm while Mosquito </w:t>
      </w:r>
      <w:r w:rsidR="00DA7DB8" w:rsidRPr="006F4F5C">
        <w:rPr>
          <w:rFonts w:ascii="Book Antiqua" w:hAnsi="Book Antiqua"/>
        </w:rPr>
        <w:t>No-Donation involves merely allowing harm.  Doing harm is harder to justify than merely allowing harm.  This explains</w:t>
      </w:r>
      <w:r w:rsidRPr="006F4F5C">
        <w:rPr>
          <w:rFonts w:ascii="Book Antiqua" w:hAnsi="Book Antiqua"/>
        </w:rPr>
        <w:t xml:space="preserve"> </w:t>
      </w:r>
      <w:r w:rsidR="00DA7DB8" w:rsidRPr="006F4F5C">
        <w:rPr>
          <w:rFonts w:ascii="Book Antiqua" w:hAnsi="Book Antiqua"/>
        </w:rPr>
        <w:t xml:space="preserve">why the homeowner’s behaviour may be unjustified in Mosquito Poison but </w:t>
      </w:r>
      <w:r w:rsidR="00426A9E" w:rsidRPr="006F4F5C">
        <w:rPr>
          <w:rFonts w:ascii="Book Antiqua" w:hAnsi="Book Antiqua"/>
        </w:rPr>
        <w:t>justified in Mosquito No-Donat</w:t>
      </w:r>
      <w:r w:rsidR="00B729A7" w:rsidRPr="006F4F5C">
        <w:rPr>
          <w:rFonts w:ascii="Book Antiqua" w:hAnsi="Book Antiqua"/>
        </w:rPr>
        <w:t>ion</w:t>
      </w:r>
      <w:r w:rsidR="00DA7DB8" w:rsidRPr="006F4F5C">
        <w:rPr>
          <w:rFonts w:ascii="Book Antiqua" w:hAnsi="Book Antiqua"/>
        </w:rPr>
        <w:t xml:space="preserve"> even if </w:t>
      </w:r>
      <w:r w:rsidR="00ED6D91" w:rsidRPr="006F4F5C">
        <w:rPr>
          <w:rFonts w:ascii="Book Antiqua" w:hAnsi="Book Antiqua"/>
        </w:rPr>
        <w:t>the potential costs are equal, the potential harms are equal and neither case involves strictly intending harm.</w:t>
      </w:r>
      <w:r w:rsidR="00DB74E2" w:rsidRPr="006F4F5C">
        <w:rPr>
          <w:rStyle w:val="FootnoteReference"/>
          <w:rFonts w:ascii="Book Antiqua" w:hAnsi="Book Antiqua"/>
        </w:rPr>
        <w:footnoteReference w:id="40"/>
      </w:r>
    </w:p>
    <w:p w14:paraId="69A3ED2D" w14:textId="04294480" w:rsidR="00DB74E2" w:rsidRPr="001A6B22" w:rsidRDefault="00455776" w:rsidP="001A6B22">
      <w:pPr>
        <w:spacing w:line="360" w:lineRule="auto"/>
        <w:ind w:firstLine="720"/>
        <w:jc w:val="both"/>
      </w:pPr>
      <w:proofErr w:type="spellStart"/>
      <w:r w:rsidRPr="006F4F5C">
        <w:rPr>
          <w:rFonts w:ascii="Book Antiqua" w:hAnsi="Book Antiqua"/>
        </w:rPr>
        <w:t>Kagan</w:t>
      </w:r>
      <w:proofErr w:type="spellEnd"/>
      <w:r w:rsidRPr="006F4F5C">
        <w:rPr>
          <w:rFonts w:ascii="Book Antiqua" w:hAnsi="Book Antiqua"/>
        </w:rPr>
        <w:t xml:space="preserve"> does not think that appeal to the D</w:t>
      </w:r>
      <w:r w:rsidR="00365260" w:rsidRPr="006F4F5C">
        <w:rPr>
          <w:rFonts w:ascii="Book Antiqua" w:hAnsi="Book Antiqua"/>
        </w:rPr>
        <w:t xml:space="preserve">octrine of </w:t>
      </w:r>
      <w:r w:rsidRPr="006F4F5C">
        <w:rPr>
          <w:rFonts w:ascii="Book Antiqua" w:hAnsi="Book Antiqua"/>
        </w:rPr>
        <w:t>D</w:t>
      </w:r>
      <w:r w:rsidR="00365260" w:rsidRPr="006F4F5C">
        <w:rPr>
          <w:rFonts w:ascii="Book Antiqua" w:hAnsi="Book Antiqua"/>
        </w:rPr>
        <w:t xml:space="preserve">oing and </w:t>
      </w:r>
      <w:r w:rsidRPr="006F4F5C">
        <w:rPr>
          <w:rFonts w:ascii="Book Antiqua" w:hAnsi="Book Antiqua"/>
        </w:rPr>
        <w:t>A</w:t>
      </w:r>
      <w:r w:rsidR="00365260" w:rsidRPr="006F4F5C">
        <w:rPr>
          <w:rFonts w:ascii="Book Antiqua" w:hAnsi="Book Antiqua"/>
        </w:rPr>
        <w:t>llowing</w:t>
      </w:r>
      <w:r w:rsidR="001A6B22">
        <w:rPr>
          <w:rFonts w:ascii="Book Antiqua" w:hAnsi="Book Antiqua"/>
        </w:rPr>
        <w:t xml:space="preserve"> will work</w:t>
      </w:r>
      <w:r w:rsidR="00245706" w:rsidRPr="006F4F5C">
        <w:rPr>
          <w:rFonts w:ascii="Book Antiqua" w:hAnsi="Book Antiqua"/>
        </w:rPr>
        <w:t>.  First, he argued in the previous chapter that the doing/allowing distinction itself is untenable.  If those arguments succeed then supporters of the D</w:t>
      </w:r>
      <w:r w:rsidR="00365260" w:rsidRPr="006F4F5C">
        <w:rPr>
          <w:rFonts w:ascii="Book Antiqua" w:hAnsi="Book Antiqua"/>
        </w:rPr>
        <w:t xml:space="preserve">octrine of </w:t>
      </w:r>
      <w:r w:rsidR="00245706" w:rsidRPr="006F4F5C">
        <w:rPr>
          <w:rFonts w:ascii="Book Antiqua" w:hAnsi="Book Antiqua"/>
        </w:rPr>
        <w:t>D</w:t>
      </w:r>
      <w:r w:rsidR="00365260" w:rsidRPr="006F4F5C">
        <w:rPr>
          <w:rFonts w:ascii="Book Antiqua" w:hAnsi="Book Antiqua"/>
        </w:rPr>
        <w:t xml:space="preserve">ouble </w:t>
      </w:r>
      <w:r w:rsidR="00245706" w:rsidRPr="006F4F5C">
        <w:rPr>
          <w:rFonts w:ascii="Book Antiqua" w:hAnsi="Book Antiqua"/>
        </w:rPr>
        <w:t>E</w:t>
      </w:r>
      <w:r w:rsidR="00365260" w:rsidRPr="006F4F5C">
        <w:rPr>
          <w:rFonts w:ascii="Book Antiqua" w:hAnsi="Book Antiqua"/>
        </w:rPr>
        <w:t>ffect</w:t>
      </w:r>
      <w:r w:rsidR="00245706" w:rsidRPr="006F4F5C">
        <w:rPr>
          <w:rFonts w:ascii="Book Antiqua" w:hAnsi="Book Antiqua"/>
        </w:rPr>
        <w:t xml:space="preserve"> will not be able to appeal to the D</w:t>
      </w:r>
      <w:r w:rsidR="00365260" w:rsidRPr="006F4F5C">
        <w:rPr>
          <w:rFonts w:ascii="Book Antiqua" w:hAnsi="Book Antiqua"/>
        </w:rPr>
        <w:t xml:space="preserve">octrine of </w:t>
      </w:r>
      <w:r w:rsidR="00245706" w:rsidRPr="006F4F5C">
        <w:rPr>
          <w:rFonts w:ascii="Book Antiqua" w:hAnsi="Book Antiqua"/>
        </w:rPr>
        <w:t>D</w:t>
      </w:r>
      <w:r w:rsidR="00365260" w:rsidRPr="006F4F5C">
        <w:rPr>
          <w:rFonts w:ascii="Book Antiqua" w:hAnsi="Book Antiqua"/>
        </w:rPr>
        <w:t xml:space="preserve">oing and </w:t>
      </w:r>
      <w:r w:rsidR="00245706" w:rsidRPr="006F4F5C">
        <w:rPr>
          <w:rFonts w:ascii="Book Antiqua" w:hAnsi="Book Antiqua"/>
        </w:rPr>
        <w:t>A</w:t>
      </w:r>
      <w:r w:rsidR="00365260" w:rsidRPr="006F4F5C">
        <w:rPr>
          <w:rFonts w:ascii="Book Antiqua" w:hAnsi="Book Antiqua"/>
        </w:rPr>
        <w:t>llowing</w:t>
      </w:r>
      <w:r w:rsidR="00245706" w:rsidRPr="006F4F5C">
        <w:rPr>
          <w:rFonts w:ascii="Book Antiqua" w:hAnsi="Book Antiqua"/>
        </w:rPr>
        <w:t xml:space="preserve"> to shore up their understanding of due proportion.  I do not think Kagan’s arguments against the D</w:t>
      </w:r>
      <w:r w:rsidR="00365260" w:rsidRPr="006F4F5C">
        <w:rPr>
          <w:rFonts w:ascii="Book Antiqua" w:hAnsi="Book Antiqua"/>
        </w:rPr>
        <w:t xml:space="preserve">octrine of </w:t>
      </w:r>
      <w:r w:rsidR="00245706" w:rsidRPr="006F4F5C">
        <w:rPr>
          <w:rFonts w:ascii="Book Antiqua" w:hAnsi="Book Antiqua"/>
        </w:rPr>
        <w:t>D</w:t>
      </w:r>
      <w:r w:rsidR="00365260" w:rsidRPr="006F4F5C">
        <w:rPr>
          <w:rFonts w:ascii="Book Antiqua" w:hAnsi="Book Antiqua"/>
        </w:rPr>
        <w:t xml:space="preserve">oing and </w:t>
      </w:r>
      <w:r w:rsidR="00BA0C4A" w:rsidRPr="006F4F5C">
        <w:rPr>
          <w:rFonts w:ascii="Book Antiqua" w:hAnsi="Book Antiqua"/>
        </w:rPr>
        <w:t>A</w:t>
      </w:r>
      <w:r w:rsidR="00365260" w:rsidRPr="006F4F5C">
        <w:rPr>
          <w:rFonts w:ascii="Book Antiqua" w:hAnsi="Book Antiqua"/>
        </w:rPr>
        <w:t>llowing</w:t>
      </w:r>
      <w:r w:rsidR="00245706" w:rsidRPr="006F4F5C">
        <w:rPr>
          <w:rFonts w:ascii="Book Antiqua" w:hAnsi="Book Antiqua"/>
        </w:rPr>
        <w:t xml:space="preserve"> succeed, although I will not argue for this </w:t>
      </w:r>
      <w:r w:rsidR="001D2FF1">
        <w:rPr>
          <w:rFonts w:ascii="Book Antiqua" w:hAnsi="Book Antiqua"/>
        </w:rPr>
        <w:t>here</w:t>
      </w:r>
      <w:r w:rsidR="00245706" w:rsidRPr="006F4F5C">
        <w:rPr>
          <w:rFonts w:ascii="Book Antiqua" w:hAnsi="Book Antiqua"/>
        </w:rPr>
        <w:t>.</w:t>
      </w:r>
      <w:r w:rsidR="00245706" w:rsidRPr="006F4F5C">
        <w:rPr>
          <w:rStyle w:val="FootnoteReference"/>
          <w:rFonts w:ascii="Book Antiqua" w:hAnsi="Book Antiqua"/>
        </w:rPr>
        <w:footnoteReference w:id="41"/>
      </w:r>
      <w:r w:rsidR="00245706" w:rsidRPr="006F4F5C">
        <w:rPr>
          <w:rFonts w:ascii="Book Antiqua" w:hAnsi="Book Antiqua"/>
        </w:rPr>
        <w:t xml:space="preserve">  </w:t>
      </w:r>
      <w:r w:rsidR="008746C9" w:rsidRPr="006F4F5C">
        <w:rPr>
          <w:rFonts w:ascii="Book Antiqua" w:hAnsi="Book Antiqua"/>
        </w:rPr>
        <w:t xml:space="preserve">Second, he does not think that </w:t>
      </w:r>
      <w:r w:rsidR="008746C9" w:rsidRPr="006F4F5C">
        <w:rPr>
          <w:rFonts w:ascii="Book Antiqua" w:hAnsi="Book Antiqua"/>
        </w:rPr>
        <w:lastRenderedPageBreak/>
        <w:t xml:space="preserve">we can give a satisfactory account of due proportion in cases of doing harm when that harm is not strictly intended.  </w:t>
      </w:r>
      <w:proofErr w:type="spellStart"/>
      <w:r w:rsidR="008746C9" w:rsidRPr="006F4F5C">
        <w:rPr>
          <w:rFonts w:ascii="Book Antiqua" w:hAnsi="Book Antiqua"/>
        </w:rPr>
        <w:t>Kag</w:t>
      </w:r>
      <w:r w:rsidR="0086423C" w:rsidRPr="006F4F5C">
        <w:rPr>
          <w:rFonts w:ascii="Book Antiqua" w:hAnsi="Book Antiqua"/>
        </w:rPr>
        <w:t>an</w:t>
      </w:r>
      <w:proofErr w:type="spellEnd"/>
      <w:r w:rsidR="0086423C" w:rsidRPr="006F4F5C">
        <w:rPr>
          <w:rFonts w:ascii="Book Antiqua" w:hAnsi="Book Antiqua"/>
        </w:rPr>
        <w:t xml:space="preserve"> suggest</w:t>
      </w:r>
      <w:r w:rsidR="00BA0C4A" w:rsidRPr="006F4F5C">
        <w:rPr>
          <w:rFonts w:ascii="Book Antiqua" w:hAnsi="Book Antiqua"/>
        </w:rPr>
        <w:t>s</w:t>
      </w:r>
      <w:r w:rsidR="0086423C" w:rsidRPr="006F4F5C">
        <w:rPr>
          <w:rFonts w:ascii="Book Antiqua" w:hAnsi="Book Antiqua"/>
        </w:rPr>
        <w:t xml:space="preserve"> two options:  </w:t>
      </w:r>
      <w:r w:rsidR="008746C9" w:rsidRPr="006F4F5C">
        <w:rPr>
          <w:rFonts w:ascii="Book Antiqua" w:hAnsi="Book Antiqua"/>
        </w:rPr>
        <w:t xml:space="preserve">we might </w:t>
      </w:r>
      <w:r w:rsidR="00DB582D" w:rsidRPr="006F4F5C">
        <w:rPr>
          <w:rFonts w:ascii="Book Antiqua" w:hAnsi="Book Antiqua"/>
        </w:rPr>
        <w:t xml:space="preserve">accept </w:t>
      </w:r>
      <w:r w:rsidR="0054067C" w:rsidRPr="006F4F5C">
        <w:rPr>
          <w:rFonts w:ascii="Book Antiqua" w:hAnsi="Book Antiqua"/>
        </w:rPr>
        <w:t>a simple counter-balancing requirement</w:t>
      </w:r>
      <w:r w:rsidR="00DB582D" w:rsidRPr="006F4F5C">
        <w:rPr>
          <w:rFonts w:ascii="Book Antiqua" w:hAnsi="Book Antiqua"/>
        </w:rPr>
        <w:t xml:space="preserve">, </w:t>
      </w:r>
      <w:r w:rsidR="008746C9" w:rsidRPr="006F4F5C">
        <w:rPr>
          <w:rFonts w:ascii="Book Antiqua" w:hAnsi="Book Antiqua"/>
        </w:rPr>
        <w:t>hold</w:t>
      </w:r>
      <w:r w:rsidR="00DB582D" w:rsidRPr="006F4F5C">
        <w:rPr>
          <w:rFonts w:ascii="Book Antiqua" w:hAnsi="Book Antiqua"/>
        </w:rPr>
        <w:t>ing</w:t>
      </w:r>
      <w:r w:rsidR="008746C9" w:rsidRPr="006F4F5C">
        <w:rPr>
          <w:rFonts w:ascii="Book Antiqua" w:hAnsi="Book Antiqua"/>
        </w:rPr>
        <w:t xml:space="preserve"> that it is permissible to do harm</w:t>
      </w:r>
      <w:r w:rsidR="00BA0C4A" w:rsidRPr="006F4F5C">
        <w:rPr>
          <w:rFonts w:ascii="Book Antiqua" w:hAnsi="Book Antiqua"/>
        </w:rPr>
        <w:t xml:space="preserve"> that is not strictly intended</w:t>
      </w:r>
      <w:r w:rsidR="008746C9" w:rsidRPr="006F4F5C">
        <w:rPr>
          <w:rFonts w:ascii="Book Antiqua" w:hAnsi="Book Antiqua"/>
        </w:rPr>
        <w:t xml:space="preserve"> if and only if the good aspects </w:t>
      </w:r>
      <w:r w:rsidR="0086423C" w:rsidRPr="006F4F5C">
        <w:rPr>
          <w:rFonts w:ascii="Book Antiqua" w:hAnsi="Book Antiqua"/>
        </w:rPr>
        <w:t>of the outcome outweigh the bad; alternatively, we might endorse a constraint</w:t>
      </w:r>
      <w:r w:rsidR="008746C9" w:rsidRPr="006F4F5C">
        <w:rPr>
          <w:rFonts w:ascii="Book Antiqua" w:hAnsi="Book Antiqua"/>
        </w:rPr>
        <w:t xml:space="preserve"> </w:t>
      </w:r>
      <w:r w:rsidR="0086423C" w:rsidRPr="006F4F5C">
        <w:rPr>
          <w:rFonts w:ascii="Book Antiqua" w:hAnsi="Book Antiqua"/>
        </w:rPr>
        <w:t xml:space="preserve">against doing harm, even when the harm is not strictly intended, either so that the good must be several times the size of the bad or so that it is always forbidden to bring about harm. </w:t>
      </w:r>
      <w:r w:rsidR="00DB582D" w:rsidRPr="006F4F5C">
        <w:rPr>
          <w:rFonts w:ascii="Book Antiqua" w:hAnsi="Book Antiqua"/>
        </w:rPr>
        <w:t xml:space="preserve"> He claims that both these options are unsatisfactory.   The strong constraint account cannot explain the permissibility of minimising deaths in cases like</w:t>
      </w:r>
      <w:r w:rsidR="00224FBB" w:rsidRPr="006F4F5C">
        <w:rPr>
          <w:rFonts w:ascii="Book Antiqua" w:hAnsi="Book Antiqua"/>
        </w:rPr>
        <w:t xml:space="preserve"> the classic Trolley case described earlier and</w:t>
      </w:r>
      <w:r w:rsidR="00DB582D" w:rsidRPr="006F4F5C">
        <w:rPr>
          <w:rFonts w:ascii="Book Antiqua" w:hAnsi="Book Antiqua"/>
        </w:rPr>
        <w:t>:</w:t>
      </w:r>
    </w:p>
    <w:p w14:paraId="50CED2D4" w14:textId="77777777" w:rsidR="00346FF0" w:rsidRPr="006F4F5C" w:rsidRDefault="00346FF0" w:rsidP="00455776">
      <w:pPr>
        <w:spacing w:line="360" w:lineRule="auto"/>
        <w:jc w:val="both"/>
        <w:rPr>
          <w:rFonts w:ascii="Book Antiqua" w:hAnsi="Book Antiqua"/>
        </w:rPr>
      </w:pPr>
      <w:r w:rsidRPr="006F4F5C">
        <w:rPr>
          <w:rFonts w:ascii="Book Antiqua" w:hAnsi="Book Antiqua"/>
        </w:rPr>
        <w:t>Meteor: A meteor is racing towards a large city and can be deflected towards an area where it will cause fewer deaths.</w:t>
      </w:r>
    </w:p>
    <w:p w14:paraId="297AF60B" w14:textId="77777777" w:rsidR="004063A9" w:rsidRPr="006F4F5C" w:rsidRDefault="004063A9" w:rsidP="00455776">
      <w:pPr>
        <w:spacing w:line="360" w:lineRule="auto"/>
        <w:jc w:val="both"/>
        <w:rPr>
          <w:rFonts w:ascii="Book Antiqua" w:hAnsi="Book Antiqua"/>
        </w:rPr>
      </w:pPr>
      <w:r w:rsidRPr="006F4F5C">
        <w:rPr>
          <w:rFonts w:ascii="Book Antiqua" w:hAnsi="Book Antiqua"/>
        </w:rPr>
        <w:t>The Strict Proportionally account cannot explain the impermissibility of minimising deaths in cases like:</w:t>
      </w:r>
    </w:p>
    <w:p w14:paraId="6D3DD477" w14:textId="77777777" w:rsidR="00224FBB" w:rsidRPr="006F4F5C" w:rsidRDefault="00224FBB" w:rsidP="00224FBB">
      <w:pPr>
        <w:spacing w:line="360" w:lineRule="auto"/>
        <w:jc w:val="both"/>
        <w:rPr>
          <w:rFonts w:ascii="Book Antiqua" w:hAnsi="Book Antiqua"/>
        </w:rPr>
      </w:pPr>
      <w:r w:rsidRPr="006F4F5C">
        <w:rPr>
          <w:rFonts w:ascii="Book Antiqua" w:hAnsi="Book Antiqua"/>
        </w:rPr>
        <w:t>Operation:  An operation to save five will unavoidably release poison gas, killing a sixth patient who cannot be moved.</w:t>
      </w:r>
    </w:p>
    <w:p w14:paraId="780CDC94" w14:textId="77777777" w:rsidR="00224FBB" w:rsidRPr="006F4F5C" w:rsidRDefault="00224FBB" w:rsidP="00224FBB">
      <w:pPr>
        <w:spacing w:line="360" w:lineRule="auto"/>
        <w:jc w:val="both"/>
        <w:rPr>
          <w:rFonts w:ascii="Book Antiqua" w:hAnsi="Book Antiqua"/>
        </w:rPr>
      </w:pPr>
      <w:proofErr w:type="gramStart"/>
      <w:r w:rsidRPr="006F4F5C">
        <w:rPr>
          <w:rFonts w:ascii="Book Antiqua" w:hAnsi="Book Antiqua"/>
        </w:rPr>
        <w:t>and</w:t>
      </w:r>
      <w:proofErr w:type="gramEnd"/>
    </w:p>
    <w:p w14:paraId="207703A4" w14:textId="5FB62C8C" w:rsidR="00346FF0" w:rsidRPr="006F4F5C" w:rsidRDefault="0096212B" w:rsidP="00455776">
      <w:pPr>
        <w:spacing w:line="360" w:lineRule="auto"/>
        <w:jc w:val="both"/>
        <w:rPr>
          <w:rFonts w:ascii="Book Antiqua" w:hAnsi="Book Antiqua"/>
        </w:rPr>
      </w:pPr>
      <w:r w:rsidRPr="006F4F5C">
        <w:rPr>
          <w:rFonts w:ascii="Book Antiqua" w:hAnsi="Book Antiqua"/>
        </w:rPr>
        <w:t>Meteor Explosion: The meteor can be deflected into the ocean but only by exploding a missile just abo</w:t>
      </w:r>
      <w:r w:rsidR="001A6B22">
        <w:rPr>
          <w:rFonts w:ascii="Book Antiqua" w:hAnsi="Book Antiqua"/>
        </w:rPr>
        <w:t>ve</w:t>
      </w:r>
      <w:r w:rsidRPr="006F4F5C">
        <w:rPr>
          <w:rFonts w:ascii="Book Antiqua" w:hAnsi="Book Antiqua"/>
        </w:rPr>
        <w:t xml:space="preserve"> another inhabited area which will cause fewer deaths.</w:t>
      </w:r>
      <w:r w:rsidR="00224FBB" w:rsidRPr="006F4F5C">
        <w:rPr>
          <w:rStyle w:val="FootnoteReference"/>
          <w:rFonts w:ascii="Book Antiqua" w:hAnsi="Book Antiqua"/>
        </w:rPr>
        <w:t xml:space="preserve"> </w:t>
      </w:r>
      <w:r w:rsidR="00224FBB" w:rsidRPr="006F4F5C">
        <w:rPr>
          <w:rStyle w:val="FootnoteReference"/>
          <w:rFonts w:ascii="Book Antiqua" w:hAnsi="Book Antiqua"/>
        </w:rPr>
        <w:footnoteReference w:id="42"/>
      </w:r>
    </w:p>
    <w:p w14:paraId="10D37762" w14:textId="77777777" w:rsidR="00BA0C4A" w:rsidRPr="006F4F5C" w:rsidRDefault="00BA0C4A" w:rsidP="00455776">
      <w:pPr>
        <w:spacing w:line="360" w:lineRule="auto"/>
        <w:jc w:val="both"/>
        <w:rPr>
          <w:rFonts w:ascii="Book Antiqua" w:hAnsi="Book Antiqua"/>
        </w:rPr>
      </w:pPr>
      <w:r w:rsidRPr="006F4F5C">
        <w:rPr>
          <w:rFonts w:ascii="Book Antiqua" w:hAnsi="Book Antiqua"/>
        </w:rPr>
        <w:tab/>
      </w:r>
      <w:r w:rsidR="004E708E" w:rsidRPr="006F4F5C">
        <w:rPr>
          <w:rFonts w:ascii="Book Antiqua" w:hAnsi="Book Antiqua"/>
        </w:rPr>
        <w:t xml:space="preserve">Thus, </w:t>
      </w:r>
      <w:proofErr w:type="spellStart"/>
      <w:r w:rsidR="004E708E" w:rsidRPr="006F4F5C">
        <w:rPr>
          <w:rFonts w:ascii="Book Antiqua" w:hAnsi="Book Antiqua"/>
        </w:rPr>
        <w:t>Kagan</w:t>
      </w:r>
      <w:proofErr w:type="spellEnd"/>
      <w:r w:rsidR="004E708E" w:rsidRPr="006F4F5C">
        <w:rPr>
          <w:rFonts w:ascii="Book Antiqua" w:hAnsi="Book Antiqua"/>
        </w:rPr>
        <w:t xml:space="preserve"> argues,</w:t>
      </w:r>
      <w:r w:rsidRPr="006F4F5C">
        <w:rPr>
          <w:rFonts w:ascii="Book Antiqua" w:hAnsi="Book Antiqua"/>
        </w:rPr>
        <w:t xml:space="preserve"> </w:t>
      </w:r>
      <w:r w:rsidR="004E708E" w:rsidRPr="006F4F5C">
        <w:rPr>
          <w:rFonts w:ascii="Book Antiqua" w:hAnsi="Book Antiqua"/>
        </w:rPr>
        <w:t>the defender of the D</w:t>
      </w:r>
      <w:r w:rsidR="002C2DE3" w:rsidRPr="006F4F5C">
        <w:rPr>
          <w:rFonts w:ascii="Book Antiqua" w:hAnsi="Book Antiqua"/>
        </w:rPr>
        <w:t xml:space="preserve">octrine of </w:t>
      </w:r>
      <w:r w:rsidR="004E708E" w:rsidRPr="006F4F5C">
        <w:rPr>
          <w:rFonts w:ascii="Book Antiqua" w:hAnsi="Book Antiqua"/>
        </w:rPr>
        <w:t>D</w:t>
      </w:r>
      <w:r w:rsidR="002C2DE3" w:rsidRPr="006F4F5C">
        <w:rPr>
          <w:rFonts w:ascii="Book Antiqua" w:hAnsi="Book Antiqua"/>
        </w:rPr>
        <w:t xml:space="preserve">ouble </w:t>
      </w:r>
      <w:r w:rsidR="004E708E" w:rsidRPr="006F4F5C">
        <w:rPr>
          <w:rFonts w:ascii="Book Antiqua" w:hAnsi="Book Antiqua"/>
        </w:rPr>
        <w:t>E</w:t>
      </w:r>
      <w:r w:rsidR="002C2DE3" w:rsidRPr="006F4F5C">
        <w:rPr>
          <w:rFonts w:ascii="Book Antiqua" w:hAnsi="Book Antiqua"/>
        </w:rPr>
        <w:t>ffect</w:t>
      </w:r>
      <w:r w:rsidR="004E708E" w:rsidRPr="006F4F5C">
        <w:rPr>
          <w:rFonts w:ascii="Book Antiqua" w:hAnsi="Book Antiqua"/>
        </w:rPr>
        <w:t xml:space="preserve"> cannot accept </w:t>
      </w:r>
      <w:r w:rsidRPr="006F4F5C">
        <w:rPr>
          <w:rFonts w:ascii="Book Antiqua" w:hAnsi="Book Antiqua"/>
        </w:rPr>
        <w:t xml:space="preserve">either way of understanding the due proportion </w:t>
      </w:r>
      <w:r w:rsidR="004E708E" w:rsidRPr="006F4F5C">
        <w:rPr>
          <w:rFonts w:ascii="Book Antiqua" w:hAnsi="Book Antiqua"/>
        </w:rPr>
        <w:t>requirement for cases of bringing about harm that is not strictly intended.  Neither of these interpretations leaves us with a requirement of due proportion that gives plausible results.</w:t>
      </w:r>
    </w:p>
    <w:p w14:paraId="1B97A50C" w14:textId="7F133C0E" w:rsidR="00A448BA" w:rsidRPr="006F4F5C" w:rsidRDefault="0073680C" w:rsidP="00233C59">
      <w:pPr>
        <w:spacing w:line="360" w:lineRule="auto"/>
        <w:jc w:val="both"/>
        <w:rPr>
          <w:rFonts w:ascii="Book Antiqua" w:hAnsi="Book Antiqua"/>
        </w:rPr>
      </w:pPr>
      <w:r w:rsidRPr="006F4F5C">
        <w:rPr>
          <w:rFonts w:ascii="Book Antiqua" w:hAnsi="Book Antiqua"/>
        </w:rPr>
        <w:tab/>
      </w:r>
      <w:proofErr w:type="spellStart"/>
      <w:r w:rsidRPr="006F4F5C">
        <w:rPr>
          <w:rFonts w:ascii="Book Antiqua" w:hAnsi="Book Antiqua"/>
        </w:rPr>
        <w:t>Kagan</w:t>
      </w:r>
      <w:proofErr w:type="spellEnd"/>
      <w:r w:rsidRPr="006F4F5C">
        <w:rPr>
          <w:rFonts w:ascii="Book Antiqua" w:hAnsi="Book Antiqua"/>
        </w:rPr>
        <w:t xml:space="preserve"> claims that the defender of the D</w:t>
      </w:r>
      <w:r w:rsidR="00680CD6" w:rsidRPr="006F4F5C">
        <w:rPr>
          <w:rFonts w:ascii="Book Antiqua" w:hAnsi="Book Antiqua"/>
        </w:rPr>
        <w:t xml:space="preserve">octrine of </w:t>
      </w:r>
      <w:r w:rsidRPr="006F4F5C">
        <w:rPr>
          <w:rFonts w:ascii="Book Antiqua" w:hAnsi="Book Antiqua"/>
        </w:rPr>
        <w:t>D</w:t>
      </w:r>
      <w:r w:rsidR="00680CD6" w:rsidRPr="006F4F5C">
        <w:rPr>
          <w:rFonts w:ascii="Book Antiqua" w:hAnsi="Book Antiqua"/>
        </w:rPr>
        <w:t xml:space="preserve">ouble </w:t>
      </w:r>
      <w:r w:rsidRPr="006F4F5C">
        <w:rPr>
          <w:rFonts w:ascii="Book Antiqua" w:hAnsi="Book Antiqua"/>
        </w:rPr>
        <w:t>E</w:t>
      </w:r>
      <w:r w:rsidR="00680CD6" w:rsidRPr="006F4F5C">
        <w:rPr>
          <w:rFonts w:ascii="Book Antiqua" w:hAnsi="Book Antiqua"/>
        </w:rPr>
        <w:t>ffect</w:t>
      </w:r>
      <w:r w:rsidRPr="006F4F5C">
        <w:rPr>
          <w:rFonts w:ascii="Book Antiqua" w:hAnsi="Book Antiqua"/>
        </w:rPr>
        <w:t xml:space="preserve"> would believe it permissible to minimise harm in </w:t>
      </w:r>
      <w:r w:rsidR="001C6657">
        <w:rPr>
          <w:rFonts w:ascii="Book Antiqua" w:hAnsi="Book Antiqua"/>
        </w:rPr>
        <w:t>Meteor and Trolley</w:t>
      </w:r>
      <w:r w:rsidRPr="006F4F5C">
        <w:rPr>
          <w:rFonts w:ascii="Book Antiqua" w:hAnsi="Book Antiqua"/>
        </w:rPr>
        <w:t xml:space="preserve"> “no matter how small the net gain in lives saved</w:t>
      </w:r>
      <w:r w:rsidR="00233C59" w:rsidRPr="006F4F5C">
        <w:rPr>
          <w:rFonts w:ascii="Book Antiqua" w:hAnsi="Book Antiqua"/>
        </w:rPr>
        <w:t>.</w:t>
      </w:r>
      <w:r w:rsidRPr="006F4F5C">
        <w:rPr>
          <w:rFonts w:ascii="Book Antiqua" w:hAnsi="Book Antiqua"/>
        </w:rPr>
        <w:t>”</w:t>
      </w:r>
      <w:r w:rsidR="00233C59" w:rsidRPr="006F4F5C">
        <w:rPr>
          <w:rStyle w:val="FootnoteReference"/>
          <w:rFonts w:ascii="Book Antiqua" w:hAnsi="Book Antiqua"/>
        </w:rPr>
        <w:footnoteReference w:id="43"/>
      </w:r>
      <w:r w:rsidRPr="006F4F5C">
        <w:rPr>
          <w:rFonts w:ascii="Book Antiqua" w:hAnsi="Book Antiqua"/>
        </w:rPr>
        <w:t xml:space="preserve"> It seems to me quite plausible to deny this.  Although we might think that it is permissible to divert the meteor from a city of three million to a town of five thousand, we </w:t>
      </w:r>
      <w:r w:rsidRPr="006F4F5C">
        <w:rPr>
          <w:rFonts w:ascii="Book Antiqua" w:hAnsi="Book Antiqua"/>
        </w:rPr>
        <w:lastRenderedPageBreak/>
        <w:t xml:space="preserve">might not think it permissible to divert it </w:t>
      </w:r>
      <w:r w:rsidR="0054067C" w:rsidRPr="006F4F5C">
        <w:rPr>
          <w:rFonts w:ascii="Book Antiqua" w:hAnsi="Book Antiqua"/>
        </w:rPr>
        <w:t xml:space="preserve">from 3 million </w:t>
      </w:r>
      <w:r w:rsidRPr="006F4F5C">
        <w:rPr>
          <w:rFonts w:ascii="Book Antiqua" w:hAnsi="Book Antiqua"/>
        </w:rPr>
        <w:t xml:space="preserve">towards two and a half million.  It would be rather odd to think it permissible to divert it </w:t>
      </w:r>
      <w:r w:rsidR="0054067C" w:rsidRPr="006F4F5C">
        <w:rPr>
          <w:rFonts w:ascii="Book Antiqua" w:hAnsi="Book Antiqua"/>
        </w:rPr>
        <w:t xml:space="preserve">from 3 million </w:t>
      </w:r>
      <w:r w:rsidRPr="006F4F5C">
        <w:rPr>
          <w:rFonts w:ascii="Book Antiqua" w:hAnsi="Book Antiqua"/>
        </w:rPr>
        <w:t>towards three million minus one.  Similarly, even if it seems permissible to turn the trolley from five towards one, it might not seem permissible to turn the trolley from two to one</w:t>
      </w:r>
      <w:r w:rsidR="0059676B">
        <w:rPr>
          <w:rFonts w:ascii="Book Antiqua" w:hAnsi="Book Antiqua"/>
        </w:rPr>
        <w:t xml:space="preserve"> or</w:t>
      </w:r>
      <w:r w:rsidRPr="006F4F5C">
        <w:rPr>
          <w:rFonts w:ascii="Book Antiqua" w:hAnsi="Book Antiqua"/>
        </w:rPr>
        <w:t xml:space="preserve"> to turn the trolley towards one to prevent the trolley from killing one person and breaking another’s leg.</w:t>
      </w:r>
      <w:r w:rsidR="0054067C" w:rsidRPr="006F4F5C">
        <w:rPr>
          <w:rFonts w:ascii="Book Antiqua" w:hAnsi="Book Antiqua"/>
        </w:rPr>
        <w:t xml:space="preserve"> Thus </w:t>
      </w:r>
      <w:proofErr w:type="spellStart"/>
      <w:r w:rsidR="0054067C" w:rsidRPr="006F4F5C">
        <w:rPr>
          <w:rFonts w:ascii="Book Antiqua" w:hAnsi="Book Antiqua"/>
        </w:rPr>
        <w:t>Kagan</w:t>
      </w:r>
      <w:proofErr w:type="spellEnd"/>
      <w:r w:rsidR="0054067C" w:rsidRPr="006F4F5C">
        <w:rPr>
          <w:rFonts w:ascii="Book Antiqua" w:hAnsi="Book Antiqua"/>
        </w:rPr>
        <w:t xml:space="preserve"> is wrong t</w:t>
      </w:r>
      <w:r w:rsidR="0059676B">
        <w:rPr>
          <w:rFonts w:ascii="Book Antiqua" w:hAnsi="Book Antiqua"/>
        </w:rPr>
        <w:t xml:space="preserve">o hold that the defender of </w:t>
      </w:r>
      <w:r w:rsidR="0059676B" w:rsidRPr="006F4F5C">
        <w:rPr>
          <w:rFonts w:ascii="Book Antiqua" w:hAnsi="Book Antiqua"/>
        </w:rPr>
        <w:t>the Doctrine of Double Effect</w:t>
      </w:r>
      <w:r w:rsidR="0054067C" w:rsidRPr="006F4F5C">
        <w:rPr>
          <w:rFonts w:ascii="Book Antiqua" w:hAnsi="Book Antiqua"/>
        </w:rPr>
        <w:t xml:space="preserve"> must think it permissible to minimise harm in these cases no matter how small the net gain.  Some, or even most, defenders of </w:t>
      </w:r>
      <w:r w:rsidR="0059676B" w:rsidRPr="006F4F5C">
        <w:rPr>
          <w:rFonts w:ascii="Book Antiqua" w:hAnsi="Book Antiqua"/>
        </w:rPr>
        <w:t xml:space="preserve">the Doctrine of Double Effect </w:t>
      </w:r>
      <w:r w:rsidR="0054067C" w:rsidRPr="006F4F5C">
        <w:rPr>
          <w:rFonts w:ascii="Book Antiqua" w:hAnsi="Book Antiqua"/>
        </w:rPr>
        <w:t xml:space="preserve">will have intuitions that are compatible with holding that the good must be several times the size of the bad for minimising harm to be permissible in cases like Meteor and Trolley.  These cases do not rule out accepting a constraint against bringing about unintended harm that is stronger than </w:t>
      </w:r>
      <w:r w:rsidR="00443621" w:rsidRPr="006F4F5C">
        <w:rPr>
          <w:rFonts w:ascii="Book Antiqua" w:hAnsi="Book Antiqua"/>
        </w:rPr>
        <w:t>simple counter-balancing</w:t>
      </w:r>
      <w:r w:rsidR="0054067C" w:rsidRPr="006F4F5C">
        <w:rPr>
          <w:rFonts w:ascii="Book Antiqua" w:hAnsi="Book Antiqua"/>
        </w:rPr>
        <w:t xml:space="preserve">. </w:t>
      </w:r>
    </w:p>
    <w:p w14:paraId="23A38AEA" w14:textId="2529839C" w:rsidR="00D51417" w:rsidRPr="006F4F5C" w:rsidRDefault="00A448BA" w:rsidP="00455776">
      <w:pPr>
        <w:spacing w:line="360" w:lineRule="auto"/>
        <w:jc w:val="both"/>
        <w:rPr>
          <w:rFonts w:ascii="Book Antiqua" w:hAnsi="Book Antiqua"/>
        </w:rPr>
      </w:pPr>
      <w:r w:rsidRPr="006F4F5C">
        <w:rPr>
          <w:rFonts w:ascii="Book Antiqua" w:hAnsi="Book Antiqua"/>
        </w:rPr>
        <w:tab/>
        <w:t xml:space="preserve">This does leave a puzzle about why it is impermissible to minimise deaths in the Meteor Explosion and Operation cases even when the numbers are the same as in the permissible versions of Meteor and Trolley, respectively.  </w:t>
      </w:r>
      <w:r w:rsidR="00C551EE">
        <w:rPr>
          <w:rFonts w:ascii="Book Antiqua" w:hAnsi="Book Antiqua"/>
        </w:rPr>
        <w:t>I think</w:t>
      </w:r>
      <w:r w:rsidR="00F04F20" w:rsidRPr="006F4F5C">
        <w:rPr>
          <w:rFonts w:ascii="Book Antiqua" w:hAnsi="Book Antiqua"/>
        </w:rPr>
        <w:t xml:space="preserve"> this is part of the target of the D</w:t>
      </w:r>
      <w:r w:rsidR="00680CD6" w:rsidRPr="006F4F5C">
        <w:rPr>
          <w:rFonts w:ascii="Book Antiqua" w:hAnsi="Book Antiqua"/>
        </w:rPr>
        <w:t xml:space="preserve">octrine of </w:t>
      </w:r>
      <w:r w:rsidR="00F04F20" w:rsidRPr="006F4F5C">
        <w:rPr>
          <w:rFonts w:ascii="Book Antiqua" w:hAnsi="Book Antiqua"/>
        </w:rPr>
        <w:t>D</w:t>
      </w:r>
      <w:r w:rsidR="00680CD6" w:rsidRPr="006F4F5C">
        <w:rPr>
          <w:rFonts w:ascii="Book Antiqua" w:hAnsi="Book Antiqua"/>
        </w:rPr>
        <w:t xml:space="preserve">ouble </w:t>
      </w:r>
      <w:r w:rsidR="00F04F20" w:rsidRPr="006F4F5C">
        <w:rPr>
          <w:rFonts w:ascii="Book Antiqua" w:hAnsi="Book Antiqua"/>
        </w:rPr>
        <w:t>E</w:t>
      </w:r>
      <w:r w:rsidR="00680CD6" w:rsidRPr="006F4F5C">
        <w:rPr>
          <w:rFonts w:ascii="Book Antiqua" w:hAnsi="Book Antiqua"/>
        </w:rPr>
        <w:t>ffect</w:t>
      </w:r>
      <w:r w:rsidR="000078BB">
        <w:rPr>
          <w:rFonts w:ascii="Book Antiqua" w:hAnsi="Book Antiqua"/>
        </w:rPr>
        <w:t xml:space="preserve"> or its replacement</w:t>
      </w:r>
      <w:r w:rsidR="00F04F20" w:rsidRPr="006F4F5C">
        <w:rPr>
          <w:rFonts w:ascii="Book Antiqua" w:hAnsi="Book Antiqua"/>
        </w:rPr>
        <w:t>.  We hope that the final version of the D</w:t>
      </w:r>
      <w:r w:rsidR="00680CD6" w:rsidRPr="006F4F5C">
        <w:rPr>
          <w:rFonts w:ascii="Book Antiqua" w:hAnsi="Book Antiqua"/>
        </w:rPr>
        <w:t xml:space="preserve">octrine of </w:t>
      </w:r>
      <w:r w:rsidR="00F04F20" w:rsidRPr="006F4F5C">
        <w:rPr>
          <w:rFonts w:ascii="Book Antiqua" w:hAnsi="Book Antiqua"/>
        </w:rPr>
        <w:t>D</w:t>
      </w:r>
      <w:r w:rsidR="00680CD6" w:rsidRPr="006F4F5C">
        <w:rPr>
          <w:rFonts w:ascii="Book Antiqua" w:hAnsi="Book Antiqua"/>
        </w:rPr>
        <w:t xml:space="preserve">ouble </w:t>
      </w:r>
      <w:r w:rsidR="00F04F20" w:rsidRPr="006F4F5C">
        <w:rPr>
          <w:rFonts w:ascii="Book Antiqua" w:hAnsi="Book Antiqua"/>
        </w:rPr>
        <w:t>E</w:t>
      </w:r>
      <w:r w:rsidR="00680CD6" w:rsidRPr="006F4F5C">
        <w:rPr>
          <w:rFonts w:ascii="Book Antiqua" w:hAnsi="Book Antiqua"/>
        </w:rPr>
        <w:t>ffect</w:t>
      </w:r>
      <w:r w:rsidR="00F04F20" w:rsidRPr="006F4F5C">
        <w:rPr>
          <w:rFonts w:ascii="Book Antiqua" w:hAnsi="Book Antiqua"/>
        </w:rPr>
        <w:t xml:space="preserve"> will explain this difference.  </w:t>
      </w:r>
      <w:r w:rsidR="00893518" w:rsidRPr="006F4F5C">
        <w:rPr>
          <w:rFonts w:ascii="Book Antiqua" w:hAnsi="Book Antiqua"/>
        </w:rPr>
        <w:t xml:space="preserve">The need to explain such cases is a reason to suspect that the </w:t>
      </w:r>
      <w:r w:rsidR="000078BB">
        <w:rPr>
          <w:rFonts w:ascii="Book Antiqua" w:hAnsi="Book Antiqua"/>
        </w:rPr>
        <w:t>original</w:t>
      </w:r>
      <w:r w:rsidR="00893518" w:rsidRPr="006F4F5C">
        <w:rPr>
          <w:rFonts w:ascii="Book Antiqua" w:hAnsi="Book Antiqua"/>
        </w:rPr>
        <w:t xml:space="preserve"> D</w:t>
      </w:r>
      <w:r w:rsidR="00680CD6" w:rsidRPr="006F4F5C">
        <w:rPr>
          <w:rFonts w:ascii="Book Antiqua" w:hAnsi="Book Antiqua"/>
        </w:rPr>
        <w:t xml:space="preserve">octrine of </w:t>
      </w:r>
      <w:r w:rsidR="00893518" w:rsidRPr="006F4F5C">
        <w:rPr>
          <w:rFonts w:ascii="Book Antiqua" w:hAnsi="Book Antiqua"/>
        </w:rPr>
        <w:t>D</w:t>
      </w:r>
      <w:r w:rsidR="00680CD6" w:rsidRPr="006F4F5C">
        <w:rPr>
          <w:rFonts w:ascii="Book Antiqua" w:hAnsi="Book Antiqua"/>
        </w:rPr>
        <w:t xml:space="preserve">ouble </w:t>
      </w:r>
      <w:r w:rsidR="00893518" w:rsidRPr="006F4F5C">
        <w:rPr>
          <w:rFonts w:ascii="Book Antiqua" w:hAnsi="Book Antiqua"/>
        </w:rPr>
        <w:t>E</w:t>
      </w:r>
      <w:r w:rsidR="00680CD6" w:rsidRPr="006F4F5C">
        <w:rPr>
          <w:rFonts w:ascii="Book Antiqua" w:hAnsi="Book Antiqua"/>
        </w:rPr>
        <w:t>ffect</w:t>
      </w:r>
      <w:r w:rsidR="00893518" w:rsidRPr="006F4F5C">
        <w:rPr>
          <w:rFonts w:ascii="Book Antiqua" w:hAnsi="Book Antiqua"/>
        </w:rPr>
        <w:t xml:space="preserve"> will </w:t>
      </w:r>
      <w:r w:rsidR="000078BB">
        <w:rPr>
          <w:rFonts w:ascii="Book Antiqua" w:hAnsi="Book Antiqua"/>
        </w:rPr>
        <w:t>need to be modified or replaced</w:t>
      </w:r>
      <w:r w:rsidR="00893518" w:rsidRPr="006F4F5C">
        <w:rPr>
          <w:rFonts w:ascii="Book Antiqua" w:hAnsi="Book Antiqua"/>
        </w:rPr>
        <w:t xml:space="preserve">.  </w:t>
      </w:r>
      <w:r w:rsidR="00B2259B" w:rsidRPr="006F4F5C">
        <w:rPr>
          <w:rFonts w:ascii="Book Antiqua" w:hAnsi="Book Antiqua"/>
        </w:rPr>
        <w:t xml:space="preserve">Alternatively, we might retain the simple </w:t>
      </w:r>
      <w:r w:rsidR="000078BB">
        <w:rPr>
          <w:rFonts w:ascii="Book Antiqua" w:hAnsi="Book Antiqua"/>
        </w:rPr>
        <w:t xml:space="preserve">original </w:t>
      </w:r>
      <w:r w:rsidR="00B2259B" w:rsidRPr="006F4F5C">
        <w:rPr>
          <w:rFonts w:ascii="Book Antiqua" w:hAnsi="Book Antiqua"/>
        </w:rPr>
        <w:t>D</w:t>
      </w:r>
      <w:r w:rsidR="00680CD6" w:rsidRPr="006F4F5C">
        <w:rPr>
          <w:rFonts w:ascii="Book Antiqua" w:hAnsi="Book Antiqua"/>
        </w:rPr>
        <w:t xml:space="preserve">octrine of </w:t>
      </w:r>
      <w:r w:rsidR="00B2259B" w:rsidRPr="006F4F5C">
        <w:rPr>
          <w:rFonts w:ascii="Book Antiqua" w:hAnsi="Book Antiqua"/>
        </w:rPr>
        <w:t>D</w:t>
      </w:r>
      <w:r w:rsidR="00680CD6" w:rsidRPr="006F4F5C">
        <w:rPr>
          <w:rFonts w:ascii="Book Antiqua" w:hAnsi="Book Antiqua"/>
        </w:rPr>
        <w:t xml:space="preserve">ouble </w:t>
      </w:r>
      <w:r w:rsidR="00B2259B" w:rsidRPr="006F4F5C">
        <w:rPr>
          <w:rFonts w:ascii="Book Antiqua" w:hAnsi="Book Antiqua"/>
        </w:rPr>
        <w:t>E</w:t>
      </w:r>
      <w:r w:rsidR="00680CD6" w:rsidRPr="006F4F5C">
        <w:rPr>
          <w:rFonts w:ascii="Book Antiqua" w:hAnsi="Book Antiqua"/>
        </w:rPr>
        <w:t>ffect</w:t>
      </w:r>
      <w:r w:rsidR="00B2259B" w:rsidRPr="006F4F5C">
        <w:rPr>
          <w:rFonts w:ascii="Book Antiqua" w:hAnsi="Book Antiqua"/>
        </w:rPr>
        <w:t xml:space="preserve"> and add a third deontological distinction to explain these cases.</w:t>
      </w:r>
      <w:r w:rsidR="00680CD6" w:rsidRPr="006F4F5C">
        <w:rPr>
          <w:rFonts w:ascii="Book Antiqua" w:hAnsi="Book Antiqua"/>
        </w:rPr>
        <w:t xml:space="preserve">  </w:t>
      </w:r>
      <w:r w:rsidR="00075182" w:rsidRPr="006F4F5C">
        <w:rPr>
          <w:rFonts w:ascii="Book Antiqua" w:hAnsi="Book Antiqua"/>
        </w:rPr>
        <w:t xml:space="preserve">Either way, appeal to </w:t>
      </w:r>
      <w:r w:rsidR="00680CD6" w:rsidRPr="006F4F5C">
        <w:rPr>
          <w:rFonts w:ascii="Book Antiqua" w:hAnsi="Book Antiqua"/>
        </w:rPr>
        <w:t xml:space="preserve">the </w:t>
      </w:r>
      <w:r w:rsidR="00075182" w:rsidRPr="006F4F5C">
        <w:rPr>
          <w:rFonts w:ascii="Book Antiqua" w:hAnsi="Book Antiqua"/>
        </w:rPr>
        <w:t>D</w:t>
      </w:r>
      <w:r w:rsidR="00680CD6" w:rsidRPr="006F4F5C">
        <w:rPr>
          <w:rFonts w:ascii="Book Antiqua" w:hAnsi="Book Antiqua"/>
        </w:rPr>
        <w:t xml:space="preserve">octrine of </w:t>
      </w:r>
      <w:r w:rsidR="00075182" w:rsidRPr="006F4F5C">
        <w:rPr>
          <w:rFonts w:ascii="Book Antiqua" w:hAnsi="Book Antiqua"/>
        </w:rPr>
        <w:t>D</w:t>
      </w:r>
      <w:r w:rsidR="00680CD6" w:rsidRPr="006F4F5C">
        <w:rPr>
          <w:rFonts w:ascii="Book Antiqua" w:hAnsi="Book Antiqua"/>
        </w:rPr>
        <w:t xml:space="preserve">oing and </w:t>
      </w:r>
      <w:r w:rsidR="00075182" w:rsidRPr="006F4F5C">
        <w:rPr>
          <w:rFonts w:ascii="Book Antiqua" w:hAnsi="Book Antiqua"/>
        </w:rPr>
        <w:t>A</w:t>
      </w:r>
      <w:r w:rsidR="00680CD6" w:rsidRPr="006F4F5C">
        <w:rPr>
          <w:rFonts w:ascii="Book Antiqua" w:hAnsi="Book Antiqua"/>
        </w:rPr>
        <w:t>llowing</w:t>
      </w:r>
      <w:r w:rsidR="00075182" w:rsidRPr="006F4F5C">
        <w:rPr>
          <w:rFonts w:ascii="Book Antiqua" w:hAnsi="Book Antiqua"/>
        </w:rPr>
        <w:t xml:space="preserve"> is </w:t>
      </w:r>
      <w:r w:rsidR="00C551EE">
        <w:rPr>
          <w:rFonts w:ascii="Book Antiqua" w:hAnsi="Book Antiqua"/>
        </w:rPr>
        <w:t xml:space="preserve">still </w:t>
      </w:r>
      <w:r w:rsidR="00075182" w:rsidRPr="006F4F5C">
        <w:rPr>
          <w:rFonts w:ascii="Book Antiqua" w:hAnsi="Book Antiqua"/>
        </w:rPr>
        <w:t>the simplest response to the original worry about how to understand due proportion</w:t>
      </w:r>
      <w:r w:rsidR="00293CFE" w:rsidRPr="006F4F5C">
        <w:rPr>
          <w:rFonts w:ascii="Book Antiqua" w:hAnsi="Book Antiqua"/>
        </w:rPr>
        <w:t xml:space="preserve"> </w:t>
      </w:r>
      <w:r w:rsidR="007D2FD6" w:rsidRPr="006F4F5C">
        <w:rPr>
          <w:rFonts w:ascii="Book Antiqua" w:hAnsi="Book Antiqua"/>
        </w:rPr>
        <w:t>with respect to</w:t>
      </w:r>
      <w:r w:rsidR="00E74690" w:rsidRPr="006F4F5C">
        <w:rPr>
          <w:rFonts w:ascii="Book Antiqua" w:hAnsi="Book Antiqua"/>
        </w:rPr>
        <w:t xml:space="preserve"> the D</w:t>
      </w:r>
      <w:r w:rsidR="00680CD6" w:rsidRPr="006F4F5C">
        <w:rPr>
          <w:rFonts w:ascii="Book Antiqua" w:hAnsi="Book Antiqua"/>
        </w:rPr>
        <w:t xml:space="preserve">octrine of </w:t>
      </w:r>
      <w:r w:rsidR="00E74690" w:rsidRPr="006F4F5C">
        <w:rPr>
          <w:rFonts w:ascii="Book Antiqua" w:hAnsi="Book Antiqua"/>
        </w:rPr>
        <w:t>D</w:t>
      </w:r>
      <w:r w:rsidR="00680CD6" w:rsidRPr="006F4F5C">
        <w:rPr>
          <w:rFonts w:ascii="Book Antiqua" w:hAnsi="Book Antiqua"/>
        </w:rPr>
        <w:t xml:space="preserve">ouble </w:t>
      </w:r>
      <w:r w:rsidR="00E74690" w:rsidRPr="006F4F5C">
        <w:rPr>
          <w:rFonts w:ascii="Book Antiqua" w:hAnsi="Book Antiqua"/>
        </w:rPr>
        <w:t>E</w:t>
      </w:r>
      <w:r w:rsidR="00680CD6" w:rsidRPr="006F4F5C">
        <w:rPr>
          <w:rFonts w:ascii="Book Antiqua" w:hAnsi="Book Antiqua"/>
        </w:rPr>
        <w:t>ffect</w:t>
      </w:r>
      <w:r w:rsidR="00D51417" w:rsidRPr="006F4F5C">
        <w:rPr>
          <w:rFonts w:ascii="Book Antiqua" w:hAnsi="Book Antiqua"/>
        </w:rPr>
        <w:t xml:space="preserve">.  Our conclusion from considering Kagan’s argument should thus be: </w:t>
      </w:r>
      <w:r w:rsidR="00ED7780" w:rsidRPr="006F4F5C">
        <w:rPr>
          <w:rFonts w:ascii="Book Antiqua" w:hAnsi="Book Antiqua"/>
        </w:rPr>
        <w:t>(1) t</w:t>
      </w:r>
      <w:r w:rsidR="00D51417" w:rsidRPr="006F4F5C">
        <w:rPr>
          <w:rFonts w:ascii="Book Antiqua" w:hAnsi="Book Antiqua"/>
        </w:rPr>
        <w:t>he D</w:t>
      </w:r>
      <w:r w:rsidR="00680CD6" w:rsidRPr="006F4F5C">
        <w:rPr>
          <w:rFonts w:ascii="Book Antiqua" w:hAnsi="Book Antiqua"/>
        </w:rPr>
        <w:t xml:space="preserve">octrine of </w:t>
      </w:r>
      <w:r w:rsidR="00D51417" w:rsidRPr="006F4F5C">
        <w:rPr>
          <w:rFonts w:ascii="Book Antiqua" w:hAnsi="Book Antiqua"/>
        </w:rPr>
        <w:t>D</w:t>
      </w:r>
      <w:r w:rsidR="00680CD6" w:rsidRPr="006F4F5C">
        <w:rPr>
          <w:rFonts w:ascii="Book Antiqua" w:hAnsi="Book Antiqua"/>
        </w:rPr>
        <w:t xml:space="preserve">ouble </w:t>
      </w:r>
      <w:r w:rsidR="00D51417" w:rsidRPr="006F4F5C">
        <w:rPr>
          <w:rFonts w:ascii="Book Antiqua" w:hAnsi="Book Antiqua"/>
        </w:rPr>
        <w:t>E</w:t>
      </w:r>
      <w:r w:rsidR="00680CD6" w:rsidRPr="006F4F5C">
        <w:rPr>
          <w:rFonts w:ascii="Book Antiqua" w:hAnsi="Book Antiqua"/>
        </w:rPr>
        <w:t>ffect</w:t>
      </w:r>
      <w:r w:rsidR="00D51417" w:rsidRPr="006F4F5C">
        <w:rPr>
          <w:rFonts w:ascii="Book Antiqua" w:hAnsi="Book Antiqua"/>
        </w:rPr>
        <w:t xml:space="preserve"> can only give a plausible account of the due proportion constraint when combined with the D</w:t>
      </w:r>
      <w:r w:rsidR="00680CD6" w:rsidRPr="006F4F5C">
        <w:rPr>
          <w:rFonts w:ascii="Book Antiqua" w:hAnsi="Book Antiqua"/>
        </w:rPr>
        <w:t xml:space="preserve">octrine of </w:t>
      </w:r>
      <w:r w:rsidR="00D51417" w:rsidRPr="006F4F5C">
        <w:rPr>
          <w:rFonts w:ascii="Book Antiqua" w:hAnsi="Book Antiqua"/>
        </w:rPr>
        <w:t>D</w:t>
      </w:r>
      <w:r w:rsidR="00680CD6" w:rsidRPr="006F4F5C">
        <w:rPr>
          <w:rFonts w:ascii="Book Antiqua" w:hAnsi="Book Antiqua"/>
        </w:rPr>
        <w:t xml:space="preserve">oing and </w:t>
      </w:r>
      <w:r w:rsidR="00D51417" w:rsidRPr="006F4F5C">
        <w:rPr>
          <w:rFonts w:ascii="Book Antiqua" w:hAnsi="Book Antiqua"/>
        </w:rPr>
        <w:t>A</w:t>
      </w:r>
      <w:r w:rsidR="00680CD6" w:rsidRPr="006F4F5C">
        <w:rPr>
          <w:rFonts w:ascii="Book Antiqua" w:hAnsi="Book Antiqua"/>
        </w:rPr>
        <w:t>llowing</w:t>
      </w:r>
      <w:r w:rsidR="00ED7780" w:rsidRPr="006F4F5C">
        <w:rPr>
          <w:rFonts w:ascii="Book Antiqua" w:hAnsi="Book Antiqua"/>
        </w:rPr>
        <w:t>; (2) the final version of the D</w:t>
      </w:r>
      <w:r w:rsidR="00680CD6" w:rsidRPr="006F4F5C">
        <w:rPr>
          <w:rFonts w:ascii="Book Antiqua" w:hAnsi="Book Antiqua"/>
        </w:rPr>
        <w:t xml:space="preserve">octrine of </w:t>
      </w:r>
      <w:r w:rsidR="00ED7780" w:rsidRPr="006F4F5C">
        <w:rPr>
          <w:rFonts w:ascii="Book Antiqua" w:hAnsi="Book Antiqua"/>
        </w:rPr>
        <w:t>D</w:t>
      </w:r>
      <w:r w:rsidR="00680CD6" w:rsidRPr="006F4F5C">
        <w:rPr>
          <w:rFonts w:ascii="Book Antiqua" w:hAnsi="Book Antiqua"/>
        </w:rPr>
        <w:t xml:space="preserve">ouble </w:t>
      </w:r>
      <w:r w:rsidR="00ED7780" w:rsidRPr="006F4F5C">
        <w:rPr>
          <w:rFonts w:ascii="Book Antiqua" w:hAnsi="Book Antiqua"/>
        </w:rPr>
        <w:t>E</w:t>
      </w:r>
      <w:r w:rsidR="00680CD6" w:rsidRPr="006F4F5C">
        <w:rPr>
          <w:rFonts w:ascii="Book Antiqua" w:hAnsi="Book Antiqua"/>
        </w:rPr>
        <w:t>ffect</w:t>
      </w:r>
      <w:r w:rsidR="00E77AB2">
        <w:rPr>
          <w:rFonts w:ascii="Book Antiqua" w:hAnsi="Book Antiqua"/>
        </w:rPr>
        <w:t xml:space="preserve"> –or its replacement -</w:t>
      </w:r>
      <w:r w:rsidR="00ED7780" w:rsidRPr="006F4F5C">
        <w:rPr>
          <w:rFonts w:ascii="Book Antiqua" w:hAnsi="Book Antiqua"/>
        </w:rPr>
        <w:t xml:space="preserve"> will need to distinguish Trolley and Operation as well as Trolley and Bridge</w:t>
      </w:r>
      <w:r w:rsidR="00F82107" w:rsidRPr="006F4F5C">
        <w:rPr>
          <w:rFonts w:ascii="Book Antiqua" w:hAnsi="Book Antiqua"/>
        </w:rPr>
        <w:t xml:space="preserve"> or be accompanied by some third deontological distinction</w:t>
      </w:r>
      <w:r w:rsidR="00D51417" w:rsidRPr="006F4F5C">
        <w:rPr>
          <w:rFonts w:ascii="Book Antiqua" w:hAnsi="Book Antiqua"/>
        </w:rPr>
        <w:t>.</w:t>
      </w:r>
      <w:r w:rsidR="00680CD6" w:rsidRPr="006F4F5C">
        <w:rPr>
          <w:rFonts w:ascii="Book Antiqua" w:hAnsi="Book Antiqua"/>
        </w:rPr>
        <w:t xml:space="preserve">  The discussion above has been </w:t>
      </w:r>
      <w:r w:rsidR="00C34DC7" w:rsidRPr="006F4F5C">
        <w:rPr>
          <w:rFonts w:ascii="Book Antiqua" w:hAnsi="Book Antiqua"/>
        </w:rPr>
        <w:t>f</w:t>
      </w:r>
      <w:r w:rsidR="00680CD6" w:rsidRPr="006F4F5C">
        <w:rPr>
          <w:rFonts w:ascii="Book Antiqua" w:hAnsi="Book Antiqua"/>
        </w:rPr>
        <w:t xml:space="preserve">ramed in terms of the original Doctrine of Double Effect, but it seems likely that these arguments would apply to any putative </w:t>
      </w:r>
      <w:r w:rsidR="00E77AB2">
        <w:rPr>
          <w:rFonts w:ascii="Book Antiqua" w:hAnsi="Book Antiqua"/>
        </w:rPr>
        <w:t>replacement</w:t>
      </w:r>
      <w:r w:rsidR="00680CD6" w:rsidRPr="006F4F5C">
        <w:rPr>
          <w:rFonts w:ascii="Book Antiqua" w:hAnsi="Book Antiqua"/>
        </w:rPr>
        <w:t xml:space="preserve"> of the Doctrine of Double Effect.  Thus we should conclude that anyone who accept</w:t>
      </w:r>
      <w:r w:rsidR="00E445A2" w:rsidRPr="006F4F5C">
        <w:rPr>
          <w:rFonts w:ascii="Book Antiqua" w:hAnsi="Book Antiqua"/>
        </w:rPr>
        <w:t>s</w:t>
      </w:r>
      <w:r w:rsidR="00680CD6" w:rsidRPr="006F4F5C">
        <w:rPr>
          <w:rFonts w:ascii="Book Antiqua" w:hAnsi="Book Antiqua"/>
        </w:rPr>
        <w:t xml:space="preserve"> the Doctrine of Double Effect</w:t>
      </w:r>
      <w:r w:rsidR="00E77AB2">
        <w:rPr>
          <w:rFonts w:ascii="Book Antiqua" w:hAnsi="Book Antiqua"/>
        </w:rPr>
        <w:t xml:space="preserve"> or a replacement</w:t>
      </w:r>
      <w:r w:rsidR="00680CD6" w:rsidRPr="006F4F5C">
        <w:rPr>
          <w:rFonts w:ascii="Book Antiqua" w:hAnsi="Book Antiqua"/>
        </w:rPr>
        <w:t xml:space="preserve"> should also accept some the Doctrine of Doing and Allowing</w:t>
      </w:r>
      <w:r w:rsidR="00E77AB2">
        <w:rPr>
          <w:rFonts w:ascii="Book Antiqua" w:hAnsi="Book Antiqua"/>
        </w:rPr>
        <w:t xml:space="preserve"> or a replacement</w:t>
      </w:r>
      <w:r w:rsidR="00680CD6" w:rsidRPr="006F4F5C">
        <w:rPr>
          <w:rFonts w:ascii="Book Antiqua" w:hAnsi="Book Antiqua"/>
        </w:rPr>
        <w:t>.</w:t>
      </w:r>
    </w:p>
    <w:p w14:paraId="5414E668" w14:textId="012F5941" w:rsidR="00E74690" w:rsidRPr="006F4F5C" w:rsidRDefault="001D2FF1" w:rsidP="00455776">
      <w:pPr>
        <w:spacing w:line="360" w:lineRule="auto"/>
        <w:jc w:val="both"/>
        <w:rPr>
          <w:rFonts w:ascii="Book Antiqua" w:hAnsi="Book Antiqua"/>
        </w:rPr>
      </w:pPr>
      <w:r>
        <w:rPr>
          <w:rFonts w:ascii="Book Antiqua" w:hAnsi="Book Antiqua"/>
        </w:rPr>
        <w:tab/>
        <w:t>A</w:t>
      </w:r>
      <w:r w:rsidR="00D51417" w:rsidRPr="006F4F5C">
        <w:rPr>
          <w:rFonts w:ascii="Book Antiqua" w:hAnsi="Book Antiqua"/>
        </w:rPr>
        <w:t xml:space="preserve"> parallel argument can be made with respect to the D</w:t>
      </w:r>
      <w:r w:rsidR="00680CD6" w:rsidRPr="006F4F5C">
        <w:rPr>
          <w:rFonts w:ascii="Book Antiqua" w:hAnsi="Book Antiqua"/>
        </w:rPr>
        <w:t xml:space="preserve">octrine of </w:t>
      </w:r>
      <w:r w:rsidR="00D51417" w:rsidRPr="006F4F5C">
        <w:rPr>
          <w:rFonts w:ascii="Book Antiqua" w:hAnsi="Book Antiqua"/>
        </w:rPr>
        <w:t>D</w:t>
      </w:r>
      <w:r w:rsidR="00680CD6" w:rsidRPr="006F4F5C">
        <w:rPr>
          <w:rFonts w:ascii="Book Antiqua" w:hAnsi="Book Antiqua"/>
        </w:rPr>
        <w:t xml:space="preserve">oing and </w:t>
      </w:r>
      <w:r w:rsidR="00D51417" w:rsidRPr="006F4F5C">
        <w:rPr>
          <w:rFonts w:ascii="Book Antiqua" w:hAnsi="Book Antiqua"/>
        </w:rPr>
        <w:t>A</w:t>
      </w:r>
      <w:r w:rsidR="00680CD6" w:rsidRPr="006F4F5C">
        <w:rPr>
          <w:rFonts w:ascii="Book Antiqua" w:hAnsi="Book Antiqua"/>
        </w:rPr>
        <w:t>llowing</w:t>
      </w:r>
      <w:r w:rsidR="00B27D4E" w:rsidRPr="006F4F5C">
        <w:rPr>
          <w:rFonts w:ascii="Book Antiqua" w:hAnsi="Book Antiqua"/>
        </w:rPr>
        <w:t>, showing that the D</w:t>
      </w:r>
      <w:r w:rsidR="00680CD6" w:rsidRPr="006F4F5C">
        <w:rPr>
          <w:rFonts w:ascii="Book Antiqua" w:hAnsi="Book Antiqua"/>
        </w:rPr>
        <w:t xml:space="preserve">octrine of </w:t>
      </w:r>
      <w:r w:rsidR="00B27D4E" w:rsidRPr="006F4F5C">
        <w:rPr>
          <w:rFonts w:ascii="Book Antiqua" w:hAnsi="Book Antiqua"/>
        </w:rPr>
        <w:t>D</w:t>
      </w:r>
      <w:r w:rsidR="00680CD6" w:rsidRPr="006F4F5C">
        <w:rPr>
          <w:rFonts w:ascii="Book Antiqua" w:hAnsi="Book Antiqua"/>
        </w:rPr>
        <w:t xml:space="preserve">oing and </w:t>
      </w:r>
      <w:r w:rsidR="00B27D4E" w:rsidRPr="006F4F5C">
        <w:rPr>
          <w:rFonts w:ascii="Book Antiqua" w:hAnsi="Book Antiqua"/>
        </w:rPr>
        <w:t>A</w:t>
      </w:r>
      <w:r w:rsidR="00680CD6" w:rsidRPr="006F4F5C">
        <w:rPr>
          <w:rFonts w:ascii="Book Antiqua" w:hAnsi="Book Antiqua"/>
        </w:rPr>
        <w:t>llowing</w:t>
      </w:r>
      <w:r w:rsidR="00B27D4E" w:rsidRPr="006F4F5C">
        <w:rPr>
          <w:rFonts w:ascii="Book Antiqua" w:hAnsi="Book Antiqua"/>
        </w:rPr>
        <w:t xml:space="preserve"> needs something like a requirement of due proportion and that a plausible account of the constraint can only be given when the </w:t>
      </w:r>
      <w:r w:rsidR="00B27D4E" w:rsidRPr="006F4F5C">
        <w:rPr>
          <w:rFonts w:ascii="Book Antiqua" w:hAnsi="Book Antiqua"/>
        </w:rPr>
        <w:lastRenderedPageBreak/>
        <w:t>D</w:t>
      </w:r>
      <w:r w:rsidR="00680CD6" w:rsidRPr="006F4F5C">
        <w:rPr>
          <w:rFonts w:ascii="Book Antiqua" w:hAnsi="Book Antiqua"/>
        </w:rPr>
        <w:t xml:space="preserve">octrine of </w:t>
      </w:r>
      <w:r w:rsidR="00B27D4E" w:rsidRPr="006F4F5C">
        <w:rPr>
          <w:rFonts w:ascii="Book Antiqua" w:hAnsi="Book Antiqua"/>
        </w:rPr>
        <w:t>D</w:t>
      </w:r>
      <w:r w:rsidR="00680CD6" w:rsidRPr="006F4F5C">
        <w:rPr>
          <w:rFonts w:ascii="Book Antiqua" w:hAnsi="Book Antiqua"/>
        </w:rPr>
        <w:t xml:space="preserve">oing and </w:t>
      </w:r>
      <w:r w:rsidR="00B27D4E" w:rsidRPr="006F4F5C">
        <w:rPr>
          <w:rFonts w:ascii="Book Antiqua" w:hAnsi="Book Antiqua"/>
        </w:rPr>
        <w:t>A</w:t>
      </w:r>
      <w:r w:rsidR="00680CD6" w:rsidRPr="006F4F5C">
        <w:rPr>
          <w:rFonts w:ascii="Book Antiqua" w:hAnsi="Book Antiqua"/>
        </w:rPr>
        <w:t>llowing</w:t>
      </w:r>
      <w:r w:rsidR="00B27D4E" w:rsidRPr="006F4F5C">
        <w:rPr>
          <w:rFonts w:ascii="Book Antiqua" w:hAnsi="Book Antiqua"/>
        </w:rPr>
        <w:t xml:space="preserve"> is combined with the D</w:t>
      </w:r>
      <w:r w:rsidR="00680CD6" w:rsidRPr="006F4F5C">
        <w:rPr>
          <w:rFonts w:ascii="Book Antiqua" w:hAnsi="Book Antiqua"/>
        </w:rPr>
        <w:t xml:space="preserve">octrine of </w:t>
      </w:r>
      <w:r w:rsidR="00B27D4E" w:rsidRPr="006F4F5C">
        <w:rPr>
          <w:rFonts w:ascii="Book Antiqua" w:hAnsi="Book Antiqua"/>
        </w:rPr>
        <w:t>D</w:t>
      </w:r>
      <w:r w:rsidR="00680CD6" w:rsidRPr="006F4F5C">
        <w:rPr>
          <w:rFonts w:ascii="Book Antiqua" w:hAnsi="Book Antiqua"/>
        </w:rPr>
        <w:t xml:space="preserve">ouble </w:t>
      </w:r>
      <w:r w:rsidR="00B27D4E" w:rsidRPr="006F4F5C">
        <w:rPr>
          <w:rFonts w:ascii="Book Antiqua" w:hAnsi="Book Antiqua"/>
        </w:rPr>
        <w:t>E</w:t>
      </w:r>
      <w:r w:rsidR="00680CD6" w:rsidRPr="006F4F5C">
        <w:rPr>
          <w:rFonts w:ascii="Book Antiqua" w:hAnsi="Book Antiqua"/>
        </w:rPr>
        <w:t>ffect</w:t>
      </w:r>
      <w:r w:rsidR="00D51417" w:rsidRPr="006F4F5C">
        <w:rPr>
          <w:rFonts w:ascii="Book Antiqua" w:hAnsi="Book Antiqua"/>
        </w:rPr>
        <w:t xml:space="preserve">.  </w:t>
      </w:r>
      <w:r w:rsidR="00B27D4E" w:rsidRPr="006F4F5C">
        <w:rPr>
          <w:rFonts w:ascii="Book Antiqua" w:hAnsi="Book Antiqua"/>
        </w:rPr>
        <w:t>This argument begins, like Kagan’s argument, by noting that t</w:t>
      </w:r>
      <w:r w:rsidR="00101B46" w:rsidRPr="006F4F5C">
        <w:rPr>
          <w:rFonts w:ascii="Book Antiqua" w:hAnsi="Book Antiqua"/>
        </w:rPr>
        <w:t>he D</w:t>
      </w:r>
      <w:r w:rsidR="00680CD6" w:rsidRPr="006F4F5C">
        <w:rPr>
          <w:rFonts w:ascii="Book Antiqua" w:hAnsi="Book Antiqua"/>
        </w:rPr>
        <w:t xml:space="preserve">octrine of </w:t>
      </w:r>
      <w:r w:rsidR="00101B46" w:rsidRPr="006F4F5C">
        <w:rPr>
          <w:rFonts w:ascii="Book Antiqua" w:hAnsi="Book Antiqua"/>
        </w:rPr>
        <w:t>D</w:t>
      </w:r>
      <w:r w:rsidR="00680CD6" w:rsidRPr="006F4F5C">
        <w:rPr>
          <w:rFonts w:ascii="Book Antiqua" w:hAnsi="Book Antiqua"/>
        </w:rPr>
        <w:t xml:space="preserve">oing and </w:t>
      </w:r>
      <w:r w:rsidR="00101B46" w:rsidRPr="006F4F5C">
        <w:rPr>
          <w:rFonts w:ascii="Book Antiqua" w:hAnsi="Book Antiqua"/>
        </w:rPr>
        <w:t>A</w:t>
      </w:r>
      <w:r w:rsidR="00680CD6" w:rsidRPr="006F4F5C">
        <w:rPr>
          <w:rFonts w:ascii="Book Antiqua" w:hAnsi="Book Antiqua"/>
        </w:rPr>
        <w:t>llowing</w:t>
      </w:r>
      <w:r w:rsidR="00721525">
        <w:rPr>
          <w:rFonts w:ascii="Book Antiqua" w:hAnsi="Book Antiqua"/>
        </w:rPr>
        <w:t xml:space="preserve"> should not license</w:t>
      </w:r>
      <w:r w:rsidR="00101B46" w:rsidRPr="006F4F5C">
        <w:rPr>
          <w:rFonts w:ascii="Book Antiqua" w:hAnsi="Book Antiqua"/>
        </w:rPr>
        <w:t xml:space="preserve"> unrestrained allowing o</w:t>
      </w:r>
      <w:r w:rsidR="00B27D4E" w:rsidRPr="006F4F5C">
        <w:rPr>
          <w:rFonts w:ascii="Book Antiqua" w:hAnsi="Book Antiqua"/>
        </w:rPr>
        <w:t>f harm: t</w:t>
      </w:r>
      <w:r w:rsidR="00101B46" w:rsidRPr="006F4F5C">
        <w:rPr>
          <w:rFonts w:ascii="Book Antiqua" w:hAnsi="Book Antiqua"/>
        </w:rPr>
        <w:t xml:space="preserve">here must be some limits on </w:t>
      </w:r>
      <w:r w:rsidR="00B27D4E" w:rsidRPr="006F4F5C">
        <w:rPr>
          <w:rFonts w:ascii="Book Antiqua" w:hAnsi="Book Antiqua"/>
        </w:rPr>
        <w:t xml:space="preserve">the permission to allow harm. </w:t>
      </w:r>
      <w:r w:rsidR="003020F5" w:rsidRPr="006F4F5C">
        <w:rPr>
          <w:rFonts w:ascii="Book Antiqua" w:hAnsi="Book Antiqua"/>
        </w:rPr>
        <w:t>This means that the D</w:t>
      </w:r>
      <w:r w:rsidR="00680CD6" w:rsidRPr="006F4F5C">
        <w:rPr>
          <w:rFonts w:ascii="Book Antiqua" w:hAnsi="Book Antiqua"/>
        </w:rPr>
        <w:t xml:space="preserve">octrine of </w:t>
      </w:r>
      <w:r w:rsidR="003020F5" w:rsidRPr="006F4F5C">
        <w:rPr>
          <w:rFonts w:ascii="Book Antiqua" w:hAnsi="Book Antiqua"/>
        </w:rPr>
        <w:t>D</w:t>
      </w:r>
      <w:r w:rsidR="00680CD6" w:rsidRPr="006F4F5C">
        <w:rPr>
          <w:rFonts w:ascii="Book Antiqua" w:hAnsi="Book Antiqua"/>
        </w:rPr>
        <w:t xml:space="preserve">oing and </w:t>
      </w:r>
      <w:r w:rsidR="003020F5" w:rsidRPr="006F4F5C">
        <w:rPr>
          <w:rFonts w:ascii="Book Antiqua" w:hAnsi="Book Antiqua"/>
        </w:rPr>
        <w:t>A</w:t>
      </w:r>
      <w:r w:rsidR="00680CD6" w:rsidRPr="006F4F5C">
        <w:rPr>
          <w:rFonts w:ascii="Book Antiqua" w:hAnsi="Book Antiqua"/>
        </w:rPr>
        <w:t>llowing</w:t>
      </w:r>
      <w:r w:rsidR="003020F5" w:rsidRPr="006F4F5C">
        <w:rPr>
          <w:rFonts w:ascii="Book Antiqua" w:hAnsi="Book Antiqua"/>
        </w:rPr>
        <w:t xml:space="preserve"> needs something like the requirement of due proportion.</w:t>
      </w:r>
      <w:r w:rsidR="00B27D4E" w:rsidRPr="006F4F5C">
        <w:rPr>
          <w:rFonts w:ascii="Book Antiqua" w:hAnsi="Book Antiqua"/>
        </w:rPr>
        <w:t xml:space="preserve"> We then observe that t</w:t>
      </w:r>
      <w:r w:rsidR="00101B46" w:rsidRPr="006F4F5C">
        <w:rPr>
          <w:rFonts w:ascii="Book Antiqua" w:hAnsi="Book Antiqua"/>
        </w:rPr>
        <w:t xml:space="preserve">here is a challenge in </w:t>
      </w:r>
      <w:r w:rsidR="003020F5" w:rsidRPr="006F4F5C">
        <w:rPr>
          <w:rFonts w:ascii="Book Antiqua" w:hAnsi="Book Antiqua"/>
        </w:rPr>
        <w:t xml:space="preserve">setting out this requirement.  We face difficulties </w:t>
      </w:r>
      <w:r w:rsidR="00101B46" w:rsidRPr="006F4F5C">
        <w:rPr>
          <w:rFonts w:ascii="Book Antiqua" w:hAnsi="Book Antiqua"/>
        </w:rPr>
        <w:t>explaining what conditions must be met for allowing harm to be permissible.  Consider the following cases</w:t>
      </w:r>
      <w:r w:rsidR="00B27D4E" w:rsidRPr="006F4F5C">
        <w:rPr>
          <w:rFonts w:ascii="Book Antiqua" w:hAnsi="Book Antiqua"/>
        </w:rPr>
        <w:t xml:space="preserve"> in which </w:t>
      </w:r>
      <w:r w:rsidR="00B918C1" w:rsidRPr="006F4F5C">
        <w:rPr>
          <w:rFonts w:ascii="Book Antiqua" w:hAnsi="Book Antiqua"/>
        </w:rPr>
        <w:t xml:space="preserve">both Fred and I </w:t>
      </w:r>
      <w:r w:rsidR="00EC7313" w:rsidRPr="006F4F5C">
        <w:rPr>
          <w:rFonts w:ascii="Book Antiqua" w:hAnsi="Book Antiqua"/>
        </w:rPr>
        <w:t xml:space="preserve">are being </w:t>
      </w:r>
      <w:r w:rsidR="00AC47CB" w:rsidRPr="006F4F5C">
        <w:rPr>
          <w:rFonts w:ascii="Book Antiqua" w:hAnsi="Book Antiqua"/>
        </w:rPr>
        <w:t>attacked</w:t>
      </w:r>
      <w:r w:rsidR="00EC7313" w:rsidRPr="006F4F5C">
        <w:rPr>
          <w:rFonts w:ascii="Book Antiqua" w:hAnsi="Book Antiqua"/>
        </w:rPr>
        <w:t xml:space="preserve"> by zombies</w:t>
      </w:r>
      <w:r w:rsidR="00101B46" w:rsidRPr="006F4F5C">
        <w:rPr>
          <w:rFonts w:ascii="Book Antiqua" w:hAnsi="Book Antiqua"/>
        </w:rPr>
        <w:t>:</w:t>
      </w:r>
    </w:p>
    <w:p w14:paraId="40D814D9" w14:textId="77777777" w:rsidR="00101B46" w:rsidRPr="006F4F5C" w:rsidRDefault="002D0FEE" w:rsidP="00455776">
      <w:pPr>
        <w:spacing w:line="360" w:lineRule="auto"/>
        <w:jc w:val="both"/>
        <w:rPr>
          <w:rFonts w:ascii="Book Antiqua" w:hAnsi="Book Antiqua"/>
        </w:rPr>
      </w:pPr>
      <w:r w:rsidRPr="006F4F5C">
        <w:rPr>
          <w:rFonts w:ascii="Book Antiqua" w:hAnsi="Book Antiqua"/>
        </w:rPr>
        <w:t>One-gun</w:t>
      </w:r>
      <w:r w:rsidR="00101B46" w:rsidRPr="006F4F5C">
        <w:rPr>
          <w:rFonts w:ascii="Book Antiqua" w:hAnsi="Book Antiqua"/>
        </w:rPr>
        <w:t xml:space="preserve">:  </w:t>
      </w:r>
      <w:r w:rsidR="00EC7313" w:rsidRPr="006F4F5C">
        <w:rPr>
          <w:rFonts w:ascii="Book Antiqua" w:hAnsi="Book Antiqua"/>
        </w:rPr>
        <w:t>Fred</w:t>
      </w:r>
      <w:r w:rsidR="00AC47CB" w:rsidRPr="006F4F5C">
        <w:rPr>
          <w:rFonts w:ascii="Book Antiqua" w:hAnsi="Book Antiqua"/>
        </w:rPr>
        <w:t xml:space="preserve"> has no weapon to defend himself.  I have a weapon but do not give it to him because I am using it</w:t>
      </w:r>
      <w:r w:rsidR="001E5E7D" w:rsidRPr="006F4F5C">
        <w:rPr>
          <w:rFonts w:ascii="Book Antiqua" w:hAnsi="Book Antiqua"/>
        </w:rPr>
        <w:t xml:space="preserve"> to defend myself</w:t>
      </w:r>
      <w:r w:rsidR="00EC7313" w:rsidRPr="006F4F5C">
        <w:rPr>
          <w:rFonts w:ascii="Book Antiqua" w:hAnsi="Book Antiqua"/>
        </w:rPr>
        <w:t>.</w:t>
      </w:r>
      <w:r w:rsidR="001E5E7D" w:rsidRPr="006F4F5C">
        <w:rPr>
          <w:rFonts w:ascii="Book Antiqua" w:hAnsi="Book Antiqua"/>
        </w:rPr>
        <w:t xml:space="preserve">  I escape.  Fred dies.</w:t>
      </w:r>
    </w:p>
    <w:p w14:paraId="3CA4A658" w14:textId="6B0AB1EB" w:rsidR="006D03A2" w:rsidRPr="006F4F5C" w:rsidRDefault="002D0FEE" w:rsidP="00455776">
      <w:pPr>
        <w:spacing w:line="360" w:lineRule="auto"/>
        <w:jc w:val="both"/>
        <w:rPr>
          <w:rFonts w:ascii="Book Antiqua" w:hAnsi="Book Antiqua"/>
        </w:rPr>
      </w:pPr>
      <w:r w:rsidRPr="006F4F5C">
        <w:rPr>
          <w:rFonts w:ascii="Book Antiqua" w:hAnsi="Book Antiqua"/>
        </w:rPr>
        <w:t>Bait</w:t>
      </w:r>
      <w:r w:rsidR="00EC7313" w:rsidRPr="006F4F5C">
        <w:rPr>
          <w:rFonts w:ascii="Book Antiqua" w:hAnsi="Book Antiqua"/>
        </w:rPr>
        <w:t>:</w:t>
      </w:r>
      <w:r w:rsidR="00AC47CB" w:rsidRPr="006F4F5C">
        <w:rPr>
          <w:rFonts w:ascii="Book Antiqua" w:hAnsi="Book Antiqua"/>
        </w:rPr>
        <w:t xml:space="preserve">  I have many guns but due to my position I cannot shoot my way out.  I could easily throw a gun to Fred who is closer to an exit and could use it to shoot hi</w:t>
      </w:r>
      <w:r w:rsidR="008E2A7D" w:rsidRPr="006F4F5C">
        <w:rPr>
          <w:rFonts w:ascii="Book Antiqua" w:hAnsi="Book Antiqua"/>
        </w:rPr>
        <w:t>s</w:t>
      </w:r>
      <w:r w:rsidR="00AC47CB" w:rsidRPr="006F4F5C">
        <w:rPr>
          <w:rFonts w:ascii="Book Antiqua" w:hAnsi="Book Antiqua"/>
        </w:rPr>
        <w:t xml:space="preserve"> way ou</w:t>
      </w:r>
      <w:r w:rsidR="001E5E7D" w:rsidRPr="006F4F5C">
        <w:rPr>
          <w:rFonts w:ascii="Book Antiqua" w:hAnsi="Book Antiqua"/>
        </w:rPr>
        <w:t>t.</w:t>
      </w:r>
      <w:r w:rsidR="00D62C19" w:rsidRPr="006F4F5C">
        <w:rPr>
          <w:rFonts w:ascii="Book Antiqua" w:hAnsi="Book Antiqua"/>
        </w:rPr>
        <w:t xml:space="preserve">  If I do so, Fred will escape and I will die.</w:t>
      </w:r>
      <w:r w:rsidR="001E5E7D" w:rsidRPr="006F4F5C">
        <w:rPr>
          <w:rFonts w:ascii="Book Antiqua" w:hAnsi="Book Antiqua"/>
        </w:rPr>
        <w:t xml:space="preserve">  If </w:t>
      </w:r>
      <w:r w:rsidR="00D62C19" w:rsidRPr="006F4F5C">
        <w:rPr>
          <w:rFonts w:ascii="Book Antiqua" w:hAnsi="Book Antiqua"/>
        </w:rPr>
        <w:t xml:space="preserve">I do not give Fred a gun, the zombies will overpower him and </w:t>
      </w:r>
      <w:r w:rsidR="001E5E7D" w:rsidRPr="006F4F5C">
        <w:rPr>
          <w:rFonts w:ascii="Book Antiqua" w:hAnsi="Book Antiqua"/>
        </w:rPr>
        <w:t>the resulting feeding frenzy</w:t>
      </w:r>
      <w:r w:rsidR="00D62C19" w:rsidRPr="006F4F5C">
        <w:rPr>
          <w:rFonts w:ascii="Book Antiqua" w:hAnsi="Book Antiqua"/>
        </w:rPr>
        <w:t xml:space="preserve"> will allow me to escape</w:t>
      </w:r>
      <w:r w:rsidR="001E5E7D" w:rsidRPr="006F4F5C">
        <w:rPr>
          <w:rFonts w:ascii="Book Antiqua" w:hAnsi="Book Antiqua"/>
        </w:rPr>
        <w:t>.  I do not give him the gun.  I escape.  Fred dies.</w:t>
      </w:r>
    </w:p>
    <w:p w14:paraId="138E4BD3" w14:textId="77777777" w:rsidR="006D03A2" w:rsidRPr="006F4F5C" w:rsidRDefault="006D03A2" w:rsidP="00455776">
      <w:pPr>
        <w:spacing w:line="360" w:lineRule="auto"/>
        <w:jc w:val="both"/>
        <w:rPr>
          <w:rFonts w:ascii="Book Antiqua" w:hAnsi="Book Antiqua"/>
        </w:rPr>
      </w:pPr>
      <w:r w:rsidRPr="006F4F5C">
        <w:rPr>
          <w:rFonts w:ascii="Book Antiqua" w:hAnsi="Book Antiqua"/>
        </w:rPr>
        <w:t>The sa</w:t>
      </w:r>
      <w:r w:rsidR="009A2B2F" w:rsidRPr="006F4F5C">
        <w:rPr>
          <w:rFonts w:ascii="Book Antiqua" w:hAnsi="Book Antiqua"/>
        </w:rPr>
        <w:t>me phenomenon</w:t>
      </w:r>
      <w:r w:rsidRPr="006F4F5C">
        <w:rPr>
          <w:rFonts w:ascii="Book Antiqua" w:hAnsi="Book Antiqua"/>
        </w:rPr>
        <w:t>, on a larger scale,</w:t>
      </w:r>
      <w:r w:rsidR="001E5E7D" w:rsidRPr="006F4F5C">
        <w:rPr>
          <w:rFonts w:ascii="Book Antiqua" w:hAnsi="Book Antiqua"/>
        </w:rPr>
        <w:t xml:space="preserve"> </w:t>
      </w:r>
      <w:r w:rsidRPr="006F4F5C">
        <w:rPr>
          <w:rFonts w:ascii="Book Antiqua" w:hAnsi="Book Antiqua"/>
        </w:rPr>
        <w:t xml:space="preserve">is </w:t>
      </w:r>
      <w:r w:rsidR="009A2B2F" w:rsidRPr="006F4F5C">
        <w:rPr>
          <w:rFonts w:ascii="Book Antiqua" w:hAnsi="Book Antiqua"/>
        </w:rPr>
        <w:t>common in medicine/ medical research:</w:t>
      </w:r>
    </w:p>
    <w:p w14:paraId="54FF8690" w14:textId="77777777" w:rsidR="009A2B2F" w:rsidRPr="006F4F5C" w:rsidRDefault="009A2B2F" w:rsidP="001C29CA">
      <w:pPr>
        <w:spacing w:line="360" w:lineRule="auto"/>
        <w:jc w:val="both"/>
        <w:rPr>
          <w:rFonts w:ascii="Book Antiqua" w:hAnsi="Book Antiqua"/>
        </w:rPr>
      </w:pPr>
      <w:r w:rsidRPr="006F4F5C">
        <w:rPr>
          <w:rFonts w:ascii="Book Antiqua" w:hAnsi="Book Antiqua"/>
        </w:rPr>
        <w:t xml:space="preserve">Shortage:  </w:t>
      </w:r>
      <w:r w:rsidR="00127A1F" w:rsidRPr="006F4F5C">
        <w:rPr>
          <w:rFonts w:ascii="Book Antiqua" w:hAnsi="Book Antiqua"/>
        </w:rPr>
        <w:t>3000</w:t>
      </w:r>
      <w:r w:rsidRPr="006F4F5C">
        <w:rPr>
          <w:rFonts w:ascii="Book Antiqua" w:hAnsi="Book Antiqua"/>
        </w:rPr>
        <w:t xml:space="preserve"> people suffer from a disease.  If we tried to treat this disease we would </w:t>
      </w:r>
      <w:r w:rsidR="00127A1F" w:rsidRPr="006F4F5C">
        <w:rPr>
          <w:rFonts w:ascii="Book Antiqua" w:hAnsi="Book Antiqua"/>
        </w:rPr>
        <w:t xml:space="preserve">have a 95% </w:t>
      </w:r>
      <w:r w:rsidRPr="006F4F5C">
        <w:rPr>
          <w:rFonts w:ascii="Book Antiqua" w:hAnsi="Book Antiqua"/>
        </w:rPr>
        <w:t>probab</w:t>
      </w:r>
      <w:r w:rsidR="00127A1F" w:rsidRPr="006F4F5C">
        <w:rPr>
          <w:rFonts w:ascii="Book Antiqua" w:hAnsi="Book Antiqua"/>
        </w:rPr>
        <w:t>i</w:t>
      </w:r>
      <w:r w:rsidRPr="006F4F5C">
        <w:rPr>
          <w:rFonts w:ascii="Book Antiqua" w:hAnsi="Book Antiqua"/>
        </w:rPr>
        <w:t>l</w:t>
      </w:r>
      <w:r w:rsidR="00127A1F" w:rsidRPr="006F4F5C">
        <w:rPr>
          <w:rFonts w:ascii="Book Antiqua" w:hAnsi="Book Antiqua"/>
        </w:rPr>
        <w:t>it</w:t>
      </w:r>
      <w:r w:rsidRPr="006F4F5C">
        <w:rPr>
          <w:rFonts w:ascii="Book Antiqua" w:hAnsi="Book Antiqua"/>
        </w:rPr>
        <w:t xml:space="preserve">y </w:t>
      </w:r>
      <w:r w:rsidR="00127A1F" w:rsidRPr="006F4F5C">
        <w:rPr>
          <w:rFonts w:ascii="Book Antiqua" w:hAnsi="Book Antiqua"/>
        </w:rPr>
        <w:t>of success</w:t>
      </w:r>
      <w:r w:rsidRPr="006F4F5C">
        <w:rPr>
          <w:rFonts w:ascii="Book Antiqua" w:hAnsi="Book Antiqua"/>
        </w:rPr>
        <w:t xml:space="preserve"> but it would take a </w:t>
      </w:r>
      <w:r w:rsidR="001C29CA" w:rsidRPr="006F4F5C">
        <w:rPr>
          <w:rFonts w:ascii="Book Antiqua" w:hAnsi="Book Antiqua"/>
        </w:rPr>
        <w:t>lot</w:t>
      </w:r>
      <w:r w:rsidRPr="006F4F5C">
        <w:rPr>
          <w:rFonts w:ascii="Book Antiqua" w:hAnsi="Book Antiqua"/>
        </w:rPr>
        <w:t xml:space="preserve"> of resources.  We decide to devote our resources to research into another disease which affects a different group of </w:t>
      </w:r>
      <w:r w:rsidR="00127A1F" w:rsidRPr="006F4F5C">
        <w:rPr>
          <w:rFonts w:ascii="Book Antiqua" w:hAnsi="Book Antiqua"/>
        </w:rPr>
        <w:t xml:space="preserve">100 000 </w:t>
      </w:r>
      <w:r w:rsidRPr="006F4F5C">
        <w:rPr>
          <w:rFonts w:ascii="Book Antiqua" w:hAnsi="Book Antiqua"/>
        </w:rPr>
        <w:t>people</w:t>
      </w:r>
      <w:r w:rsidR="00733A6C" w:rsidRPr="006F4F5C">
        <w:rPr>
          <w:rFonts w:ascii="Book Antiqua" w:hAnsi="Book Antiqua"/>
        </w:rPr>
        <w:t>, raising our probability of cur</w:t>
      </w:r>
      <w:r w:rsidR="00127A1F" w:rsidRPr="006F4F5C">
        <w:rPr>
          <w:rFonts w:ascii="Book Antiqua" w:hAnsi="Book Antiqua"/>
        </w:rPr>
        <w:t xml:space="preserve">ing that disease from </w:t>
      </w:r>
      <w:r w:rsidR="00733A6C" w:rsidRPr="006F4F5C">
        <w:rPr>
          <w:rFonts w:ascii="Book Antiqua" w:hAnsi="Book Antiqua"/>
        </w:rPr>
        <w:t>10% to 95%</w:t>
      </w:r>
      <w:r w:rsidRPr="006F4F5C">
        <w:rPr>
          <w:rFonts w:ascii="Book Antiqua" w:hAnsi="Book Antiqua"/>
        </w:rPr>
        <w:t>.</w:t>
      </w:r>
    </w:p>
    <w:p w14:paraId="69DA22E5" w14:textId="77777777" w:rsidR="009A2B2F" w:rsidRPr="006F4F5C" w:rsidRDefault="009A2B2F" w:rsidP="00455776">
      <w:pPr>
        <w:spacing w:line="360" w:lineRule="auto"/>
        <w:jc w:val="both"/>
        <w:rPr>
          <w:rFonts w:ascii="Book Antiqua" w:hAnsi="Book Antiqua"/>
        </w:rPr>
      </w:pPr>
      <w:r w:rsidRPr="006F4F5C">
        <w:rPr>
          <w:rFonts w:ascii="Book Antiqua" w:hAnsi="Book Antiqua"/>
        </w:rPr>
        <w:t xml:space="preserve">Experiment:  </w:t>
      </w:r>
      <w:r w:rsidR="00733A6C" w:rsidRPr="006F4F5C">
        <w:rPr>
          <w:rFonts w:ascii="Book Antiqua" w:hAnsi="Book Antiqua"/>
        </w:rPr>
        <w:t>3000</w:t>
      </w:r>
      <w:r w:rsidRPr="006F4F5C">
        <w:rPr>
          <w:rFonts w:ascii="Book Antiqua" w:hAnsi="Book Antiqua"/>
        </w:rPr>
        <w:t xml:space="preserve"> people suffer from a disease.  If we tried to treat this disease we would </w:t>
      </w:r>
      <w:r w:rsidR="00733A6C" w:rsidRPr="006F4F5C">
        <w:rPr>
          <w:rFonts w:ascii="Book Antiqua" w:hAnsi="Book Antiqua"/>
        </w:rPr>
        <w:t>have a 95% probability of success</w:t>
      </w:r>
      <w:r w:rsidRPr="006F4F5C">
        <w:rPr>
          <w:rFonts w:ascii="Book Antiqua" w:hAnsi="Book Antiqua"/>
        </w:rPr>
        <w:t>.  We do not treat the suffer</w:t>
      </w:r>
      <w:r w:rsidR="00733A6C" w:rsidRPr="006F4F5C">
        <w:rPr>
          <w:rFonts w:ascii="Book Antiqua" w:hAnsi="Book Antiqua"/>
        </w:rPr>
        <w:t>ers because observation of the</w:t>
      </w:r>
      <w:r w:rsidRPr="006F4F5C">
        <w:rPr>
          <w:rFonts w:ascii="Book Antiqua" w:hAnsi="Book Antiqua"/>
        </w:rPr>
        <w:t xml:space="preserve"> deterioration</w:t>
      </w:r>
      <w:r w:rsidR="00733A6C" w:rsidRPr="006F4F5C">
        <w:rPr>
          <w:rFonts w:ascii="Book Antiqua" w:hAnsi="Book Antiqua"/>
        </w:rPr>
        <w:t xml:space="preserve"> in such a large data sample</w:t>
      </w:r>
      <w:r w:rsidRPr="006F4F5C">
        <w:rPr>
          <w:rFonts w:ascii="Book Antiqua" w:hAnsi="Book Antiqua"/>
        </w:rPr>
        <w:t xml:space="preserve"> will be of invaluable help in developing treatment for another disease which affects a different </w:t>
      </w:r>
      <w:r w:rsidR="00733A6C" w:rsidRPr="006F4F5C">
        <w:rPr>
          <w:rFonts w:ascii="Book Antiqua" w:hAnsi="Book Antiqua"/>
        </w:rPr>
        <w:t>100 000 people, raising our probability of curing that disease from 10% to 95%</w:t>
      </w:r>
      <w:r w:rsidRPr="006F4F5C">
        <w:rPr>
          <w:rFonts w:ascii="Book Antiqua" w:hAnsi="Book Antiqua"/>
        </w:rPr>
        <w:t xml:space="preserve">. </w:t>
      </w:r>
    </w:p>
    <w:p w14:paraId="70798A33" w14:textId="77777777" w:rsidR="00127A1F" w:rsidRPr="006F4F5C" w:rsidRDefault="00127A1F" w:rsidP="00455776">
      <w:pPr>
        <w:spacing w:line="360" w:lineRule="auto"/>
        <w:jc w:val="both"/>
        <w:rPr>
          <w:rFonts w:ascii="Book Antiqua" w:hAnsi="Book Antiqua"/>
        </w:rPr>
      </w:pPr>
    </w:p>
    <w:p w14:paraId="7E6772AF" w14:textId="1FF3E61D" w:rsidR="00C551EE" w:rsidRPr="006F4F5C" w:rsidRDefault="002D0FEE" w:rsidP="00C551EE">
      <w:pPr>
        <w:spacing w:line="360" w:lineRule="auto"/>
        <w:jc w:val="both"/>
        <w:rPr>
          <w:rFonts w:ascii="Book Antiqua" w:hAnsi="Book Antiqua"/>
        </w:rPr>
      </w:pPr>
      <w:r w:rsidRPr="006F4F5C">
        <w:rPr>
          <w:rFonts w:ascii="Book Antiqua" w:hAnsi="Book Antiqua"/>
        </w:rPr>
        <w:t xml:space="preserve">It is permissible to refuse to save Fred’s life in One-Gun, but not in Bait.  It is permissible to fail to treat the rare disease in Shortage but not in Experiment.   </w:t>
      </w:r>
      <w:r w:rsidR="00353ED0" w:rsidRPr="006F4F5C">
        <w:rPr>
          <w:rFonts w:ascii="Book Antiqua" w:hAnsi="Book Antiqua"/>
        </w:rPr>
        <w:t>The D</w:t>
      </w:r>
      <w:r w:rsidR="008E2A7D" w:rsidRPr="006F4F5C">
        <w:rPr>
          <w:rFonts w:ascii="Book Antiqua" w:hAnsi="Book Antiqua"/>
        </w:rPr>
        <w:t xml:space="preserve">octrine of </w:t>
      </w:r>
      <w:r w:rsidR="00353ED0" w:rsidRPr="006F4F5C">
        <w:rPr>
          <w:rFonts w:ascii="Book Antiqua" w:hAnsi="Book Antiqua"/>
        </w:rPr>
        <w:t>D</w:t>
      </w:r>
      <w:r w:rsidR="008E2A7D" w:rsidRPr="006F4F5C">
        <w:rPr>
          <w:rFonts w:ascii="Book Antiqua" w:hAnsi="Book Antiqua"/>
        </w:rPr>
        <w:t xml:space="preserve">oing and </w:t>
      </w:r>
      <w:r w:rsidR="00353ED0" w:rsidRPr="006F4F5C">
        <w:rPr>
          <w:rFonts w:ascii="Book Antiqua" w:hAnsi="Book Antiqua"/>
        </w:rPr>
        <w:t>A</w:t>
      </w:r>
      <w:r w:rsidR="008E2A7D" w:rsidRPr="006F4F5C">
        <w:rPr>
          <w:rFonts w:ascii="Book Antiqua" w:hAnsi="Book Antiqua"/>
        </w:rPr>
        <w:t>llowing</w:t>
      </w:r>
      <w:r w:rsidR="00353ED0" w:rsidRPr="006F4F5C">
        <w:rPr>
          <w:rFonts w:ascii="Book Antiqua" w:hAnsi="Book Antiqua"/>
        </w:rPr>
        <w:t xml:space="preserve"> alone can’t explain </w:t>
      </w:r>
      <w:r w:rsidRPr="006F4F5C">
        <w:rPr>
          <w:rFonts w:ascii="Book Antiqua" w:hAnsi="Book Antiqua"/>
        </w:rPr>
        <w:t>this</w:t>
      </w:r>
      <w:r w:rsidR="00353ED0" w:rsidRPr="006F4F5C">
        <w:rPr>
          <w:rFonts w:ascii="Book Antiqua" w:hAnsi="Book Antiqua"/>
        </w:rPr>
        <w:t xml:space="preserve">.  </w:t>
      </w:r>
      <w:r w:rsidRPr="006F4F5C">
        <w:rPr>
          <w:rFonts w:ascii="Book Antiqua" w:hAnsi="Book Antiqua"/>
        </w:rPr>
        <w:t>All</w:t>
      </w:r>
      <w:r w:rsidR="00353ED0" w:rsidRPr="006F4F5C">
        <w:rPr>
          <w:rFonts w:ascii="Book Antiqua" w:hAnsi="Book Antiqua"/>
        </w:rPr>
        <w:t xml:space="preserve"> cases involve merely allowing </w:t>
      </w:r>
      <w:r w:rsidRPr="006F4F5C">
        <w:rPr>
          <w:rFonts w:ascii="Book Antiqua" w:hAnsi="Book Antiqua"/>
        </w:rPr>
        <w:t>harm</w:t>
      </w:r>
      <w:r w:rsidR="00353ED0" w:rsidRPr="006F4F5C">
        <w:rPr>
          <w:rFonts w:ascii="Book Antiqua" w:hAnsi="Book Antiqua"/>
        </w:rPr>
        <w:t xml:space="preserve">.  </w:t>
      </w:r>
      <w:r w:rsidR="00881C51" w:rsidRPr="006F4F5C">
        <w:rPr>
          <w:rFonts w:ascii="Book Antiqua" w:hAnsi="Book Antiqua"/>
        </w:rPr>
        <w:t xml:space="preserve">The </w:t>
      </w:r>
      <w:r w:rsidRPr="006F4F5C">
        <w:rPr>
          <w:rFonts w:ascii="Book Antiqua" w:hAnsi="Book Antiqua"/>
        </w:rPr>
        <w:t xml:space="preserve">probability of success and the </w:t>
      </w:r>
      <w:r w:rsidR="00881C51" w:rsidRPr="006F4F5C">
        <w:rPr>
          <w:rFonts w:ascii="Book Antiqua" w:hAnsi="Book Antiqua"/>
        </w:rPr>
        <w:t xml:space="preserve">potential cost to the agent and the harm to the victim is the same in each case.  So any understanding of the constraints against allowing harm based simply on the </w:t>
      </w:r>
      <w:r w:rsidR="00881C51" w:rsidRPr="006F4F5C">
        <w:rPr>
          <w:rFonts w:ascii="Book Antiqua" w:hAnsi="Book Antiqua"/>
        </w:rPr>
        <w:lastRenderedPageBreak/>
        <w:t>D</w:t>
      </w:r>
      <w:r w:rsidR="008E2A7D" w:rsidRPr="006F4F5C">
        <w:rPr>
          <w:rFonts w:ascii="Book Antiqua" w:hAnsi="Book Antiqua"/>
        </w:rPr>
        <w:t xml:space="preserve">octrine of </w:t>
      </w:r>
      <w:r w:rsidR="00881C51" w:rsidRPr="006F4F5C">
        <w:rPr>
          <w:rFonts w:ascii="Book Antiqua" w:hAnsi="Book Antiqua"/>
        </w:rPr>
        <w:t>D</w:t>
      </w:r>
      <w:r w:rsidR="008E2A7D" w:rsidRPr="006F4F5C">
        <w:rPr>
          <w:rFonts w:ascii="Book Antiqua" w:hAnsi="Book Antiqua"/>
        </w:rPr>
        <w:t xml:space="preserve">oing and </w:t>
      </w:r>
      <w:r w:rsidR="00881C51" w:rsidRPr="006F4F5C">
        <w:rPr>
          <w:rFonts w:ascii="Book Antiqua" w:hAnsi="Book Antiqua"/>
        </w:rPr>
        <w:t>A</w:t>
      </w:r>
      <w:r w:rsidR="008E2A7D" w:rsidRPr="006F4F5C">
        <w:rPr>
          <w:rFonts w:ascii="Book Antiqua" w:hAnsi="Book Antiqua"/>
        </w:rPr>
        <w:t>llowing</w:t>
      </w:r>
      <w:r w:rsidR="00881C51" w:rsidRPr="006F4F5C">
        <w:rPr>
          <w:rFonts w:ascii="Book Antiqua" w:hAnsi="Book Antiqua"/>
        </w:rPr>
        <w:t xml:space="preserve"> plus </w:t>
      </w:r>
      <w:r w:rsidRPr="006F4F5C">
        <w:rPr>
          <w:rFonts w:ascii="Book Antiqua" w:hAnsi="Book Antiqua"/>
        </w:rPr>
        <w:t xml:space="preserve">risks of </w:t>
      </w:r>
      <w:r w:rsidR="00881C51" w:rsidRPr="006F4F5C">
        <w:rPr>
          <w:rFonts w:ascii="Book Antiqua" w:hAnsi="Book Antiqua"/>
        </w:rPr>
        <w:t>potential harms and benefits would give the same verdict in each case.  We need something like the D</w:t>
      </w:r>
      <w:r w:rsidR="008E2A7D" w:rsidRPr="006F4F5C">
        <w:rPr>
          <w:rFonts w:ascii="Book Antiqua" w:hAnsi="Book Antiqua"/>
        </w:rPr>
        <w:t xml:space="preserve">octrine of </w:t>
      </w:r>
      <w:r w:rsidR="00881C51" w:rsidRPr="006F4F5C">
        <w:rPr>
          <w:rFonts w:ascii="Book Antiqua" w:hAnsi="Book Antiqua"/>
        </w:rPr>
        <w:t>D</w:t>
      </w:r>
      <w:r w:rsidR="008E2A7D" w:rsidRPr="006F4F5C">
        <w:rPr>
          <w:rFonts w:ascii="Book Antiqua" w:hAnsi="Book Antiqua"/>
        </w:rPr>
        <w:t xml:space="preserve">ouble </w:t>
      </w:r>
      <w:r w:rsidR="00881C51" w:rsidRPr="006F4F5C">
        <w:rPr>
          <w:rFonts w:ascii="Book Antiqua" w:hAnsi="Book Antiqua"/>
        </w:rPr>
        <w:t>E</w:t>
      </w:r>
      <w:r w:rsidR="008E2A7D" w:rsidRPr="006F4F5C">
        <w:rPr>
          <w:rFonts w:ascii="Book Antiqua" w:hAnsi="Book Antiqua"/>
        </w:rPr>
        <w:t>ffect</w:t>
      </w:r>
      <w:r w:rsidR="00881C51" w:rsidRPr="006F4F5C">
        <w:rPr>
          <w:rFonts w:ascii="Book Antiqua" w:hAnsi="Book Antiqua"/>
        </w:rPr>
        <w:t xml:space="preserve"> to explain the constraints against allowing harm in </w:t>
      </w:r>
      <w:r w:rsidRPr="006F4F5C">
        <w:rPr>
          <w:rFonts w:ascii="Book Antiqua" w:hAnsi="Book Antiqua"/>
        </w:rPr>
        <w:t xml:space="preserve">Bait and </w:t>
      </w:r>
      <w:r w:rsidR="00881C51" w:rsidRPr="006F4F5C">
        <w:rPr>
          <w:rFonts w:ascii="Book Antiqua" w:hAnsi="Book Antiqua"/>
        </w:rPr>
        <w:t>Experiment</w:t>
      </w:r>
      <w:r w:rsidRPr="006F4F5C">
        <w:rPr>
          <w:rFonts w:ascii="Book Antiqua" w:hAnsi="Book Antiqua"/>
        </w:rPr>
        <w:t>.  The</w:t>
      </w:r>
      <w:r w:rsidR="00A100AB" w:rsidRPr="006F4F5C">
        <w:rPr>
          <w:rFonts w:ascii="Book Antiqua" w:hAnsi="Book Antiqua"/>
        </w:rPr>
        <w:t>s</w:t>
      </w:r>
      <w:r w:rsidRPr="006F4F5C">
        <w:rPr>
          <w:rFonts w:ascii="Book Antiqua" w:hAnsi="Book Antiqua"/>
        </w:rPr>
        <w:t>e</w:t>
      </w:r>
      <w:r w:rsidR="00A100AB" w:rsidRPr="006F4F5C">
        <w:rPr>
          <w:rFonts w:ascii="Book Antiqua" w:hAnsi="Book Antiqua"/>
        </w:rPr>
        <w:t xml:space="preserve"> </w:t>
      </w:r>
      <w:r w:rsidRPr="006F4F5C">
        <w:rPr>
          <w:rFonts w:ascii="Book Antiqua" w:hAnsi="Book Antiqua"/>
        </w:rPr>
        <w:t>are</w:t>
      </w:r>
      <w:r w:rsidR="00A100AB" w:rsidRPr="006F4F5C">
        <w:rPr>
          <w:rFonts w:ascii="Book Antiqua" w:hAnsi="Book Antiqua"/>
        </w:rPr>
        <w:t xml:space="preserve"> just </w:t>
      </w:r>
      <w:r w:rsidRPr="006F4F5C">
        <w:rPr>
          <w:rFonts w:ascii="Book Antiqua" w:hAnsi="Book Antiqua"/>
        </w:rPr>
        <w:t>two</w:t>
      </w:r>
      <w:r w:rsidR="00A100AB" w:rsidRPr="006F4F5C">
        <w:rPr>
          <w:rFonts w:ascii="Book Antiqua" w:hAnsi="Book Antiqua"/>
        </w:rPr>
        <w:t xml:space="preserve"> example</w:t>
      </w:r>
      <w:r w:rsidRPr="006F4F5C">
        <w:rPr>
          <w:rFonts w:ascii="Book Antiqua" w:hAnsi="Book Antiqua"/>
        </w:rPr>
        <w:t>s</w:t>
      </w:r>
      <w:r w:rsidR="00A100AB" w:rsidRPr="006F4F5C">
        <w:rPr>
          <w:rFonts w:ascii="Book Antiqua" w:hAnsi="Book Antiqua"/>
        </w:rPr>
        <w:t xml:space="preserve">, but similar pairs are easy to construct or to find by a glance through the literature. </w:t>
      </w:r>
    </w:p>
    <w:p w14:paraId="74B0AFA8" w14:textId="35B00F6F" w:rsidR="00FD782B" w:rsidRPr="006F4F5C" w:rsidRDefault="00C551EE" w:rsidP="00C551EE">
      <w:pPr>
        <w:spacing w:line="360" w:lineRule="auto"/>
        <w:ind w:firstLine="720"/>
        <w:jc w:val="both"/>
        <w:rPr>
          <w:rFonts w:ascii="Book Antiqua" w:hAnsi="Book Antiqua"/>
        </w:rPr>
      </w:pPr>
      <w:r>
        <w:rPr>
          <w:rFonts w:ascii="Book Antiqua" w:hAnsi="Book Antiqua"/>
        </w:rPr>
        <w:t xml:space="preserve">A few remarks are required about the interpretation of the phrase “due proportion”. </w:t>
      </w:r>
      <w:proofErr w:type="spellStart"/>
      <w:r w:rsidR="002136AC" w:rsidRPr="006F4F5C">
        <w:rPr>
          <w:rFonts w:ascii="Book Antiqua" w:hAnsi="Book Antiqua"/>
        </w:rPr>
        <w:t>Kagan</w:t>
      </w:r>
      <w:proofErr w:type="spellEnd"/>
      <w:r w:rsidR="002136AC" w:rsidRPr="006F4F5C">
        <w:rPr>
          <w:rFonts w:ascii="Book Antiqua" w:hAnsi="Book Antiqua"/>
        </w:rPr>
        <w:t xml:space="preserve"> states that we require “due proportion between the </w:t>
      </w:r>
      <w:r w:rsidR="002136AC" w:rsidRPr="006F4F5C">
        <w:rPr>
          <w:rFonts w:ascii="Book Antiqua" w:hAnsi="Book Antiqua"/>
          <w:i/>
        </w:rPr>
        <w:t>various aspects</w:t>
      </w:r>
      <w:r w:rsidR="002136AC" w:rsidRPr="006F4F5C">
        <w:rPr>
          <w:rFonts w:ascii="Book Antiqua" w:hAnsi="Book Antiqua"/>
        </w:rPr>
        <w:t xml:space="preserve"> of the outcome countenanced by the agent.”</w:t>
      </w:r>
      <w:r w:rsidR="002136AC" w:rsidRPr="006F4F5C">
        <w:rPr>
          <w:rStyle w:val="FootnoteReference"/>
          <w:rFonts w:ascii="Book Antiqua" w:hAnsi="Book Antiqua"/>
        </w:rPr>
        <w:footnoteReference w:id="44"/>
      </w:r>
      <w:r w:rsidR="002136AC" w:rsidRPr="006F4F5C">
        <w:rPr>
          <w:rFonts w:ascii="Book Antiqua" w:hAnsi="Book Antiqua"/>
        </w:rPr>
        <w:t xml:space="preserve">   </w:t>
      </w:r>
      <w:proofErr w:type="gramStart"/>
      <w:r w:rsidR="002136AC" w:rsidRPr="006F4F5C">
        <w:rPr>
          <w:rFonts w:ascii="Book Antiqua" w:hAnsi="Book Antiqua"/>
        </w:rPr>
        <w:t>So due proportion is not to be understood as simply a relationship between potential harm and potential costs.</w:t>
      </w:r>
      <w:proofErr w:type="gramEnd"/>
      <w:r w:rsidR="002136AC" w:rsidRPr="006F4F5C">
        <w:rPr>
          <w:rFonts w:ascii="Book Antiqua" w:hAnsi="Book Antiqua"/>
        </w:rPr>
        <w:t xml:space="preserve">  What it is for due proportion to be satisfied is for the behaviour to be justifiable given the potential cost to the agent, the potential harm to the victim, and any relevant facts about how the agent will countenance that harm</w:t>
      </w:r>
      <w:r w:rsidR="00411AD7" w:rsidRPr="006F4F5C">
        <w:rPr>
          <w:rFonts w:ascii="Book Antiqua" w:hAnsi="Book Antiqua"/>
        </w:rPr>
        <w:t>, the relationship between the victim and the agent, what has happened in the past etc</w:t>
      </w:r>
      <w:r w:rsidR="002136AC" w:rsidRPr="006F4F5C">
        <w:rPr>
          <w:rFonts w:ascii="Book Antiqua" w:hAnsi="Book Antiqua"/>
        </w:rPr>
        <w:t>.</w:t>
      </w:r>
      <w:r w:rsidR="00C96EF2" w:rsidRPr="006F4F5C">
        <w:rPr>
          <w:rFonts w:ascii="Book Antiqua" w:hAnsi="Book Antiqua"/>
        </w:rPr>
        <w:t xml:space="preserve">  </w:t>
      </w:r>
      <w:r>
        <w:rPr>
          <w:rFonts w:ascii="Book Antiqua" w:hAnsi="Book Antiqua"/>
        </w:rPr>
        <w:t>Th</w:t>
      </w:r>
      <w:r w:rsidR="001D2FF1">
        <w:rPr>
          <w:rFonts w:ascii="Book Antiqua" w:hAnsi="Book Antiqua"/>
        </w:rPr>
        <w:t xml:space="preserve">us </w:t>
      </w:r>
      <w:r>
        <w:rPr>
          <w:rFonts w:ascii="Book Antiqua" w:hAnsi="Book Antiqua"/>
        </w:rPr>
        <w:t>the phrase</w:t>
      </w:r>
      <w:r w:rsidR="00436B28" w:rsidRPr="006F4F5C">
        <w:rPr>
          <w:rFonts w:ascii="Book Antiqua" w:hAnsi="Book Antiqua"/>
        </w:rPr>
        <w:t xml:space="preserve"> “due proportion” is misleading insofar as it suggests as an unvarying ratio between potential harms and potential costs.  </w:t>
      </w:r>
      <w:r>
        <w:rPr>
          <w:rFonts w:ascii="Book Antiqua" w:hAnsi="Book Antiqua"/>
        </w:rPr>
        <w:t>“D</w:t>
      </w:r>
      <w:r w:rsidR="00A033DD" w:rsidRPr="006F4F5C">
        <w:rPr>
          <w:rFonts w:ascii="Book Antiqua" w:hAnsi="Book Antiqua"/>
        </w:rPr>
        <w:t>ue proportion”</w:t>
      </w:r>
      <w:r w:rsidR="00436B28" w:rsidRPr="006F4F5C">
        <w:rPr>
          <w:rFonts w:ascii="Book Antiqua" w:hAnsi="Book Antiqua"/>
        </w:rPr>
        <w:t xml:space="preserve"> is also misleading if it suggests </w:t>
      </w:r>
      <w:r w:rsidR="00C96EF2" w:rsidRPr="006F4F5C">
        <w:rPr>
          <w:rFonts w:ascii="Book Antiqua" w:hAnsi="Book Antiqua"/>
        </w:rPr>
        <w:t xml:space="preserve">an additional requirement on top of the </w:t>
      </w:r>
      <w:r w:rsidR="00436B28" w:rsidRPr="006F4F5C">
        <w:rPr>
          <w:rFonts w:ascii="Book Antiqua" w:hAnsi="Book Antiqua"/>
        </w:rPr>
        <w:t xml:space="preserve">requirement to respond appropriately to the </w:t>
      </w:r>
      <w:r w:rsidR="00C96EF2" w:rsidRPr="006F4F5C">
        <w:rPr>
          <w:rFonts w:ascii="Book Antiqua" w:hAnsi="Book Antiqua"/>
        </w:rPr>
        <w:t>various morally relevant factors</w:t>
      </w:r>
      <w:r w:rsidR="00436B28" w:rsidRPr="006F4F5C">
        <w:rPr>
          <w:rFonts w:ascii="Book Antiqua" w:hAnsi="Book Antiqua"/>
        </w:rPr>
        <w:t>.</w:t>
      </w:r>
      <w:r w:rsidR="00A033DD" w:rsidRPr="006F4F5C">
        <w:rPr>
          <w:rFonts w:ascii="Book Antiqua" w:hAnsi="Book Antiqua"/>
        </w:rPr>
        <w:t xml:space="preserve">  A moral system which combines a duty (of the appropriate strength) to promote the good with constraints (of the appropriate strengths) based on the various deontological distinctions plus appropriate recognition of any other morally relevant features will automatically cover the requirement for due proportion.</w:t>
      </w:r>
      <w:r w:rsidR="005C2505" w:rsidRPr="006F4F5C">
        <w:rPr>
          <w:rStyle w:val="FootnoteReference"/>
          <w:rFonts w:ascii="Book Antiqua" w:hAnsi="Book Antiqua"/>
        </w:rPr>
        <w:footnoteReference w:id="45"/>
      </w:r>
      <w:r w:rsidR="00A02A84" w:rsidRPr="006F4F5C">
        <w:rPr>
          <w:rFonts w:ascii="Book Antiqua" w:hAnsi="Book Antiqua"/>
        </w:rPr>
        <w:t xml:space="preserve">  Due proportion becomes a concern when we look at a deontological distinction in isolation and understand it as permitting certain types of behaviour.  It is then we need the requirement of due proportion to make sure that th</w:t>
      </w:r>
      <w:r w:rsidR="003461B4" w:rsidRPr="006F4F5C">
        <w:rPr>
          <w:rFonts w:ascii="Book Antiqua" w:hAnsi="Book Antiqua"/>
        </w:rPr>
        <w:t>is permission</w:t>
      </w:r>
      <w:r w:rsidR="00A02A84" w:rsidRPr="006F4F5C">
        <w:rPr>
          <w:rFonts w:ascii="Book Antiqua" w:hAnsi="Book Antiqua"/>
        </w:rPr>
        <w:t xml:space="preserve"> is not translated into unrestricted licence.</w:t>
      </w:r>
    </w:p>
    <w:p w14:paraId="394FAE54" w14:textId="7F6FFD65" w:rsidR="00B678E9" w:rsidRPr="006F4F5C" w:rsidRDefault="004466E0" w:rsidP="00FD782B">
      <w:pPr>
        <w:spacing w:line="360" w:lineRule="auto"/>
        <w:ind w:firstLine="720"/>
        <w:jc w:val="both"/>
        <w:rPr>
          <w:rFonts w:ascii="Book Antiqua" w:hAnsi="Book Antiqua"/>
        </w:rPr>
      </w:pPr>
      <w:r>
        <w:rPr>
          <w:rFonts w:ascii="Book Antiqua" w:hAnsi="Book Antiqua"/>
        </w:rPr>
        <w:t>C</w:t>
      </w:r>
      <w:r w:rsidR="00B678E9" w:rsidRPr="006F4F5C">
        <w:rPr>
          <w:rFonts w:ascii="Book Antiqua" w:hAnsi="Book Antiqua"/>
        </w:rPr>
        <w:t>onsideration of the requir</w:t>
      </w:r>
      <w:r w:rsidR="0025136D" w:rsidRPr="006F4F5C">
        <w:rPr>
          <w:rFonts w:ascii="Book Antiqua" w:hAnsi="Book Antiqua"/>
        </w:rPr>
        <w:t>ement for due proportion for the D</w:t>
      </w:r>
      <w:r w:rsidR="00A11976" w:rsidRPr="006F4F5C">
        <w:rPr>
          <w:rFonts w:ascii="Book Antiqua" w:hAnsi="Book Antiqua"/>
        </w:rPr>
        <w:t xml:space="preserve">octrine of </w:t>
      </w:r>
      <w:r w:rsidR="0025136D" w:rsidRPr="006F4F5C">
        <w:rPr>
          <w:rFonts w:ascii="Book Antiqua" w:hAnsi="Book Antiqua"/>
        </w:rPr>
        <w:t>D</w:t>
      </w:r>
      <w:r w:rsidR="00A11976" w:rsidRPr="006F4F5C">
        <w:rPr>
          <w:rFonts w:ascii="Book Antiqua" w:hAnsi="Book Antiqua"/>
        </w:rPr>
        <w:t xml:space="preserve">ouble </w:t>
      </w:r>
      <w:r w:rsidR="0025136D" w:rsidRPr="006F4F5C">
        <w:rPr>
          <w:rFonts w:ascii="Book Antiqua" w:hAnsi="Book Antiqua"/>
        </w:rPr>
        <w:t>E</w:t>
      </w:r>
      <w:r w:rsidR="00A11976" w:rsidRPr="006F4F5C">
        <w:rPr>
          <w:rFonts w:ascii="Book Antiqua" w:hAnsi="Book Antiqua"/>
        </w:rPr>
        <w:t>ffect</w:t>
      </w:r>
      <w:r w:rsidR="0025136D" w:rsidRPr="006F4F5C">
        <w:rPr>
          <w:rFonts w:ascii="Book Antiqua" w:hAnsi="Book Antiqua"/>
        </w:rPr>
        <w:t xml:space="preserve"> </w:t>
      </w:r>
      <w:r w:rsidR="00B678E9" w:rsidRPr="006F4F5C">
        <w:rPr>
          <w:rFonts w:ascii="Book Antiqua" w:hAnsi="Book Antiqua"/>
        </w:rPr>
        <w:t xml:space="preserve">and </w:t>
      </w:r>
      <w:r w:rsidR="0025136D" w:rsidRPr="006F4F5C">
        <w:rPr>
          <w:rFonts w:ascii="Book Antiqua" w:hAnsi="Book Antiqua"/>
        </w:rPr>
        <w:t>the D</w:t>
      </w:r>
      <w:r w:rsidR="00A11976" w:rsidRPr="006F4F5C">
        <w:rPr>
          <w:rFonts w:ascii="Book Antiqua" w:hAnsi="Book Antiqua"/>
        </w:rPr>
        <w:t xml:space="preserve">octrine of </w:t>
      </w:r>
      <w:r w:rsidR="0025136D" w:rsidRPr="006F4F5C">
        <w:rPr>
          <w:rFonts w:ascii="Book Antiqua" w:hAnsi="Book Antiqua"/>
        </w:rPr>
        <w:t>D</w:t>
      </w:r>
      <w:r w:rsidR="00A11976" w:rsidRPr="006F4F5C">
        <w:rPr>
          <w:rFonts w:ascii="Book Antiqua" w:hAnsi="Book Antiqua"/>
        </w:rPr>
        <w:t xml:space="preserve">oing and </w:t>
      </w:r>
      <w:r w:rsidR="0025136D" w:rsidRPr="006F4F5C">
        <w:rPr>
          <w:rFonts w:ascii="Book Antiqua" w:hAnsi="Book Antiqua"/>
        </w:rPr>
        <w:t>A</w:t>
      </w:r>
      <w:r w:rsidR="00A11976" w:rsidRPr="006F4F5C">
        <w:rPr>
          <w:rFonts w:ascii="Book Antiqua" w:hAnsi="Book Antiqua"/>
        </w:rPr>
        <w:t>llowing</w:t>
      </w:r>
      <w:r w:rsidR="0025136D" w:rsidRPr="006F4F5C">
        <w:rPr>
          <w:rFonts w:ascii="Book Antiqua" w:hAnsi="Book Antiqua"/>
        </w:rPr>
        <w:t xml:space="preserve"> show</w:t>
      </w:r>
      <w:r>
        <w:rPr>
          <w:rFonts w:ascii="Book Antiqua" w:hAnsi="Book Antiqua"/>
        </w:rPr>
        <w:t>s</w:t>
      </w:r>
      <w:r w:rsidR="0025136D" w:rsidRPr="006F4F5C">
        <w:rPr>
          <w:rFonts w:ascii="Book Antiqua" w:hAnsi="Book Antiqua"/>
        </w:rPr>
        <w:t xml:space="preserve"> that neither of these principles </w:t>
      </w:r>
      <w:r w:rsidR="00C61F58" w:rsidRPr="006F4F5C">
        <w:rPr>
          <w:rFonts w:ascii="Book Antiqua" w:hAnsi="Book Antiqua"/>
        </w:rPr>
        <w:t>should</w:t>
      </w:r>
      <w:r w:rsidR="0025136D" w:rsidRPr="006F4F5C">
        <w:rPr>
          <w:rFonts w:ascii="Book Antiqua" w:hAnsi="Book Antiqua"/>
        </w:rPr>
        <w:t xml:space="preserve"> stand alone.  Without the D</w:t>
      </w:r>
      <w:r w:rsidR="00A11976" w:rsidRPr="006F4F5C">
        <w:rPr>
          <w:rFonts w:ascii="Book Antiqua" w:hAnsi="Book Antiqua"/>
        </w:rPr>
        <w:t xml:space="preserve">octrine of </w:t>
      </w:r>
      <w:r w:rsidR="0025136D" w:rsidRPr="006F4F5C">
        <w:rPr>
          <w:rFonts w:ascii="Book Antiqua" w:hAnsi="Book Antiqua"/>
        </w:rPr>
        <w:t>D</w:t>
      </w:r>
      <w:r w:rsidR="00A11976" w:rsidRPr="006F4F5C">
        <w:rPr>
          <w:rFonts w:ascii="Book Antiqua" w:hAnsi="Book Antiqua"/>
        </w:rPr>
        <w:t xml:space="preserve">oing and </w:t>
      </w:r>
      <w:r w:rsidR="0025136D" w:rsidRPr="006F4F5C">
        <w:rPr>
          <w:rFonts w:ascii="Book Antiqua" w:hAnsi="Book Antiqua"/>
        </w:rPr>
        <w:t>A</w:t>
      </w:r>
      <w:r w:rsidR="00A11976" w:rsidRPr="006F4F5C">
        <w:rPr>
          <w:rFonts w:ascii="Book Antiqua" w:hAnsi="Book Antiqua"/>
        </w:rPr>
        <w:t>llowing</w:t>
      </w:r>
      <w:r w:rsidR="0025136D" w:rsidRPr="006F4F5C">
        <w:rPr>
          <w:rFonts w:ascii="Book Antiqua" w:hAnsi="Book Antiqua"/>
        </w:rPr>
        <w:t>, the D</w:t>
      </w:r>
      <w:r w:rsidR="00A11976" w:rsidRPr="006F4F5C">
        <w:rPr>
          <w:rFonts w:ascii="Book Antiqua" w:hAnsi="Book Antiqua"/>
        </w:rPr>
        <w:t xml:space="preserve">octrine of </w:t>
      </w:r>
      <w:r w:rsidR="0025136D" w:rsidRPr="006F4F5C">
        <w:rPr>
          <w:rFonts w:ascii="Book Antiqua" w:hAnsi="Book Antiqua"/>
        </w:rPr>
        <w:t>D</w:t>
      </w:r>
      <w:r w:rsidR="00A11976" w:rsidRPr="006F4F5C">
        <w:rPr>
          <w:rFonts w:ascii="Book Antiqua" w:hAnsi="Book Antiqua"/>
        </w:rPr>
        <w:t xml:space="preserve">ouble </w:t>
      </w:r>
      <w:r w:rsidR="0025136D" w:rsidRPr="006F4F5C">
        <w:rPr>
          <w:rFonts w:ascii="Book Antiqua" w:hAnsi="Book Antiqua"/>
        </w:rPr>
        <w:t>E</w:t>
      </w:r>
      <w:r w:rsidR="00A11976" w:rsidRPr="006F4F5C">
        <w:rPr>
          <w:rFonts w:ascii="Book Antiqua" w:hAnsi="Book Antiqua"/>
        </w:rPr>
        <w:t>ffect</w:t>
      </w:r>
      <w:r w:rsidR="0025136D" w:rsidRPr="006F4F5C">
        <w:rPr>
          <w:rFonts w:ascii="Book Antiqua" w:hAnsi="Book Antiqua"/>
        </w:rPr>
        <w:t xml:space="preserve"> </w:t>
      </w:r>
      <w:r w:rsidR="00A11976" w:rsidRPr="006F4F5C">
        <w:rPr>
          <w:rFonts w:ascii="Book Antiqua" w:hAnsi="Book Antiqua"/>
        </w:rPr>
        <w:t>cannot give a consistent, plausible account of the limits of the permission to countenance merely foreseen harm.</w:t>
      </w:r>
      <w:r w:rsidR="0025136D" w:rsidRPr="006F4F5C">
        <w:rPr>
          <w:rFonts w:ascii="Book Antiqua" w:hAnsi="Book Antiqua"/>
        </w:rPr>
        <w:t xml:space="preserve">  Similarly, without the D</w:t>
      </w:r>
      <w:r w:rsidR="00A11976" w:rsidRPr="006F4F5C">
        <w:rPr>
          <w:rFonts w:ascii="Book Antiqua" w:hAnsi="Book Antiqua"/>
        </w:rPr>
        <w:t xml:space="preserve">octrine of </w:t>
      </w:r>
      <w:r w:rsidR="0025136D" w:rsidRPr="006F4F5C">
        <w:rPr>
          <w:rFonts w:ascii="Book Antiqua" w:hAnsi="Book Antiqua"/>
        </w:rPr>
        <w:t>D</w:t>
      </w:r>
      <w:r w:rsidR="00A11976" w:rsidRPr="006F4F5C">
        <w:rPr>
          <w:rFonts w:ascii="Book Antiqua" w:hAnsi="Book Antiqua"/>
        </w:rPr>
        <w:t xml:space="preserve">ouble </w:t>
      </w:r>
      <w:r w:rsidR="0025136D" w:rsidRPr="006F4F5C">
        <w:rPr>
          <w:rFonts w:ascii="Book Antiqua" w:hAnsi="Book Antiqua"/>
        </w:rPr>
        <w:t>E</w:t>
      </w:r>
      <w:r w:rsidR="00A11976" w:rsidRPr="006F4F5C">
        <w:rPr>
          <w:rFonts w:ascii="Book Antiqua" w:hAnsi="Book Antiqua"/>
        </w:rPr>
        <w:t>ffect</w:t>
      </w:r>
      <w:r w:rsidR="0025136D" w:rsidRPr="006F4F5C">
        <w:rPr>
          <w:rFonts w:ascii="Book Antiqua" w:hAnsi="Book Antiqua"/>
        </w:rPr>
        <w:t>, the D</w:t>
      </w:r>
      <w:r w:rsidR="00A11976" w:rsidRPr="006F4F5C">
        <w:rPr>
          <w:rFonts w:ascii="Book Antiqua" w:hAnsi="Book Antiqua"/>
        </w:rPr>
        <w:t xml:space="preserve">octrine of </w:t>
      </w:r>
      <w:r w:rsidR="0025136D" w:rsidRPr="006F4F5C">
        <w:rPr>
          <w:rFonts w:ascii="Book Antiqua" w:hAnsi="Book Antiqua"/>
        </w:rPr>
        <w:t>D</w:t>
      </w:r>
      <w:r w:rsidR="00A11976" w:rsidRPr="006F4F5C">
        <w:rPr>
          <w:rFonts w:ascii="Book Antiqua" w:hAnsi="Book Antiqua"/>
        </w:rPr>
        <w:t xml:space="preserve">oing and </w:t>
      </w:r>
      <w:r w:rsidR="0025136D" w:rsidRPr="006F4F5C">
        <w:rPr>
          <w:rFonts w:ascii="Book Antiqua" w:hAnsi="Book Antiqua"/>
        </w:rPr>
        <w:t>A</w:t>
      </w:r>
      <w:r w:rsidR="00A11976" w:rsidRPr="006F4F5C">
        <w:rPr>
          <w:rFonts w:ascii="Book Antiqua" w:hAnsi="Book Antiqua"/>
        </w:rPr>
        <w:t>llowing</w:t>
      </w:r>
      <w:r w:rsidR="0025136D" w:rsidRPr="006F4F5C">
        <w:rPr>
          <w:rFonts w:ascii="Book Antiqua" w:hAnsi="Book Antiqua"/>
        </w:rPr>
        <w:t xml:space="preserve"> cannot give a consistent account of the limits of the permission to allow </w:t>
      </w:r>
      <w:r w:rsidR="0025136D" w:rsidRPr="006F4F5C">
        <w:rPr>
          <w:rFonts w:ascii="Book Antiqua" w:hAnsi="Book Antiqua"/>
        </w:rPr>
        <w:lastRenderedPageBreak/>
        <w:t>harm.  These doctrines should be understood not as rivals, but as mutually supporting sister principles.</w:t>
      </w:r>
    </w:p>
    <w:p w14:paraId="07FF058D" w14:textId="47BAEFE1" w:rsidR="008C1CE2" w:rsidRPr="006F4F5C" w:rsidRDefault="00785E8A" w:rsidP="00F75490">
      <w:pPr>
        <w:spacing w:line="360" w:lineRule="auto"/>
        <w:ind w:firstLine="720"/>
        <w:jc w:val="both"/>
        <w:rPr>
          <w:rFonts w:ascii="Book Antiqua" w:hAnsi="Book Antiqua"/>
        </w:rPr>
      </w:pPr>
      <w:r w:rsidRPr="006F4F5C">
        <w:rPr>
          <w:rFonts w:ascii="Book Antiqua" w:hAnsi="Book Antiqua"/>
        </w:rPr>
        <w:t>One might worry</w:t>
      </w:r>
      <w:r w:rsidR="00226CB8" w:rsidRPr="006F4F5C">
        <w:rPr>
          <w:rFonts w:ascii="Book Antiqua" w:hAnsi="Book Antiqua"/>
        </w:rPr>
        <w:t xml:space="preserve"> that this argument is simply a</w:t>
      </w:r>
      <w:r w:rsidRPr="006F4F5C">
        <w:rPr>
          <w:rFonts w:ascii="Book Antiqua" w:hAnsi="Book Antiqua"/>
        </w:rPr>
        <w:t xml:space="preserve"> disguised version of the simple claim that some of our intuitions seem to reflect the D</w:t>
      </w:r>
      <w:r w:rsidR="00847C39" w:rsidRPr="006F4F5C">
        <w:rPr>
          <w:rFonts w:ascii="Book Antiqua" w:hAnsi="Book Antiqua"/>
        </w:rPr>
        <w:t xml:space="preserve">octrine of </w:t>
      </w:r>
      <w:r w:rsidRPr="006F4F5C">
        <w:rPr>
          <w:rFonts w:ascii="Book Antiqua" w:hAnsi="Book Antiqua"/>
        </w:rPr>
        <w:t>D</w:t>
      </w:r>
      <w:r w:rsidR="00847C39" w:rsidRPr="006F4F5C">
        <w:rPr>
          <w:rFonts w:ascii="Book Antiqua" w:hAnsi="Book Antiqua"/>
        </w:rPr>
        <w:t xml:space="preserve">ouble </w:t>
      </w:r>
      <w:r w:rsidRPr="006F4F5C">
        <w:rPr>
          <w:rFonts w:ascii="Book Antiqua" w:hAnsi="Book Antiqua"/>
        </w:rPr>
        <w:t>E</w:t>
      </w:r>
      <w:r w:rsidR="00847C39" w:rsidRPr="006F4F5C">
        <w:rPr>
          <w:rFonts w:ascii="Book Antiqua" w:hAnsi="Book Antiqua"/>
        </w:rPr>
        <w:t>ffect</w:t>
      </w:r>
      <w:r w:rsidRPr="006F4F5C">
        <w:rPr>
          <w:rFonts w:ascii="Book Antiqua" w:hAnsi="Book Antiqua"/>
        </w:rPr>
        <w:t xml:space="preserve"> and some reflect the D</w:t>
      </w:r>
      <w:r w:rsidR="00847C39" w:rsidRPr="006F4F5C">
        <w:rPr>
          <w:rFonts w:ascii="Book Antiqua" w:hAnsi="Book Antiqua"/>
        </w:rPr>
        <w:t xml:space="preserve">octrine of </w:t>
      </w:r>
      <w:r w:rsidRPr="006F4F5C">
        <w:rPr>
          <w:rFonts w:ascii="Book Antiqua" w:hAnsi="Book Antiqua"/>
        </w:rPr>
        <w:t>D</w:t>
      </w:r>
      <w:r w:rsidR="00847C39" w:rsidRPr="006F4F5C">
        <w:rPr>
          <w:rFonts w:ascii="Book Antiqua" w:hAnsi="Book Antiqua"/>
        </w:rPr>
        <w:t xml:space="preserve">oing and </w:t>
      </w:r>
      <w:r w:rsidRPr="006F4F5C">
        <w:rPr>
          <w:rFonts w:ascii="Book Antiqua" w:hAnsi="Book Antiqua"/>
        </w:rPr>
        <w:t>A</w:t>
      </w:r>
      <w:r w:rsidR="00847C39" w:rsidRPr="006F4F5C">
        <w:rPr>
          <w:rFonts w:ascii="Book Antiqua" w:hAnsi="Book Antiqua"/>
        </w:rPr>
        <w:t>llowing</w:t>
      </w:r>
      <w:r w:rsidRPr="006F4F5C">
        <w:rPr>
          <w:rFonts w:ascii="Book Antiqua" w:hAnsi="Book Antiqua"/>
        </w:rPr>
        <w:t xml:space="preserve">. </w:t>
      </w:r>
      <w:r w:rsidR="00FD782B" w:rsidRPr="006F4F5C">
        <w:rPr>
          <w:rFonts w:ascii="Book Antiqua" w:hAnsi="Book Antiqua"/>
        </w:rPr>
        <w:t>I think it is more than that.  My conclusion that neither the D</w:t>
      </w:r>
      <w:r w:rsidR="00847C39" w:rsidRPr="006F4F5C">
        <w:rPr>
          <w:rFonts w:ascii="Book Antiqua" w:hAnsi="Book Antiqua"/>
        </w:rPr>
        <w:t xml:space="preserve">octrine of </w:t>
      </w:r>
      <w:r w:rsidR="00FD782B" w:rsidRPr="006F4F5C">
        <w:rPr>
          <w:rFonts w:ascii="Book Antiqua" w:hAnsi="Book Antiqua"/>
        </w:rPr>
        <w:t>D</w:t>
      </w:r>
      <w:r w:rsidR="00847C39" w:rsidRPr="006F4F5C">
        <w:rPr>
          <w:rFonts w:ascii="Book Antiqua" w:hAnsi="Book Antiqua"/>
        </w:rPr>
        <w:t xml:space="preserve">oing and </w:t>
      </w:r>
      <w:r w:rsidR="00FD782B" w:rsidRPr="006F4F5C">
        <w:rPr>
          <w:rFonts w:ascii="Book Antiqua" w:hAnsi="Book Antiqua"/>
        </w:rPr>
        <w:t>A</w:t>
      </w:r>
      <w:r w:rsidR="00847C39" w:rsidRPr="006F4F5C">
        <w:rPr>
          <w:rFonts w:ascii="Book Antiqua" w:hAnsi="Book Antiqua"/>
        </w:rPr>
        <w:t>llowing</w:t>
      </w:r>
      <w:r w:rsidR="00FD782B" w:rsidRPr="006F4F5C">
        <w:rPr>
          <w:rFonts w:ascii="Book Antiqua" w:hAnsi="Book Antiqua"/>
        </w:rPr>
        <w:t xml:space="preserve"> and the D</w:t>
      </w:r>
      <w:r w:rsidR="00847C39" w:rsidRPr="006F4F5C">
        <w:rPr>
          <w:rFonts w:ascii="Book Antiqua" w:hAnsi="Book Antiqua"/>
        </w:rPr>
        <w:t xml:space="preserve">octrine of </w:t>
      </w:r>
      <w:r w:rsidR="00FD782B" w:rsidRPr="006F4F5C">
        <w:rPr>
          <w:rFonts w:ascii="Book Antiqua" w:hAnsi="Book Antiqua"/>
        </w:rPr>
        <w:t>D</w:t>
      </w:r>
      <w:r w:rsidR="00847C39" w:rsidRPr="006F4F5C">
        <w:rPr>
          <w:rFonts w:ascii="Book Antiqua" w:hAnsi="Book Antiqua"/>
        </w:rPr>
        <w:t xml:space="preserve">ouble </w:t>
      </w:r>
      <w:r w:rsidR="00FD782B" w:rsidRPr="006F4F5C">
        <w:rPr>
          <w:rFonts w:ascii="Book Antiqua" w:hAnsi="Book Antiqua"/>
        </w:rPr>
        <w:t>E</w:t>
      </w:r>
      <w:r w:rsidR="00847C39" w:rsidRPr="006F4F5C">
        <w:rPr>
          <w:rFonts w:ascii="Book Antiqua" w:hAnsi="Book Antiqua"/>
        </w:rPr>
        <w:t>ffect</w:t>
      </w:r>
      <w:r w:rsidR="00FD782B" w:rsidRPr="006F4F5C">
        <w:rPr>
          <w:rFonts w:ascii="Book Antiqua" w:hAnsi="Book Antiqua"/>
        </w:rPr>
        <w:t xml:space="preserve"> are plausible alone does rely on intuitions about cases.  It is open to someone to avoid this conclusion by accepting alternative verdicts about cases.  This is a consiste</w:t>
      </w:r>
      <w:r w:rsidR="001D2FF1">
        <w:rPr>
          <w:rFonts w:ascii="Book Antiqua" w:hAnsi="Book Antiqua"/>
        </w:rPr>
        <w:t xml:space="preserve">nt position, although </w:t>
      </w:r>
      <w:r w:rsidR="00FD782B" w:rsidRPr="006F4F5C">
        <w:rPr>
          <w:rFonts w:ascii="Book Antiqua" w:hAnsi="Book Antiqua"/>
        </w:rPr>
        <w:t>it would leave us with a systematically counter-intuitive moral system.  The motivation for defending deontological distinction</w:t>
      </w:r>
      <w:r w:rsidR="006B1EE4" w:rsidRPr="006F4F5C">
        <w:rPr>
          <w:rFonts w:ascii="Book Antiqua" w:hAnsi="Book Antiqua"/>
        </w:rPr>
        <w:t>s</w:t>
      </w:r>
      <w:r w:rsidR="00FD782B" w:rsidRPr="006F4F5C">
        <w:rPr>
          <w:rFonts w:ascii="Book Antiqua" w:hAnsi="Book Antiqua"/>
        </w:rPr>
        <w:t xml:space="preserve"> </w:t>
      </w:r>
      <w:r w:rsidR="005B588E" w:rsidRPr="006F4F5C">
        <w:rPr>
          <w:rFonts w:ascii="Book Antiqua" w:hAnsi="Book Antiqua"/>
        </w:rPr>
        <w:t>is often</w:t>
      </w:r>
      <w:r w:rsidR="00FD782B" w:rsidRPr="006F4F5C">
        <w:rPr>
          <w:rFonts w:ascii="Book Antiqua" w:hAnsi="Book Antiqua"/>
        </w:rPr>
        <w:t xml:space="preserve"> in part a desire to reflect strongly held intuitions about particular cases. </w:t>
      </w:r>
      <w:r w:rsidR="0042704D" w:rsidRPr="006F4F5C">
        <w:rPr>
          <w:rFonts w:ascii="Book Antiqua" w:hAnsi="Book Antiqua"/>
        </w:rPr>
        <w:t xml:space="preserve"> Insofar as this is true, the response of endorsing these systematically counter-intuitive implications would be at odds with the deontologist’s motivation. </w:t>
      </w:r>
      <w:r w:rsidR="00B45CB8" w:rsidRPr="006F4F5C">
        <w:rPr>
          <w:rFonts w:ascii="Book Antiqua" w:hAnsi="Book Antiqua"/>
        </w:rPr>
        <w:t xml:space="preserve"> But there is more to this argument than simple intuition pumping.  The point is that there is something misleading about arguments in which the D</w:t>
      </w:r>
      <w:r w:rsidR="00466B0A" w:rsidRPr="006F4F5C">
        <w:rPr>
          <w:rFonts w:ascii="Book Antiqua" w:hAnsi="Book Antiqua"/>
        </w:rPr>
        <w:t xml:space="preserve">octrine of </w:t>
      </w:r>
      <w:r w:rsidR="00B45CB8" w:rsidRPr="006F4F5C">
        <w:rPr>
          <w:rFonts w:ascii="Book Antiqua" w:hAnsi="Book Antiqua"/>
        </w:rPr>
        <w:t>D</w:t>
      </w:r>
      <w:r w:rsidR="00466B0A" w:rsidRPr="006F4F5C">
        <w:rPr>
          <w:rFonts w:ascii="Book Antiqua" w:hAnsi="Book Antiqua"/>
        </w:rPr>
        <w:t>ouble Effect</w:t>
      </w:r>
      <w:r w:rsidR="00B45CB8" w:rsidRPr="006F4F5C">
        <w:rPr>
          <w:rFonts w:ascii="Book Antiqua" w:hAnsi="Book Antiqua"/>
        </w:rPr>
        <w:t xml:space="preserve"> and the D</w:t>
      </w:r>
      <w:r w:rsidR="00466B0A" w:rsidRPr="006F4F5C">
        <w:rPr>
          <w:rFonts w:ascii="Book Antiqua" w:hAnsi="Book Antiqua"/>
        </w:rPr>
        <w:t xml:space="preserve">octrine of </w:t>
      </w:r>
      <w:r w:rsidR="00B45CB8" w:rsidRPr="006F4F5C">
        <w:rPr>
          <w:rFonts w:ascii="Book Antiqua" w:hAnsi="Book Antiqua"/>
        </w:rPr>
        <w:t>D</w:t>
      </w:r>
      <w:r w:rsidR="00466B0A" w:rsidRPr="006F4F5C">
        <w:rPr>
          <w:rFonts w:ascii="Book Antiqua" w:hAnsi="Book Antiqua"/>
        </w:rPr>
        <w:t xml:space="preserve">oing and </w:t>
      </w:r>
      <w:r w:rsidR="00B45CB8" w:rsidRPr="006F4F5C">
        <w:rPr>
          <w:rFonts w:ascii="Book Antiqua" w:hAnsi="Book Antiqua"/>
        </w:rPr>
        <w:t>A</w:t>
      </w:r>
      <w:r w:rsidR="00466B0A" w:rsidRPr="006F4F5C">
        <w:rPr>
          <w:rFonts w:ascii="Book Antiqua" w:hAnsi="Book Antiqua"/>
        </w:rPr>
        <w:t>llowing</w:t>
      </w:r>
      <w:r w:rsidR="00B45CB8" w:rsidRPr="006F4F5C">
        <w:rPr>
          <w:rFonts w:ascii="Book Antiqua" w:hAnsi="Book Antiqua"/>
        </w:rPr>
        <w:t xml:space="preserve"> are presented as rivals.  </w:t>
      </w:r>
      <w:r w:rsidR="004F3C7F" w:rsidRPr="006F4F5C">
        <w:rPr>
          <w:rFonts w:ascii="Book Antiqua" w:hAnsi="Book Antiqua"/>
        </w:rPr>
        <w:t>Normally, when we a</w:t>
      </w:r>
      <w:r w:rsidR="009A5302" w:rsidRPr="006F4F5C">
        <w:rPr>
          <w:rFonts w:ascii="Book Antiqua" w:hAnsi="Book Antiqua"/>
        </w:rPr>
        <w:t>rgue for</w:t>
      </w:r>
      <w:r w:rsidR="004F3C7F" w:rsidRPr="006F4F5C">
        <w:rPr>
          <w:rFonts w:ascii="Book Antiqua" w:hAnsi="Book Antiqua"/>
        </w:rPr>
        <w:t xml:space="preserve"> </w:t>
      </w:r>
      <w:r w:rsidR="002662C1" w:rsidRPr="006F4F5C">
        <w:rPr>
          <w:rFonts w:ascii="Book Antiqua" w:hAnsi="Book Antiqua"/>
        </w:rPr>
        <w:t>the D</w:t>
      </w:r>
      <w:r w:rsidR="00466B0A" w:rsidRPr="006F4F5C">
        <w:rPr>
          <w:rFonts w:ascii="Book Antiqua" w:hAnsi="Book Antiqua"/>
        </w:rPr>
        <w:t xml:space="preserve">octrine of </w:t>
      </w:r>
      <w:r w:rsidR="002662C1" w:rsidRPr="006F4F5C">
        <w:rPr>
          <w:rFonts w:ascii="Book Antiqua" w:hAnsi="Book Antiqua"/>
        </w:rPr>
        <w:t>D</w:t>
      </w:r>
      <w:r w:rsidR="00466B0A" w:rsidRPr="006F4F5C">
        <w:rPr>
          <w:rFonts w:ascii="Book Antiqua" w:hAnsi="Book Antiqua"/>
        </w:rPr>
        <w:t xml:space="preserve">ouble </w:t>
      </w:r>
      <w:r w:rsidR="002662C1" w:rsidRPr="006F4F5C">
        <w:rPr>
          <w:rFonts w:ascii="Book Antiqua" w:hAnsi="Book Antiqua"/>
        </w:rPr>
        <w:t>E</w:t>
      </w:r>
      <w:r w:rsidR="00466B0A" w:rsidRPr="006F4F5C">
        <w:rPr>
          <w:rFonts w:ascii="Book Antiqua" w:hAnsi="Book Antiqua"/>
        </w:rPr>
        <w:t>ffect</w:t>
      </w:r>
      <w:r w:rsidR="004F3C7F" w:rsidRPr="006F4F5C">
        <w:rPr>
          <w:rFonts w:ascii="Book Antiqua" w:hAnsi="Book Antiqua"/>
        </w:rPr>
        <w:t xml:space="preserve"> we do so while tacitly assuming the truth of </w:t>
      </w:r>
      <w:r w:rsidR="002662C1" w:rsidRPr="006F4F5C">
        <w:rPr>
          <w:rFonts w:ascii="Book Antiqua" w:hAnsi="Book Antiqua"/>
        </w:rPr>
        <w:t>the D</w:t>
      </w:r>
      <w:r w:rsidR="00466B0A" w:rsidRPr="006F4F5C">
        <w:rPr>
          <w:rFonts w:ascii="Book Antiqua" w:hAnsi="Book Antiqua"/>
        </w:rPr>
        <w:t xml:space="preserve">octrine of </w:t>
      </w:r>
      <w:r w:rsidR="002662C1" w:rsidRPr="006F4F5C">
        <w:rPr>
          <w:rFonts w:ascii="Book Antiqua" w:hAnsi="Book Antiqua"/>
        </w:rPr>
        <w:t>D</w:t>
      </w:r>
      <w:r w:rsidR="00466B0A" w:rsidRPr="006F4F5C">
        <w:rPr>
          <w:rFonts w:ascii="Book Antiqua" w:hAnsi="Book Antiqua"/>
        </w:rPr>
        <w:t xml:space="preserve">oing and </w:t>
      </w:r>
      <w:r w:rsidR="002662C1" w:rsidRPr="006F4F5C">
        <w:rPr>
          <w:rFonts w:ascii="Book Antiqua" w:hAnsi="Book Antiqua"/>
        </w:rPr>
        <w:t>A</w:t>
      </w:r>
      <w:r w:rsidR="00466B0A" w:rsidRPr="006F4F5C">
        <w:rPr>
          <w:rFonts w:ascii="Book Antiqua" w:hAnsi="Book Antiqua"/>
        </w:rPr>
        <w:t>llowing</w:t>
      </w:r>
      <w:r w:rsidR="002A5806" w:rsidRPr="006F4F5C">
        <w:rPr>
          <w:rFonts w:ascii="Book Antiqua" w:hAnsi="Book Antiqua"/>
        </w:rPr>
        <w:t xml:space="preserve"> (or vic</w:t>
      </w:r>
      <w:r w:rsidR="00D87FD8" w:rsidRPr="006F4F5C">
        <w:rPr>
          <w:rFonts w:ascii="Book Antiqua" w:hAnsi="Book Antiqua"/>
        </w:rPr>
        <w:t>e versa)</w:t>
      </w:r>
      <w:r w:rsidR="002A5806" w:rsidRPr="006F4F5C">
        <w:rPr>
          <w:rFonts w:ascii="Book Antiqua" w:hAnsi="Book Antiqua"/>
        </w:rPr>
        <w:t xml:space="preserve">. We take it for granted that there are much stronger constraints against doing harm than </w:t>
      </w:r>
      <w:r w:rsidR="00387A13" w:rsidRPr="006F4F5C">
        <w:rPr>
          <w:rFonts w:ascii="Book Antiqua" w:hAnsi="Book Antiqua"/>
        </w:rPr>
        <w:t xml:space="preserve">against </w:t>
      </w:r>
      <w:r w:rsidR="002A5806" w:rsidRPr="006F4F5C">
        <w:rPr>
          <w:rFonts w:ascii="Book Antiqua" w:hAnsi="Book Antiqua"/>
        </w:rPr>
        <w:t>allowing harm and understand the proposed distinction between intended and foreseen harm in this light.</w:t>
      </w:r>
      <w:r w:rsidR="00F75490">
        <w:rPr>
          <w:rFonts w:ascii="Book Antiqua" w:hAnsi="Book Antiqua"/>
        </w:rPr>
        <w:t xml:space="preserve">  Consider the pairs of cases that are used to motivate the Doctrine of Double Effect.  In Trolley and Bridge we must choose whether to kill one person to save five.  We do not try to motivate the Doctrine of Double Effect by looking at cases where we must choose whether to kill one to save two, because we assume that it is not permissible to kill one to save two, even when the killing would be merely foreseen.  We tacitly assume that there is a constraint against killing and take this into account when choosing the case we use to support the Doctrine of Double Effect.</w:t>
      </w:r>
      <w:r w:rsidR="00B53CE8">
        <w:rPr>
          <w:rStyle w:val="FootnoteReference"/>
          <w:rFonts w:ascii="Book Antiqua" w:hAnsi="Book Antiqua"/>
        </w:rPr>
        <w:footnoteReference w:id="46"/>
      </w:r>
      <w:r w:rsidR="00F75490">
        <w:rPr>
          <w:rFonts w:ascii="Book Antiqua" w:hAnsi="Book Antiqua"/>
        </w:rPr>
        <w:t xml:space="preserve">  </w:t>
      </w:r>
      <w:r w:rsidR="002A5806" w:rsidRPr="006F4F5C">
        <w:rPr>
          <w:rFonts w:ascii="Book Antiqua" w:hAnsi="Book Antiqua"/>
        </w:rPr>
        <w:t>This is fine if the D</w:t>
      </w:r>
      <w:r w:rsidR="00387A13" w:rsidRPr="006F4F5C">
        <w:rPr>
          <w:rFonts w:ascii="Book Antiqua" w:hAnsi="Book Antiqua"/>
        </w:rPr>
        <w:t xml:space="preserve">octrine of </w:t>
      </w:r>
      <w:r w:rsidR="002A5806" w:rsidRPr="006F4F5C">
        <w:rPr>
          <w:rFonts w:ascii="Book Antiqua" w:hAnsi="Book Antiqua"/>
        </w:rPr>
        <w:t>D</w:t>
      </w:r>
      <w:r w:rsidR="00387A13" w:rsidRPr="006F4F5C">
        <w:rPr>
          <w:rFonts w:ascii="Book Antiqua" w:hAnsi="Book Antiqua"/>
        </w:rPr>
        <w:t xml:space="preserve">ouble </w:t>
      </w:r>
      <w:r w:rsidR="002A5806" w:rsidRPr="006F4F5C">
        <w:rPr>
          <w:rFonts w:ascii="Book Antiqua" w:hAnsi="Book Antiqua"/>
        </w:rPr>
        <w:t>E</w:t>
      </w:r>
      <w:r w:rsidR="00387A13" w:rsidRPr="006F4F5C">
        <w:rPr>
          <w:rFonts w:ascii="Book Antiqua" w:hAnsi="Book Antiqua"/>
        </w:rPr>
        <w:t>ffect</w:t>
      </w:r>
      <w:r w:rsidR="002A5806" w:rsidRPr="006F4F5C">
        <w:rPr>
          <w:rFonts w:ascii="Book Antiqua" w:hAnsi="Book Antiqua"/>
        </w:rPr>
        <w:t xml:space="preserve"> is being understood as a supplement to the D</w:t>
      </w:r>
      <w:r w:rsidR="00387A13" w:rsidRPr="006F4F5C">
        <w:rPr>
          <w:rFonts w:ascii="Book Antiqua" w:hAnsi="Book Antiqua"/>
        </w:rPr>
        <w:t xml:space="preserve">octrine of </w:t>
      </w:r>
      <w:r w:rsidR="002A5806" w:rsidRPr="006F4F5C">
        <w:rPr>
          <w:rFonts w:ascii="Book Antiqua" w:hAnsi="Book Antiqua"/>
        </w:rPr>
        <w:t>D</w:t>
      </w:r>
      <w:r w:rsidR="00387A13" w:rsidRPr="006F4F5C">
        <w:rPr>
          <w:rFonts w:ascii="Book Antiqua" w:hAnsi="Book Antiqua"/>
        </w:rPr>
        <w:t xml:space="preserve">oing and </w:t>
      </w:r>
      <w:r w:rsidR="002A5806" w:rsidRPr="006F4F5C">
        <w:rPr>
          <w:rFonts w:ascii="Book Antiqua" w:hAnsi="Book Antiqua"/>
        </w:rPr>
        <w:t>A</w:t>
      </w:r>
      <w:r w:rsidR="00387A13" w:rsidRPr="006F4F5C">
        <w:rPr>
          <w:rFonts w:ascii="Book Antiqua" w:hAnsi="Book Antiqua"/>
        </w:rPr>
        <w:t>llowing</w:t>
      </w:r>
      <w:r w:rsidR="002A5806" w:rsidRPr="006F4F5C">
        <w:rPr>
          <w:rFonts w:ascii="Book Antiqua" w:hAnsi="Book Antiqua"/>
        </w:rPr>
        <w:t>.</w:t>
      </w:r>
      <w:r w:rsidR="002A5806" w:rsidRPr="006F4F5C">
        <w:rPr>
          <w:rStyle w:val="FootnoteReference"/>
          <w:rFonts w:ascii="Book Antiqua" w:hAnsi="Book Antiqua"/>
        </w:rPr>
        <w:footnoteReference w:id="47"/>
      </w:r>
      <w:r w:rsidR="002A5806" w:rsidRPr="006F4F5C">
        <w:rPr>
          <w:rFonts w:ascii="Book Antiqua" w:hAnsi="Book Antiqua"/>
        </w:rPr>
        <w:t xml:space="preserve">  It is unacceptable if the D</w:t>
      </w:r>
      <w:r w:rsidR="00387A13" w:rsidRPr="006F4F5C">
        <w:rPr>
          <w:rFonts w:ascii="Book Antiqua" w:hAnsi="Book Antiqua"/>
        </w:rPr>
        <w:t xml:space="preserve">octrine of </w:t>
      </w:r>
      <w:r w:rsidR="002A5806" w:rsidRPr="006F4F5C">
        <w:rPr>
          <w:rFonts w:ascii="Book Antiqua" w:hAnsi="Book Antiqua"/>
        </w:rPr>
        <w:t>D</w:t>
      </w:r>
      <w:r w:rsidR="00387A13" w:rsidRPr="006F4F5C">
        <w:rPr>
          <w:rFonts w:ascii="Book Antiqua" w:hAnsi="Book Antiqua"/>
        </w:rPr>
        <w:t xml:space="preserve">ouble </w:t>
      </w:r>
      <w:r w:rsidR="002A5806" w:rsidRPr="006F4F5C">
        <w:rPr>
          <w:rFonts w:ascii="Book Antiqua" w:hAnsi="Book Antiqua"/>
        </w:rPr>
        <w:t>E</w:t>
      </w:r>
      <w:r w:rsidR="00387A13" w:rsidRPr="006F4F5C">
        <w:rPr>
          <w:rFonts w:ascii="Book Antiqua" w:hAnsi="Book Antiqua"/>
        </w:rPr>
        <w:t>ffect</w:t>
      </w:r>
      <w:r w:rsidR="002A5806" w:rsidRPr="006F4F5C">
        <w:rPr>
          <w:rFonts w:ascii="Book Antiqua" w:hAnsi="Book Antiqua"/>
        </w:rPr>
        <w:t xml:space="preserve"> is proposed as an alternative to the D</w:t>
      </w:r>
      <w:r w:rsidR="00387A13" w:rsidRPr="006F4F5C">
        <w:rPr>
          <w:rFonts w:ascii="Book Antiqua" w:hAnsi="Book Antiqua"/>
        </w:rPr>
        <w:t xml:space="preserve">octrine of </w:t>
      </w:r>
      <w:r w:rsidR="002A5806" w:rsidRPr="006F4F5C">
        <w:rPr>
          <w:rFonts w:ascii="Book Antiqua" w:hAnsi="Book Antiqua"/>
        </w:rPr>
        <w:t>D</w:t>
      </w:r>
      <w:r w:rsidR="00387A13" w:rsidRPr="006F4F5C">
        <w:rPr>
          <w:rFonts w:ascii="Book Antiqua" w:hAnsi="Book Antiqua"/>
        </w:rPr>
        <w:t xml:space="preserve">oing and </w:t>
      </w:r>
      <w:r w:rsidR="002A5806" w:rsidRPr="006F4F5C">
        <w:rPr>
          <w:rFonts w:ascii="Book Antiqua" w:hAnsi="Book Antiqua"/>
        </w:rPr>
        <w:t>A</w:t>
      </w:r>
      <w:r w:rsidR="00387A13" w:rsidRPr="006F4F5C">
        <w:rPr>
          <w:rFonts w:ascii="Book Antiqua" w:hAnsi="Book Antiqua"/>
        </w:rPr>
        <w:t>llowing</w:t>
      </w:r>
      <w:r w:rsidR="002A5806" w:rsidRPr="006F4F5C">
        <w:rPr>
          <w:rFonts w:ascii="Book Antiqua" w:hAnsi="Book Antiqua"/>
        </w:rPr>
        <w:t>.</w:t>
      </w:r>
    </w:p>
    <w:p w14:paraId="0607DF4D" w14:textId="152455CA" w:rsidR="00140B88" w:rsidRPr="006F4F5C" w:rsidRDefault="00140B88" w:rsidP="00DE0AE5">
      <w:pPr>
        <w:spacing w:line="360" w:lineRule="auto"/>
        <w:ind w:firstLine="720"/>
        <w:jc w:val="both"/>
        <w:rPr>
          <w:rFonts w:ascii="Book Antiqua" w:hAnsi="Book Antiqua"/>
        </w:rPr>
      </w:pPr>
      <w:r>
        <w:rPr>
          <w:rFonts w:ascii="Book Antiqua" w:hAnsi="Book Antiqua"/>
        </w:rPr>
        <w:t xml:space="preserve">A little further elaboration is needed here.  Earlier, I suggested that I would be happy to accept a combination of the Doctrine of Doing and Allowing, the Doctrine of Double Effect and some third principle which explains cases like Meteor Explosion.  It might be </w:t>
      </w:r>
      <w:r>
        <w:rPr>
          <w:rFonts w:ascii="Book Antiqua" w:hAnsi="Book Antiqua"/>
        </w:rPr>
        <w:lastRenderedPageBreak/>
        <w:t xml:space="preserve">wondered whether I’d be happy to accept other explanations of the cases that look quite different from the standard </w:t>
      </w:r>
      <w:r w:rsidR="001B0023" w:rsidRPr="006F4F5C">
        <w:rPr>
          <w:rFonts w:ascii="Book Antiqua" w:hAnsi="Book Antiqua"/>
        </w:rPr>
        <w:t>the Doctrine of Double Effect</w:t>
      </w:r>
      <w:r>
        <w:rPr>
          <w:rFonts w:ascii="Book Antiqua" w:hAnsi="Book Antiqua"/>
        </w:rPr>
        <w:t xml:space="preserve"> and </w:t>
      </w:r>
      <w:r w:rsidR="001B0023" w:rsidRPr="006F4F5C">
        <w:rPr>
          <w:rFonts w:ascii="Book Antiqua" w:hAnsi="Book Antiqua"/>
        </w:rPr>
        <w:t>Doctrine of Doing and Allowing</w:t>
      </w:r>
      <w:r>
        <w:rPr>
          <w:rFonts w:ascii="Book Antiqua" w:hAnsi="Book Antiqua"/>
        </w:rPr>
        <w:t xml:space="preserve">. </w:t>
      </w:r>
      <w:r w:rsidR="00FB3CF7">
        <w:rPr>
          <w:rFonts w:ascii="Book Antiqua" w:hAnsi="Book Antiqua"/>
        </w:rPr>
        <w:t xml:space="preserve">If the arguments for my first and second premises are right, we need at least one </w:t>
      </w:r>
      <w:r w:rsidR="001B0023">
        <w:rPr>
          <w:rFonts w:ascii="Book Antiqua" w:hAnsi="Book Antiqua"/>
        </w:rPr>
        <w:t>Double Effect</w:t>
      </w:r>
      <w:r w:rsidR="00E77926">
        <w:rPr>
          <w:rFonts w:ascii="Book Antiqua" w:hAnsi="Book Antiqua"/>
        </w:rPr>
        <w:t>/</w:t>
      </w:r>
      <w:r w:rsidR="001B0023">
        <w:rPr>
          <w:rFonts w:ascii="Book Antiqua" w:hAnsi="Book Antiqua"/>
        </w:rPr>
        <w:t>Doing and Allowing</w:t>
      </w:r>
      <w:r w:rsidR="00E77926">
        <w:rPr>
          <w:rFonts w:ascii="Book Antiqua" w:hAnsi="Book Antiqua"/>
        </w:rPr>
        <w:t xml:space="preserve"> style principle built on an author-agent-relative</w:t>
      </w:r>
      <w:r w:rsidR="00FB3CF7">
        <w:rPr>
          <w:rFonts w:ascii="Book Antiqua" w:hAnsi="Book Antiqua"/>
        </w:rPr>
        <w:t xml:space="preserve"> deontological </w:t>
      </w:r>
      <w:r w:rsidR="00E77926">
        <w:rPr>
          <w:rFonts w:ascii="Book Antiqua" w:hAnsi="Book Antiqua"/>
        </w:rPr>
        <w:t xml:space="preserve">distinction. This principle must be built on features of the agent’s special relationship to a certain subset of the consequences of her behaviour.   However, the arguments I’ve given are compatible with the other principle being replaced by something quite different: it might be a victim-centred principle; it might </w:t>
      </w:r>
      <w:r w:rsidR="00780540">
        <w:rPr>
          <w:rFonts w:ascii="Book Antiqua" w:hAnsi="Book Antiqua"/>
        </w:rPr>
        <w:t xml:space="preserve">be a </w:t>
      </w:r>
      <w:r w:rsidR="00E77926">
        <w:rPr>
          <w:rFonts w:ascii="Book Antiqua" w:hAnsi="Book Antiqua"/>
        </w:rPr>
        <w:t>set of multiple overlapping principles.</w:t>
      </w:r>
      <w:r w:rsidR="004A4541">
        <w:rPr>
          <w:rStyle w:val="FootnoteReference"/>
          <w:rFonts w:ascii="Book Antiqua" w:hAnsi="Book Antiqua"/>
        </w:rPr>
        <w:footnoteReference w:id="48"/>
      </w:r>
      <w:r w:rsidR="00E77926">
        <w:rPr>
          <w:rFonts w:ascii="Book Antiqua" w:hAnsi="Book Antiqua"/>
        </w:rPr>
        <w:t xml:space="preserve">   </w:t>
      </w:r>
    </w:p>
    <w:p w14:paraId="701FFC4F" w14:textId="77777777" w:rsidR="00387A13" w:rsidRPr="006F4F5C" w:rsidRDefault="00387A13" w:rsidP="00387A13">
      <w:pPr>
        <w:spacing w:line="360" w:lineRule="auto"/>
        <w:jc w:val="both"/>
        <w:rPr>
          <w:rFonts w:ascii="Book Antiqua" w:hAnsi="Book Antiqua"/>
          <w:b/>
        </w:rPr>
      </w:pPr>
      <w:r w:rsidRPr="006F4F5C">
        <w:rPr>
          <w:rFonts w:ascii="Book Antiqua" w:hAnsi="Book Antiqua"/>
          <w:b/>
        </w:rPr>
        <w:t>Conclusion</w:t>
      </w:r>
    </w:p>
    <w:p w14:paraId="161F527F" w14:textId="5D92B906" w:rsidR="003D45EF" w:rsidRPr="006F4F5C" w:rsidRDefault="00A55FB7" w:rsidP="003D45EF">
      <w:pPr>
        <w:spacing w:line="360" w:lineRule="auto"/>
        <w:ind w:firstLine="720"/>
        <w:jc w:val="both"/>
        <w:rPr>
          <w:rFonts w:ascii="Book Antiqua" w:hAnsi="Book Antiqua"/>
        </w:rPr>
      </w:pPr>
      <w:r>
        <w:rPr>
          <w:rFonts w:ascii="Book Antiqua" w:hAnsi="Book Antiqua"/>
        </w:rPr>
        <w:t>A</w:t>
      </w:r>
      <w:r w:rsidR="003D45EF" w:rsidRPr="006F4F5C">
        <w:rPr>
          <w:rFonts w:ascii="Book Antiqua" w:hAnsi="Book Antiqua"/>
        </w:rPr>
        <w:t xml:space="preserve">nyone who endorses a Nonconsequentialist account of right action must also accept some </w:t>
      </w:r>
      <w:r w:rsidR="00AD7800" w:rsidRPr="006F4F5C">
        <w:rPr>
          <w:rFonts w:ascii="Book Antiqua" w:hAnsi="Book Antiqua"/>
        </w:rPr>
        <w:t>deontological distinction such as</w:t>
      </w:r>
      <w:r w:rsidR="003D45EF" w:rsidRPr="006F4F5C">
        <w:rPr>
          <w:rFonts w:ascii="Book Antiqua" w:hAnsi="Book Antiqua"/>
        </w:rPr>
        <w:t xml:space="preserve"> t</w:t>
      </w:r>
      <w:r w:rsidR="00F75490">
        <w:rPr>
          <w:rFonts w:ascii="Book Antiqua" w:hAnsi="Book Antiqua"/>
        </w:rPr>
        <w:t xml:space="preserve">he Doctrine of Double Effect or </w:t>
      </w:r>
      <w:r w:rsidR="003D45EF" w:rsidRPr="006F4F5C">
        <w:rPr>
          <w:rFonts w:ascii="Book Antiqua" w:hAnsi="Book Antiqua"/>
        </w:rPr>
        <w:t>the Doctrine of Doing and Allowing</w:t>
      </w:r>
      <w:r w:rsidR="00F75490">
        <w:rPr>
          <w:rFonts w:ascii="Book Antiqua" w:hAnsi="Book Antiqua"/>
        </w:rPr>
        <w:t xml:space="preserve"> or some replacement</w:t>
      </w:r>
      <w:r w:rsidR="003D45EF" w:rsidRPr="006F4F5C">
        <w:rPr>
          <w:rFonts w:ascii="Book Antiqua" w:hAnsi="Book Antiqua"/>
        </w:rPr>
        <w:t xml:space="preserve">.  Without some </w:t>
      </w:r>
      <w:r w:rsidR="00AD7800" w:rsidRPr="006F4F5C">
        <w:rPr>
          <w:rFonts w:ascii="Book Antiqua" w:hAnsi="Book Antiqua"/>
        </w:rPr>
        <w:t>such distinction</w:t>
      </w:r>
      <w:r w:rsidR="003D45EF" w:rsidRPr="006F4F5C">
        <w:rPr>
          <w:rFonts w:ascii="Book Antiqua" w:hAnsi="Book Antiqua"/>
        </w:rPr>
        <w:t xml:space="preserve">, the Nonconsequentialist is unable to make the crucial distinction between </w:t>
      </w:r>
      <w:r w:rsidR="00797B45">
        <w:rPr>
          <w:rFonts w:ascii="Book Antiqua" w:hAnsi="Book Antiqua"/>
        </w:rPr>
        <w:t>respect</w:t>
      </w:r>
      <w:r w:rsidR="003D45EF" w:rsidRPr="006F4F5C">
        <w:rPr>
          <w:rFonts w:ascii="Book Antiqua" w:hAnsi="Book Antiqua"/>
        </w:rPr>
        <w:t xml:space="preserve">ing a value and promoting a value.  Her view collapses into Consequentialism.  </w:t>
      </w:r>
      <w:r w:rsidR="008C5804">
        <w:rPr>
          <w:rFonts w:ascii="Book Antiqua" w:hAnsi="Book Antiqua"/>
        </w:rPr>
        <w:t>The problem is not just that</w:t>
      </w:r>
      <w:r w:rsidR="003D45EF" w:rsidRPr="006F4F5C">
        <w:rPr>
          <w:rFonts w:ascii="Book Antiqua" w:hAnsi="Book Antiqua"/>
        </w:rPr>
        <w:t xml:space="preserve"> her view is extensionally equivalent with some Consequentialist theory, but that she is unable to make some moral claims that she wishes to make.  For example, she is unable to say that an agent must not lie even if this is the best way to reduce overall </w:t>
      </w:r>
      <w:r w:rsidR="005D4987" w:rsidRPr="006F4F5C">
        <w:rPr>
          <w:rFonts w:ascii="Book Antiqua" w:hAnsi="Book Antiqua"/>
        </w:rPr>
        <w:t>misrepresenta</w:t>
      </w:r>
      <w:r w:rsidR="00582C07">
        <w:rPr>
          <w:rFonts w:ascii="Book Antiqua" w:hAnsi="Book Antiqua"/>
        </w:rPr>
        <w:t>tion</w:t>
      </w:r>
      <w:r w:rsidR="003D45EF" w:rsidRPr="006F4F5C">
        <w:rPr>
          <w:rFonts w:ascii="Book Antiqua" w:hAnsi="Book Antiqua"/>
        </w:rPr>
        <w:t xml:space="preserve"> </w:t>
      </w:r>
      <w:r w:rsidR="00582C07" w:rsidRPr="006F4F5C">
        <w:rPr>
          <w:rFonts w:ascii="Book Antiqua" w:hAnsi="Book Antiqua"/>
        </w:rPr>
        <w:t>or that I should refrain from violating rights even if violating rights would reduce the amount of rights violated.</w:t>
      </w:r>
      <w:r w:rsidR="00582C07">
        <w:rPr>
          <w:rFonts w:ascii="Book Antiqua" w:hAnsi="Book Antiqua"/>
        </w:rPr>
        <w:t xml:space="preserve">  </w:t>
      </w:r>
      <w:r w:rsidR="00F070E9">
        <w:rPr>
          <w:rFonts w:ascii="Book Antiqua" w:hAnsi="Book Antiqua"/>
        </w:rPr>
        <w:t>She cannot say that I should not cheat my customers if this is the best way to reduce how much they are cheated overall.</w:t>
      </w:r>
    </w:p>
    <w:p w14:paraId="257EB202" w14:textId="382D89B1" w:rsidR="00AD7800" w:rsidRPr="006F4F5C" w:rsidRDefault="00A55FB7" w:rsidP="003D45EF">
      <w:pPr>
        <w:spacing w:line="360" w:lineRule="auto"/>
        <w:ind w:firstLine="720"/>
        <w:jc w:val="both"/>
        <w:rPr>
          <w:rFonts w:ascii="Book Antiqua" w:hAnsi="Book Antiqua"/>
        </w:rPr>
      </w:pPr>
      <w:r>
        <w:rPr>
          <w:rFonts w:ascii="Book Antiqua" w:hAnsi="Book Antiqua"/>
        </w:rPr>
        <w:t>T</w:t>
      </w:r>
      <w:r w:rsidR="00AD7800" w:rsidRPr="006F4F5C">
        <w:rPr>
          <w:rFonts w:ascii="Book Antiqua" w:hAnsi="Book Antiqua"/>
        </w:rPr>
        <w:t xml:space="preserve">here is reason to think </w:t>
      </w:r>
      <w:r w:rsidR="00797B45">
        <w:rPr>
          <w:rFonts w:ascii="Book Antiqua" w:hAnsi="Book Antiqua"/>
        </w:rPr>
        <w:t>the Nonconsequentialist who accepts some</w:t>
      </w:r>
      <w:r w:rsidR="00AD7800" w:rsidRPr="006F4F5C">
        <w:rPr>
          <w:rFonts w:ascii="Book Antiqua" w:hAnsi="Book Antiqua"/>
        </w:rPr>
        <w:t xml:space="preserve"> deontological distinction</w:t>
      </w:r>
      <w:r w:rsidR="00797B45">
        <w:rPr>
          <w:rFonts w:ascii="Book Antiqua" w:hAnsi="Book Antiqua"/>
        </w:rPr>
        <w:t xml:space="preserve"> for this purpose should accept</w:t>
      </w:r>
      <w:r w:rsidR="00AD7800" w:rsidRPr="006F4F5C">
        <w:rPr>
          <w:rFonts w:ascii="Book Antiqua" w:hAnsi="Book Antiqua"/>
        </w:rPr>
        <w:t xml:space="preserve"> either the Doctrine of Double Effect or the Doctrine of Doing and Allowing</w:t>
      </w:r>
      <w:r w:rsidR="00797B45">
        <w:rPr>
          <w:rFonts w:ascii="Book Antiqua" w:hAnsi="Book Antiqua"/>
        </w:rPr>
        <w:t xml:space="preserve"> or some replacement</w:t>
      </w:r>
      <w:r w:rsidR="00AD7800" w:rsidRPr="006F4F5C">
        <w:rPr>
          <w:rFonts w:ascii="Book Antiqua" w:hAnsi="Book Antiqua"/>
        </w:rPr>
        <w:t>.  First, there is no obvious alternative candidate that can provide the author-agent-relative constraints needed to avoid Consequentialism.  Second, the Nonconsequentialist constraints that we actually see put forward see</w:t>
      </w:r>
      <w:r w:rsidR="00797B45">
        <w:rPr>
          <w:rFonts w:ascii="Book Antiqua" w:hAnsi="Book Antiqua"/>
        </w:rPr>
        <w:t>m</w:t>
      </w:r>
      <w:r w:rsidR="00AD7800" w:rsidRPr="006F4F5C">
        <w:rPr>
          <w:rFonts w:ascii="Book Antiqua" w:hAnsi="Book Antiqua"/>
        </w:rPr>
        <w:t xml:space="preserve"> to appeal to </w:t>
      </w:r>
      <w:r w:rsidR="00797B45">
        <w:rPr>
          <w:rFonts w:ascii="Book Antiqua" w:hAnsi="Book Antiqua"/>
        </w:rPr>
        <w:t>the deontological distinctions underlying</w:t>
      </w:r>
      <w:r w:rsidR="00AD7800" w:rsidRPr="006F4F5C">
        <w:rPr>
          <w:rFonts w:ascii="Book Antiqua" w:hAnsi="Book Antiqua"/>
        </w:rPr>
        <w:t xml:space="preserve"> the D</w:t>
      </w:r>
      <w:r w:rsidR="008C5804">
        <w:rPr>
          <w:rFonts w:ascii="Book Antiqua" w:hAnsi="Book Antiqua"/>
        </w:rPr>
        <w:t xml:space="preserve">octrine of </w:t>
      </w:r>
      <w:r w:rsidR="00AD7800" w:rsidRPr="006F4F5C">
        <w:rPr>
          <w:rFonts w:ascii="Book Antiqua" w:hAnsi="Book Antiqua"/>
        </w:rPr>
        <w:t>D</w:t>
      </w:r>
      <w:r w:rsidR="008C5804">
        <w:rPr>
          <w:rFonts w:ascii="Book Antiqua" w:hAnsi="Book Antiqua"/>
        </w:rPr>
        <w:t xml:space="preserve">ouble </w:t>
      </w:r>
      <w:r w:rsidR="00AD7800" w:rsidRPr="006F4F5C">
        <w:rPr>
          <w:rFonts w:ascii="Book Antiqua" w:hAnsi="Book Antiqua"/>
        </w:rPr>
        <w:t>E</w:t>
      </w:r>
      <w:r w:rsidR="008C5804">
        <w:rPr>
          <w:rFonts w:ascii="Book Antiqua" w:hAnsi="Book Antiqua"/>
        </w:rPr>
        <w:t>ffect</w:t>
      </w:r>
      <w:r w:rsidR="00AD7800" w:rsidRPr="006F4F5C">
        <w:rPr>
          <w:rFonts w:ascii="Book Antiqua" w:hAnsi="Book Antiqua"/>
        </w:rPr>
        <w:t xml:space="preserve"> or D</w:t>
      </w:r>
      <w:r w:rsidR="008C5804">
        <w:rPr>
          <w:rFonts w:ascii="Book Antiqua" w:hAnsi="Book Antiqua"/>
        </w:rPr>
        <w:t xml:space="preserve">octrine of </w:t>
      </w:r>
      <w:r w:rsidR="00AD7800" w:rsidRPr="006F4F5C">
        <w:rPr>
          <w:rFonts w:ascii="Book Antiqua" w:hAnsi="Book Antiqua"/>
        </w:rPr>
        <w:t>D</w:t>
      </w:r>
      <w:r w:rsidR="008C5804">
        <w:rPr>
          <w:rFonts w:ascii="Book Antiqua" w:hAnsi="Book Antiqua"/>
        </w:rPr>
        <w:t xml:space="preserve">oing and </w:t>
      </w:r>
      <w:r w:rsidR="00AD7800" w:rsidRPr="006F4F5C">
        <w:rPr>
          <w:rFonts w:ascii="Book Antiqua" w:hAnsi="Book Antiqua"/>
        </w:rPr>
        <w:t>A</w:t>
      </w:r>
      <w:r w:rsidR="008C5804">
        <w:rPr>
          <w:rFonts w:ascii="Book Antiqua" w:hAnsi="Book Antiqua"/>
        </w:rPr>
        <w:t>llowing</w:t>
      </w:r>
      <w:r w:rsidR="00AD7800" w:rsidRPr="006F4F5C">
        <w:rPr>
          <w:rFonts w:ascii="Book Antiqua" w:hAnsi="Book Antiqua"/>
        </w:rPr>
        <w:t xml:space="preserve"> or both.  Finally, an Nonconsequentialist theory that includes the D</w:t>
      </w:r>
      <w:r w:rsidR="008C5804">
        <w:rPr>
          <w:rFonts w:ascii="Book Antiqua" w:hAnsi="Book Antiqua"/>
        </w:rPr>
        <w:t xml:space="preserve">octrine of </w:t>
      </w:r>
      <w:r w:rsidR="00AD7800" w:rsidRPr="006F4F5C">
        <w:rPr>
          <w:rFonts w:ascii="Book Antiqua" w:hAnsi="Book Antiqua"/>
        </w:rPr>
        <w:t>D</w:t>
      </w:r>
      <w:r w:rsidR="008C5804">
        <w:rPr>
          <w:rFonts w:ascii="Book Antiqua" w:hAnsi="Book Antiqua"/>
        </w:rPr>
        <w:t xml:space="preserve">ouble </w:t>
      </w:r>
      <w:r w:rsidR="00AD7800" w:rsidRPr="006F4F5C">
        <w:rPr>
          <w:rFonts w:ascii="Book Antiqua" w:hAnsi="Book Antiqua"/>
        </w:rPr>
        <w:t>E</w:t>
      </w:r>
      <w:r w:rsidR="008C5804">
        <w:rPr>
          <w:rFonts w:ascii="Book Antiqua" w:hAnsi="Book Antiqua"/>
        </w:rPr>
        <w:t>ffect</w:t>
      </w:r>
      <w:r w:rsidR="00AD7800" w:rsidRPr="006F4F5C">
        <w:rPr>
          <w:rFonts w:ascii="Book Antiqua" w:hAnsi="Book Antiqua"/>
        </w:rPr>
        <w:t xml:space="preserve"> or D</w:t>
      </w:r>
      <w:r w:rsidR="008C5804">
        <w:rPr>
          <w:rFonts w:ascii="Book Antiqua" w:hAnsi="Book Antiqua"/>
        </w:rPr>
        <w:t xml:space="preserve">octrine of </w:t>
      </w:r>
      <w:r w:rsidR="00AD7800" w:rsidRPr="006F4F5C">
        <w:rPr>
          <w:rFonts w:ascii="Book Antiqua" w:hAnsi="Book Antiqua"/>
        </w:rPr>
        <w:t>D</w:t>
      </w:r>
      <w:r w:rsidR="008C5804">
        <w:rPr>
          <w:rFonts w:ascii="Book Antiqua" w:hAnsi="Book Antiqua"/>
        </w:rPr>
        <w:t xml:space="preserve">oing and </w:t>
      </w:r>
      <w:r w:rsidR="00AD7800" w:rsidRPr="006F4F5C">
        <w:rPr>
          <w:rFonts w:ascii="Book Antiqua" w:hAnsi="Book Antiqua"/>
        </w:rPr>
        <w:t>A</w:t>
      </w:r>
      <w:r w:rsidR="008C5804">
        <w:rPr>
          <w:rFonts w:ascii="Book Antiqua" w:hAnsi="Book Antiqua"/>
        </w:rPr>
        <w:t>llowing</w:t>
      </w:r>
      <w:r w:rsidR="00797B45">
        <w:rPr>
          <w:rFonts w:ascii="Book Antiqua" w:hAnsi="Book Antiqua"/>
        </w:rPr>
        <w:t xml:space="preserve"> or a replacement</w:t>
      </w:r>
      <w:r w:rsidR="00AD7800" w:rsidRPr="006F4F5C">
        <w:rPr>
          <w:rFonts w:ascii="Book Antiqua" w:hAnsi="Book Antiqua"/>
        </w:rPr>
        <w:t xml:space="preserve"> has a payoff that is lacked by theories appealing to alternative distinctions: for the same justificatory work it produces the additional benefit of explaining widespread and deeply held intuitions about a set of cases.</w:t>
      </w:r>
    </w:p>
    <w:p w14:paraId="627CF9DA" w14:textId="416BC8EA" w:rsidR="00797B45" w:rsidRPr="006F4F5C" w:rsidRDefault="00A55FB7" w:rsidP="00797B45">
      <w:pPr>
        <w:spacing w:line="360" w:lineRule="auto"/>
        <w:ind w:firstLine="720"/>
        <w:jc w:val="both"/>
        <w:rPr>
          <w:rFonts w:ascii="Book Antiqua" w:hAnsi="Book Antiqua"/>
        </w:rPr>
      </w:pPr>
      <w:r>
        <w:rPr>
          <w:rFonts w:ascii="Book Antiqua" w:hAnsi="Book Antiqua"/>
        </w:rPr>
        <w:lastRenderedPageBreak/>
        <w:t>A</w:t>
      </w:r>
      <w:r w:rsidR="003D45EF" w:rsidRPr="006F4F5C">
        <w:rPr>
          <w:rFonts w:ascii="Book Antiqua" w:hAnsi="Book Antiqua"/>
        </w:rPr>
        <w:t xml:space="preserve">nyone who endorses </w:t>
      </w:r>
      <w:r w:rsidR="00797B45">
        <w:rPr>
          <w:rFonts w:ascii="Book Antiqua" w:hAnsi="Book Antiqua"/>
        </w:rPr>
        <w:t xml:space="preserve">either </w:t>
      </w:r>
      <w:r w:rsidR="003D45EF" w:rsidRPr="006F4F5C">
        <w:rPr>
          <w:rFonts w:ascii="Book Antiqua" w:hAnsi="Book Antiqua"/>
        </w:rPr>
        <w:t>the Doctrine of Doing and Allowing</w:t>
      </w:r>
      <w:r w:rsidR="00797B45">
        <w:rPr>
          <w:rFonts w:ascii="Book Antiqua" w:hAnsi="Book Antiqua"/>
        </w:rPr>
        <w:t xml:space="preserve"> or a replacement</w:t>
      </w:r>
      <w:r w:rsidR="003D45EF" w:rsidRPr="006F4F5C">
        <w:rPr>
          <w:rFonts w:ascii="Book Antiqua" w:hAnsi="Book Antiqua"/>
        </w:rPr>
        <w:t xml:space="preserve"> or the Doctrine of Double Effect</w:t>
      </w:r>
      <w:r w:rsidR="00797B45">
        <w:rPr>
          <w:rFonts w:ascii="Book Antiqua" w:hAnsi="Book Antiqua"/>
        </w:rPr>
        <w:t xml:space="preserve"> or a replacement</w:t>
      </w:r>
      <w:r w:rsidR="003D45EF" w:rsidRPr="006F4F5C">
        <w:rPr>
          <w:rFonts w:ascii="Book Antiqua" w:hAnsi="Book Antiqua"/>
        </w:rPr>
        <w:t xml:space="preserve"> </w:t>
      </w:r>
      <w:r w:rsidR="00AD7800" w:rsidRPr="006F4F5C">
        <w:rPr>
          <w:rFonts w:ascii="Book Antiqua" w:hAnsi="Book Antiqua"/>
        </w:rPr>
        <w:t>should</w:t>
      </w:r>
      <w:r w:rsidR="003D45EF" w:rsidRPr="006F4F5C">
        <w:rPr>
          <w:rFonts w:ascii="Book Antiqua" w:hAnsi="Book Antiqua"/>
        </w:rPr>
        <w:t xml:space="preserve"> accept </w:t>
      </w:r>
      <w:proofErr w:type="gramStart"/>
      <w:r w:rsidR="003D45EF" w:rsidRPr="006F4F5C">
        <w:rPr>
          <w:rFonts w:ascii="Book Antiqua" w:hAnsi="Book Antiqua"/>
        </w:rPr>
        <w:t>both doctrines</w:t>
      </w:r>
      <w:r w:rsidR="008C5804">
        <w:rPr>
          <w:rFonts w:ascii="Book Antiqua" w:hAnsi="Book Antiqua"/>
        </w:rPr>
        <w:t xml:space="preserve"> </w:t>
      </w:r>
      <w:r w:rsidR="00797B45">
        <w:rPr>
          <w:rFonts w:ascii="Book Antiqua" w:hAnsi="Book Antiqua"/>
        </w:rPr>
        <w:t>or</w:t>
      </w:r>
      <w:proofErr w:type="gramEnd"/>
      <w:r w:rsidR="00797B45">
        <w:rPr>
          <w:rFonts w:ascii="Book Antiqua" w:hAnsi="Book Antiqua"/>
        </w:rPr>
        <w:t xml:space="preserve"> their replacements</w:t>
      </w:r>
      <w:r w:rsidR="003D45EF" w:rsidRPr="006F4F5C">
        <w:rPr>
          <w:rFonts w:ascii="Book Antiqua" w:hAnsi="Book Antiqua"/>
        </w:rPr>
        <w:t>.  Without the Doctrine of Doing and Allowing</w:t>
      </w:r>
      <w:r w:rsidR="00797B45">
        <w:rPr>
          <w:rFonts w:ascii="Book Antiqua" w:hAnsi="Book Antiqua"/>
        </w:rPr>
        <w:t xml:space="preserve"> or its replacement</w:t>
      </w:r>
      <w:r w:rsidR="003D45EF" w:rsidRPr="006F4F5C">
        <w:rPr>
          <w:rFonts w:ascii="Book Antiqua" w:hAnsi="Book Antiqua"/>
        </w:rPr>
        <w:t>, the Doctrine of Double Effect cannot give a consistent, plausible account of the limits of the permission to countenance merely foreseen harm.  The same is true, mutatis mutandi</w:t>
      </w:r>
      <w:r w:rsidR="00CF5B0F" w:rsidRPr="006F4F5C">
        <w:rPr>
          <w:rFonts w:ascii="Book Antiqua" w:hAnsi="Book Antiqua"/>
        </w:rPr>
        <w:t>s</w:t>
      </w:r>
      <w:r w:rsidR="003D45EF" w:rsidRPr="006F4F5C">
        <w:rPr>
          <w:rFonts w:ascii="Book Antiqua" w:hAnsi="Book Antiqua"/>
        </w:rPr>
        <w:t>, of the Doctrine of Doing and Allowing.  These Doctrines are not rivals but mutually supporting sister principles.</w:t>
      </w:r>
    </w:p>
    <w:p w14:paraId="61D4E6DA" w14:textId="0A3EE7EA" w:rsidR="00C37E7A" w:rsidRPr="006F4F5C" w:rsidRDefault="003D45EF" w:rsidP="00D2304A">
      <w:pPr>
        <w:spacing w:line="360" w:lineRule="auto"/>
        <w:ind w:firstLine="720"/>
        <w:jc w:val="both"/>
        <w:rPr>
          <w:rFonts w:ascii="Book Antiqua" w:hAnsi="Book Antiqua"/>
        </w:rPr>
      </w:pPr>
      <w:r w:rsidRPr="006F4F5C">
        <w:rPr>
          <w:rFonts w:ascii="Book Antiqua" w:hAnsi="Book Antiqua"/>
        </w:rPr>
        <w:t xml:space="preserve">It follows that anyone who endorses a Nonconsequentialist account of right action </w:t>
      </w:r>
      <w:r w:rsidR="00AD7800" w:rsidRPr="006F4F5C">
        <w:rPr>
          <w:rFonts w:ascii="Book Antiqua" w:hAnsi="Book Antiqua"/>
        </w:rPr>
        <w:t>should</w:t>
      </w:r>
      <w:r w:rsidRPr="006F4F5C">
        <w:rPr>
          <w:rFonts w:ascii="Book Antiqua" w:hAnsi="Book Antiqua"/>
        </w:rPr>
        <w:t xml:space="preserve"> endorse both the Doctrine of Double Effect and the Doctrine of Doing and Allowing</w:t>
      </w:r>
      <w:r w:rsidR="00797B45">
        <w:rPr>
          <w:rFonts w:ascii="Book Antiqua" w:hAnsi="Book Antiqua"/>
        </w:rPr>
        <w:t xml:space="preserve"> or their replacements</w:t>
      </w:r>
      <w:r w:rsidRPr="006F4F5C">
        <w:rPr>
          <w:rFonts w:ascii="Book Antiqua" w:hAnsi="Book Antiqua"/>
        </w:rPr>
        <w:t xml:space="preserve">.  </w:t>
      </w:r>
      <w:r w:rsidR="00D2304A">
        <w:rPr>
          <w:rFonts w:ascii="Book Antiqua" w:hAnsi="Book Antiqua"/>
        </w:rPr>
        <w:t>T</w:t>
      </w:r>
      <w:r w:rsidR="00D2304A" w:rsidRPr="006F4F5C">
        <w:rPr>
          <w:rFonts w:ascii="Book Antiqua" w:hAnsi="Book Antiqua"/>
        </w:rPr>
        <w:t xml:space="preserve">here is a difference in the strength of my first conclusion and the second and third conclusions.  My first conclusion is that any Nonconsequentialist </w:t>
      </w:r>
      <w:r w:rsidR="00D2304A" w:rsidRPr="006F4F5C">
        <w:rPr>
          <w:rFonts w:ascii="Book Antiqua" w:hAnsi="Book Antiqua"/>
          <w:i/>
        </w:rPr>
        <w:t xml:space="preserve">must </w:t>
      </w:r>
      <w:r w:rsidR="00D2304A" w:rsidRPr="006F4F5C">
        <w:rPr>
          <w:rFonts w:ascii="Book Antiqua" w:hAnsi="Book Antiqua"/>
        </w:rPr>
        <w:t xml:space="preserve">endorse some deontological distinction.  Unless she does so, she will unable to draw the crucial distinction between </w:t>
      </w:r>
      <w:r w:rsidR="00D2304A">
        <w:rPr>
          <w:rFonts w:ascii="Book Antiqua" w:hAnsi="Book Antiqua"/>
        </w:rPr>
        <w:t>respect</w:t>
      </w:r>
      <w:r w:rsidR="00D2304A" w:rsidRPr="006F4F5C">
        <w:rPr>
          <w:rFonts w:ascii="Book Antiqua" w:hAnsi="Book Antiqua"/>
        </w:rPr>
        <w:t xml:space="preserve">ing and promoting and thus her theory will be incoherent.  The second and third conclusions combine to suggest that if a Nonconsequentialist is going to endorse a deontological distinction, she </w:t>
      </w:r>
      <w:r w:rsidR="00D2304A" w:rsidRPr="006F4F5C">
        <w:rPr>
          <w:rFonts w:ascii="Book Antiqua" w:hAnsi="Book Antiqua"/>
          <w:i/>
        </w:rPr>
        <w:t xml:space="preserve">should </w:t>
      </w:r>
      <w:r w:rsidR="00D2304A" w:rsidRPr="006F4F5C">
        <w:rPr>
          <w:rFonts w:ascii="Book Antiqua" w:hAnsi="Book Antiqua"/>
        </w:rPr>
        <w:t>endorse both the Doctrine of Double Effect and the Doctrine of Doing and Allowing</w:t>
      </w:r>
      <w:r w:rsidR="00D2304A">
        <w:rPr>
          <w:rFonts w:ascii="Book Antiqua" w:hAnsi="Book Antiqua"/>
        </w:rPr>
        <w:t xml:space="preserve"> or replacements</w:t>
      </w:r>
      <w:r w:rsidR="00D2304A" w:rsidRPr="006F4F5C">
        <w:rPr>
          <w:rFonts w:ascii="Book Antiqua" w:hAnsi="Book Antiqua"/>
        </w:rPr>
        <w:t>.  I take it that a Nonconsequentialist may avoid these two later conclusions by agreeing to bear various costs, for example by accepting certain implausible implications about cases.</w:t>
      </w:r>
      <w:r w:rsidR="00D2304A" w:rsidRPr="006F4F5C">
        <w:rPr>
          <w:rStyle w:val="FootnoteReference"/>
          <w:rFonts w:ascii="Book Antiqua" w:hAnsi="Book Antiqua"/>
        </w:rPr>
        <w:footnoteReference w:id="49"/>
      </w:r>
      <w:r w:rsidR="00D2304A" w:rsidRPr="006F4F5C">
        <w:rPr>
          <w:rFonts w:ascii="Book Antiqua" w:hAnsi="Book Antiqua"/>
        </w:rPr>
        <w:t xml:space="preserve">  In contrast, if my arguments are correct, it is not open to the Nonconsequentialist to avoid the first conclusion.</w:t>
      </w:r>
      <w:r w:rsidR="007E7E63" w:rsidRPr="006F4F5C">
        <w:rPr>
          <w:rFonts w:ascii="Book Antiqua" w:hAnsi="Book Antiqua"/>
        </w:rPr>
        <w:t xml:space="preserve"> </w:t>
      </w:r>
    </w:p>
    <w:p w14:paraId="690F87BE" w14:textId="48C52772" w:rsidR="00D2304A" w:rsidRPr="006F4F5C" w:rsidRDefault="00D2304A" w:rsidP="00D2304A">
      <w:pPr>
        <w:spacing w:line="360" w:lineRule="auto"/>
        <w:ind w:firstLine="720"/>
        <w:jc w:val="both"/>
        <w:rPr>
          <w:rFonts w:ascii="Book Antiqua" w:hAnsi="Book Antiqua"/>
        </w:rPr>
      </w:pPr>
      <w:r w:rsidRPr="006F4F5C">
        <w:rPr>
          <w:rFonts w:ascii="Book Antiqua" w:hAnsi="Book Antiqua"/>
        </w:rPr>
        <w:t xml:space="preserve">This </w:t>
      </w:r>
      <w:r>
        <w:rPr>
          <w:rFonts w:ascii="Book Antiqua" w:hAnsi="Book Antiqua"/>
        </w:rPr>
        <w:t xml:space="preserve">paper </w:t>
      </w:r>
      <w:r w:rsidR="008C5804">
        <w:rPr>
          <w:rFonts w:ascii="Book Antiqua" w:hAnsi="Book Antiqua"/>
        </w:rPr>
        <w:t>is not an</w:t>
      </w:r>
      <w:r w:rsidRPr="006F4F5C">
        <w:rPr>
          <w:rFonts w:ascii="Book Antiqua" w:hAnsi="Book Antiqua"/>
        </w:rPr>
        <w:t xml:space="preserve"> argument for the Doctrine of Double Effect and the Doctrine of Doing and Allowing.  Instead, </w:t>
      </w:r>
      <w:r w:rsidR="008C5804">
        <w:rPr>
          <w:rFonts w:ascii="Book Antiqua" w:hAnsi="Book Antiqua"/>
        </w:rPr>
        <w:t>it i</w:t>
      </w:r>
      <w:r w:rsidRPr="006F4F5C">
        <w:rPr>
          <w:rFonts w:ascii="Book Antiqua" w:hAnsi="Book Antiqua"/>
        </w:rPr>
        <w:t>s an argument for the importance of the investigation and defence of these doctrines for Nonconsequentialists.  As noted in the introduction, many Nonconsequentialists, in conversation if not in print, express a kind of relaxed scepticism about the Doctrine of Double Effect and the Doctrine of Doing and Allowing.  They are dubious about whether these doctrines can stand up</w:t>
      </w:r>
      <w:r w:rsidR="00A55FB7">
        <w:rPr>
          <w:rFonts w:ascii="Book Antiqua" w:hAnsi="Book Antiqua"/>
        </w:rPr>
        <w:t xml:space="preserve"> under scrutiny, but are not alarmed by this</w:t>
      </w:r>
      <w:r w:rsidRPr="006F4F5C">
        <w:rPr>
          <w:rFonts w:ascii="Book Antiqua" w:hAnsi="Book Antiqua"/>
        </w:rPr>
        <w:t xml:space="preserve">.  If I am right, such relaxed scepticism is not an option for Nonconsequentialists. If </w:t>
      </w:r>
      <w:r>
        <w:rPr>
          <w:rFonts w:ascii="Book Antiqua" w:hAnsi="Book Antiqua"/>
        </w:rPr>
        <w:t>defence of these doctrines</w:t>
      </w:r>
      <w:r w:rsidR="008C5804">
        <w:rPr>
          <w:rFonts w:ascii="Book Antiqua" w:hAnsi="Book Antiqua"/>
        </w:rPr>
        <w:t xml:space="preserve"> is not possible, </w:t>
      </w:r>
      <w:proofErr w:type="spellStart"/>
      <w:r w:rsidR="008C5804">
        <w:rPr>
          <w:rFonts w:ascii="Book Antiqua" w:hAnsi="Book Antiqua"/>
        </w:rPr>
        <w:t>Nonconsequentialism</w:t>
      </w:r>
      <w:proofErr w:type="spellEnd"/>
      <w:r w:rsidRPr="006F4F5C">
        <w:rPr>
          <w:rFonts w:ascii="Book Antiqua" w:hAnsi="Book Antiqua"/>
        </w:rPr>
        <w:t xml:space="preserve"> itself is </w:t>
      </w:r>
      <w:r>
        <w:rPr>
          <w:rFonts w:ascii="Book Antiqua" w:hAnsi="Book Antiqua"/>
        </w:rPr>
        <w:t>thrown into doubt</w:t>
      </w:r>
      <w:r w:rsidRPr="006F4F5C">
        <w:rPr>
          <w:rFonts w:ascii="Book Antiqua" w:hAnsi="Book Antiqua"/>
        </w:rPr>
        <w:t>.</w:t>
      </w:r>
    </w:p>
    <w:p w14:paraId="2A53B9E6" w14:textId="3106D5C7" w:rsidR="00D2304A" w:rsidRPr="006F4F5C" w:rsidRDefault="00D2304A" w:rsidP="00D2304A">
      <w:pPr>
        <w:spacing w:line="360" w:lineRule="auto"/>
        <w:ind w:firstLine="720"/>
        <w:jc w:val="both"/>
        <w:rPr>
          <w:rFonts w:ascii="Book Antiqua" w:hAnsi="Book Antiqua"/>
        </w:rPr>
      </w:pPr>
      <w:r w:rsidRPr="006F4F5C">
        <w:rPr>
          <w:rFonts w:ascii="Book Antiqua" w:hAnsi="Book Antiqua"/>
        </w:rPr>
        <w:t xml:space="preserve">Someone might wonder whether it would be more direct to skip the defence of the Doctrine of Double Effect and the Doctrine of Doing and Allowing, moving straight to an account of which values must be </w:t>
      </w:r>
      <w:r>
        <w:rPr>
          <w:rFonts w:ascii="Book Antiqua" w:hAnsi="Book Antiqua"/>
        </w:rPr>
        <w:t>respected</w:t>
      </w:r>
      <w:r w:rsidRPr="006F4F5C">
        <w:rPr>
          <w:rFonts w:ascii="Book Antiqua" w:hAnsi="Book Antiqua"/>
        </w:rPr>
        <w:t xml:space="preserve"> rather than promoted and what doing so entails.  This strategy is compatible with my arguments, although there may be strategic reasons to</w:t>
      </w:r>
      <w:r w:rsidRPr="006F4F5C">
        <w:rPr>
          <w:rFonts w:ascii="Book Antiqua" w:hAnsi="Book Antiqua"/>
          <w:i/>
        </w:rPr>
        <w:t xml:space="preserve"> </w:t>
      </w:r>
      <w:r w:rsidRPr="006F4F5C">
        <w:rPr>
          <w:rFonts w:ascii="Book Antiqua" w:hAnsi="Book Antiqua"/>
        </w:rPr>
        <w:t xml:space="preserve">start with a defence of the Doctrine of Double Effect and the Doctrine of Doing and </w:t>
      </w:r>
      <w:r w:rsidRPr="006F4F5C">
        <w:rPr>
          <w:rFonts w:ascii="Book Antiqua" w:hAnsi="Book Antiqua"/>
        </w:rPr>
        <w:lastRenderedPageBreak/>
        <w:t>Allowing</w:t>
      </w:r>
      <w:r w:rsidRPr="006F4F5C">
        <w:rPr>
          <w:rStyle w:val="FootnoteReference"/>
          <w:rFonts w:ascii="Book Antiqua" w:hAnsi="Book Antiqua"/>
        </w:rPr>
        <w:t xml:space="preserve"> </w:t>
      </w:r>
      <w:r w:rsidRPr="006F4F5C">
        <w:rPr>
          <w:rStyle w:val="FootnoteReference"/>
          <w:rFonts w:ascii="Book Antiqua" w:hAnsi="Book Antiqua"/>
        </w:rPr>
        <w:footnoteReference w:id="50"/>
      </w:r>
      <w:r w:rsidRPr="006F4F5C">
        <w:rPr>
          <w:rFonts w:ascii="Book Antiqua" w:hAnsi="Book Antiqua"/>
        </w:rPr>
        <w:t xml:space="preserve">, which can then be used as the model for a broader distinction between </w:t>
      </w:r>
      <w:r>
        <w:rPr>
          <w:rFonts w:ascii="Book Antiqua" w:hAnsi="Book Antiqua"/>
        </w:rPr>
        <w:t>respect</w:t>
      </w:r>
      <w:r w:rsidRPr="006F4F5C">
        <w:rPr>
          <w:rFonts w:ascii="Book Antiqua" w:hAnsi="Book Antiqua"/>
        </w:rPr>
        <w:t xml:space="preserve">ing and promoting values, rather than jumping straight into the larger project.  </w:t>
      </w:r>
      <w:r w:rsidR="00A55FB7">
        <w:rPr>
          <w:rFonts w:ascii="Book Antiqua" w:hAnsi="Book Antiqua"/>
        </w:rPr>
        <w:t>In any case,</w:t>
      </w:r>
      <w:r w:rsidRPr="006F4F5C">
        <w:rPr>
          <w:rFonts w:ascii="Book Antiqua" w:hAnsi="Book Antiqua"/>
        </w:rPr>
        <w:t xml:space="preserve"> even those who move straight to the larger project would need to explain and defend a distinction between </w:t>
      </w:r>
      <w:r>
        <w:rPr>
          <w:rFonts w:ascii="Book Antiqua" w:hAnsi="Book Antiqua"/>
        </w:rPr>
        <w:t>respect</w:t>
      </w:r>
      <w:r w:rsidRPr="006F4F5C">
        <w:rPr>
          <w:rFonts w:ascii="Book Antiqua" w:hAnsi="Book Antiqua"/>
        </w:rPr>
        <w:t>ing and promoting and thus at least some deontological distinction, most plausibly both the Doctrine of Double Effect and the Doctrine of Doing and Allowing.</w:t>
      </w:r>
      <w:r w:rsidRPr="006F4F5C">
        <w:rPr>
          <w:rStyle w:val="FootnoteReference"/>
          <w:rFonts w:ascii="Book Antiqua" w:hAnsi="Book Antiqua"/>
        </w:rPr>
        <w:footnoteReference w:id="51"/>
      </w:r>
    </w:p>
    <w:sectPr w:rsidR="00D2304A" w:rsidRPr="006F4F5C" w:rsidSect="003E498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149FA" w14:textId="77777777" w:rsidR="00971BC0" w:rsidRDefault="00971BC0" w:rsidP="00DC01B6">
      <w:pPr>
        <w:spacing w:after="0" w:line="240" w:lineRule="auto"/>
      </w:pPr>
      <w:r>
        <w:separator/>
      </w:r>
    </w:p>
  </w:endnote>
  <w:endnote w:type="continuationSeparator" w:id="0">
    <w:p w14:paraId="0D58386D" w14:textId="77777777" w:rsidR="00971BC0" w:rsidRDefault="00971BC0" w:rsidP="00DC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宋体">
    <w:panose1 w:val="00000000000000000000"/>
    <w:charset w:val="86"/>
    <w:family w:val="auto"/>
    <w:notTrueType/>
    <w:pitch w:val="variable"/>
    <w:sig w:usb0="00000001" w:usb1="080E0000" w:usb2="00000010" w:usb3="00000000" w:csb0="00040000" w:csb1="00000000"/>
  </w:font>
  <w:font w:name="Lucida Grande">
    <w:altName w:val="Arial"/>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0668"/>
      <w:docPartObj>
        <w:docPartGallery w:val="Page Numbers (Bottom of Page)"/>
        <w:docPartUnique/>
      </w:docPartObj>
    </w:sdtPr>
    <w:sdtContent>
      <w:p w14:paraId="2A008B62" w14:textId="77777777" w:rsidR="00971BC0" w:rsidRDefault="00971BC0">
        <w:pPr>
          <w:pStyle w:val="Footer"/>
          <w:jc w:val="right"/>
        </w:pPr>
        <w:r>
          <w:fldChar w:fldCharType="begin"/>
        </w:r>
        <w:r>
          <w:instrText xml:space="preserve"> PAGE   \* MERGEFORMAT </w:instrText>
        </w:r>
        <w:r>
          <w:fldChar w:fldCharType="separate"/>
        </w:r>
        <w:r w:rsidR="001D79BA">
          <w:rPr>
            <w:noProof/>
          </w:rPr>
          <w:t>1</w:t>
        </w:r>
        <w:r>
          <w:rPr>
            <w:noProof/>
          </w:rPr>
          <w:fldChar w:fldCharType="end"/>
        </w:r>
      </w:p>
    </w:sdtContent>
  </w:sdt>
  <w:p w14:paraId="71EFF7F4" w14:textId="77777777" w:rsidR="00971BC0" w:rsidRDefault="00971B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6C07B" w14:textId="77777777" w:rsidR="00971BC0" w:rsidRDefault="00971BC0" w:rsidP="00DC01B6">
      <w:pPr>
        <w:spacing w:after="0" w:line="240" w:lineRule="auto"/>
      </w:pPr>
      <w:r>
        <w:separator/>
      </w:r>
    </w:p>
  </w:footnote>
  <w:footnote w:type="continuationSeparator" w:id="0">
    <w:p w14:paraId="0081FEFB" w14:textId="77777777" w:rsidR="00971BC0" w:rsidRDefault="00971BC0" w:rsidP="00DC01B6">
      <w:pPr>
        <w:spacing w:after="0" w:line="240" w:lineRule="auto"/>
      </w:pPr>
      <w:r>
        <w:continuationSeparator/>
      </w:r>
    </w:p>
  </w:footnote>
  <w:footnote w:id="1">
    <w:p w14:paraId="069A2E2C" w14:textId="0143EE04" w:rsidR="00971BC0" w:rsidRPr="00F31DB2" w:rsidRDefault="00971BC0" w:rsidP="003C115F">
      <w:pPr>
        <w:pStyle w:val="FootnoteText"/>
      </w:pPr>
      <w:r w:rsidRPr="00F31DB2">
        <w:rPr>
          <w:rStyle w:val="FootnoteReference"/>
        </w:rPr>
        <w:footnoteRef/>
      </w:r>
      <w:r w:rsidRPr="00F31DB2">
        <w:t xml:space="preserve"> I thank audiences at the University of Hull, the University of Southampton and at the Workshop on the Moral </w:t>
      </w:r>
      <w:bookmarkStart w:id="0" w:name="_GoBack"/>
      <w:bookmarkEnd w:id="0"/>
      <w:r w:rsidRPr="00F31DB2">
        <w:t>Significance of Intentions at the University of Leeds.   I would also like to thank Chris Bennett and</w:t>
      </w:r>
      <w:r>
        <w:t xml:space="preserve"> </w:t>
      </w:r>
      <w:r w:rsidRPr="00F31DB2">
        <w:t xml:space="preserve">Anton </w:t>
      </w:r>
      <w:proofErr w:type="spellStart"/>
      <w:r w:rsidRPr="00F31DB2">
        <w:t>Markoc</w:t>
      </w:r>
      <w:proofErr w:type="spellEnd"/>
      <w:r w:rsidRPr="00F31DB2">
        <w:t xml:space="preserve"> for detailed comments.    </w:t>
      </w:r>
    </w:p>
  </w:footnote>
  <w:footnote w:id="2">
    <w:p w14:paraId="1538AB7D" w14:textId="7BBBBFDC" w:rsidR="00971BC0" w:rsidRPr="0012375F" w:rsidRDefault="00971BC0" w:rsidP="003C115F">
      <w:pPr>
        <w:pStyle w:val="FootnoteText"/>
        <w:rPr>
          <w:lang w:val="en-US"/>
        </w:rPr>
      </w:pPr>
      <w:r>
        <w:rPr>
          <w:rStyle w:val="FootnoteReference"/>
        </w:rPr>
        <w:footnoteRef/>
      </w:r>
      <w:r>
        <w:t xml:space="preserve"> </w:t>
      </w:r>
      <w:r>
        <w:rPr>
          <w:lang w:val="en-US"/>
        </w:rPr>
        <w:t xml:space="preserve">I thank </w:t>
      </w:r>
      <w:r>
        <w:t xml:space="preserve">Alex Gregory </w:t>
      </w:r>
      <w:r>
        <w:rPr>
          <w:lang w:val="en-US"/>
        </w:rPr>
        <w:t>for pointing out that the way in which I initially formulated this claim had unfortunate implications and required revision.</w:t>
      </w:r>
    </w:p>
  </w:footnote>
  <w:footnote w:id="3">
    <w:p w14:paraId="020980F2" w14:textId="79187E3E" w:rsidR="00971BC0" w:rsidRPr="00F31DB2" w:rsidRDefault="00971BC0" w:rsidP="003C115F">
      <w:pPr>
        <w:pStyle w:val="FootnoteText"/>
      </w:pPr>
      <w:r w:rsidRPr="00F31DB2">
        <w:rPr>
          <w:rStyle w:val="FootnoteReference"/>
        </w:rPr>
        <w:footnoteRef/>
      </w:r>
      <w:r w:rsidRPr="00F31DB2">
        <w:t>Judith Jarvis</w:t>
      </w:r>
      <w:r>
        <w:t xml:space="preserve"> Thomson</w:t>
      </w:r>
      <w:r w:rsidRPr="00F31DB2">
        <w:t xml:space="preserve">, 1976. “Killing, Letting Die, and the Trolley Problem.” </w:t>
      </w:r>
      <w:r w:rsidRPr="00F31DB2">
        <w:rPr>
          <w:i/>
          <w:iCs/>
        </w:rPr>
        <w:t>The Monist 59</w:t>
      </w:r>
      <w:r w:rsidRPr="00F31DB2">
        <w:t xml:space="preserve"> (2), 1976: p. 207.  The original trolley case was designed by Philippa Foot (“The Problem of Abortion and the Doctrine of Double Effect”.  In: </w:t>
      </w:r>
      <w:r w:rsidRPr="00F31DB2">
        <w:rPr>
          <w:i/>
          <w:iCs/>
        </w:rPr>
        <w:t>Oxford Review</w:t>
      </w:r>
      <w:r w:rsidRPr="00F31DB2">
        <w:t xml:space="preserve">, No. 5 (1967).  Reprinted in: </w:t>
      </w:r>
      <w:r w:rsidRPr="00F31DB2">
        <w:rPr>
          <w:i/>
          <w:iCs/>
        </w:rPr>
        <w:t>Killing and Letting Die</w:t>
      </w:r>
      <w:r w:rsidRPr="00F31DB2">
        <w:t xml:space="preserve">, </w:t>
      </w:r>
      <w:proofErr w:type="spellStart"/>
      <w:r w:rsidRPr="00F31DB2">
        <w:t>Steinbock</w:t>
      </w:r>
      <w:proofErr w:type="spellEnd"/>
      <w:r w:rsidRPr="00F31DB2">
        <w:t xml:space="preserve"> and Norcross (</w:t>
      </w:r>
      <w:proofErr w:type="spellStart"/>
      <w:proofErr w:type="gramStart"/>
      <w:r w:rsidRPr="00F31DB2">
        <w:t>ed</w:t>
      </w:r>
      <w:proofErr w:type="spellEnd"/>
      <w:proofErr w:type="gramEnd"/>
      <w:r w:rsidRPr="00F31DB2">
        <w:t>), p. 270.)</w:t>
      </w:r>
      <w:r w:rsidRPr="00F31DB2">
        <w:rPr>
          <w:color w:val="FF0000"/>
        </w:rPr>
        <w:t xml:space="preserve">  </w:t>
      </w:r>
      <w:r w:rsidRPr="00F31DB2">
        <w:t xml:space="preserve">In her case the </w:t>
      </w:r>
      <w:r w:rsidRPr="00F31DB2">
        <w:rPr>
          <w:i/>
        </w:rPr>
        <w:t>driver</w:t>
      </w:r>
      <w:r w:rsidRPr="00F31DB2">
        <w:t xml:space="preserve"> of the runaway trolley must decide whether to turn the trolley or not.  </w:t>
      </w:r>
    </w:p>
  </w:footnote>
  <w:footnote w:id="4">
    <w:p w14:paraId="41A4688E" w14:textId="41877C33" w:rsidR="00971BC0" w:rsidRPr="00F31DB2" w:rsidRDefault="00971BC0" w:rsidP="002A3CD7">
      <w:pPr>
        <w:pStyle w:val="FootnoteText"/>
      </w:pPr>
      <w:r w:rsidRPr="00F31DB2">
        <w:rPr>
          <w:rStyle w:val="FootnoteReference"/>
        </w:rPr>
        <w:footnoteRef/>
      </w:r>
      <w:r w:rsidRPr="00F31DB2">
        <w:t xml:space="preserve"> </w:t>
      </w:r>
      <w:proofErr w:type="gramStart"/>
      <w:r w:rsidRPr="00F31DB2">
        <w:t>Thomson,</w:t>
      </w:r>
      <w:r>
        <w:t xml:space="preserve"> “Killing, Letting Die, and the Trolley Problem”,</w:t>
      </w:r>
      <w:r w:rsidRPr="00F31DB2">
        <w:t xml:space="preserve"> p. 207-8.</w:t>
      </w:r>
      <w:proofErr w:type="gramEnd"/>
    </w:p>
  </w:footnote>
  <w:footnote w:id="5">
    <w:p w14:paraId="49BD5095" w14:textId="733E2F9A" w:rsidR="00971BC0" w:rsidRPr="00F31DB2" w:rsidRDefault="00971BC0" w:rsidP="00E42872">
      <w:pPr>
        <w:pStyle w:val="FootnoteText"/>
      </w:pPr>
      <w:r w:rsidRPr="00F31DB2">
        <w:rPr>
          <w:rStyle w:val="FootnoteReference"/>
        </w:rPr>
        <w:footnoteRef/>
      </w:r>
      <w:r w:rsidRPr="00F31DB2">
        <w:t xml:space="preserve"> Another </w:t>
      </w:r>
      <w:r>
        <w:t xml:space="preserve">pair </w:t>
      </w:r>
      <w:r w:rsidRPr="00F31DB2">
        <w:t>of cases that the D</w:t>
      </w:r>
      <w:r>
        <w:t xml:space="preserve">octrine of </w:t>
      </w:r>
      <w:r w:rsidRPr="00F31DB2">
        <w:t>D</w:t>
      </w:r>
      <w:r>
        <w:t xml:space="preserve">ouble </w:t>
      </w:r>
      <w:r w:rsidRPr="00F31DB2">
        <w:t>E</w:t>
      </w:r>
      <w:r>
        <w:t>ffect</w:t>
      </w:r>
      <w:r w:rsidRPr="00F31DB2">
        <w:t xml:space="preserve"> </w:t>
      </w:r>
      <w:r>
        <w:t>is used</w:t>
      </w:r>
      <w:r w:rsidRPr="00F31DB2">
        <w:t xml:space="preserve"> to explain </w:t>
      </w:r>
      <w:r>
        <w:t>is Terror Bomber/ Tactical Bomber</w:t>
      </w:r>
      <w:r w:rsidRPr="00F31DB2">
        <w:t xml:space="preserve">.  These are pervasive in the literature on the Doctrine of Double Effect (see for example, </w:t>
      </w:r>
      <w:r>
        <w:t xml:space="preserve">Shelly </w:t>
      </w:r>
      <w:proofErr w:type="spellStart"/>
      <w:r w:rsidRPr="00F31DB2">
        <w:t>Kagan</w:t>
      </w:r>
      <w:proofErr w:type="spellEnd"/>
      <w:r w:rsidRPr="00F31DB2">
        <w:t xml:space="preserve">, </w:t>
      </w:r>
      <w:r w:rsidRPr="00F31DB2">
        <w:rPr>
          <w:i/>
        </w:rPr>
        <w:t>The Limits of Morality</w:t>
      </w:r>
      <w:r w:rsidRPr="00F31DB2">
        <w:t>, (New York, Oxford University Press, 1989), p. 162) but I have been unable to find a definitive first reference.</w:t>
      </w:r>
    </w:p>
  </w:footnote>
  <w:footnote w:id="6">
    <w:p w14:paraId="1456578E" w14:textId="1C4F87D9" w:rsidR="00971BC0" w:rsidRPr="00E42872" w:rsidRDefault="00971BC0" w:rsidP="00E42872">
      <w:pPr>
        <w:pStyle w:val="FootnoteText"/>
      </w:pPr>
      <w:r w:rsidRPr="00F31DB2">
        <w:rPr>
          <w:rStyle w:val="FootnoteReference"/>
        </w:rPr>
        <w:footnoteRef/>
      </w:r>
      <w:r w:rsidRPr="00F31DB2">
        <w:t xml:space="preserve"> </w:t>
      </w:r>
      <w:r>
        <w:t xml:space="preserve">Prominent amongst these is the Closeness Problem.  What should we say about intuitively impermissible cases in which what the agent strictly needs for her plans to succeed is not the harm to the </w:t>
      </w:r>
      <w:proofErr w:type="gramStart"/>
      <w:r>
        <w:t>agent.</w:t>
      </w:r>
      <w:proofErr w:type="gramEnd"/>
      <w:r>
        <w:t xml:space="preserve">  For example, the Terror Bomber does not actually need the children to be killed, but merely for them to appear dead long enough to sap the morale of the enemy.  See, for example, Warren Quinn, “</w:t>
      </w:r>
      <w:proofErr w:type="spellStart"/>
      <w:r>
        <w:t>A</w:t>
      </w:r>
      <w:r w:rsidRPr="00E42872">
        <w:t>ctions,intentions,and</w:t>
      </w:r>
      <w:proofErr w:type="spellEnd"/>
      <w:r w:rsidRPr="00E42872">
        <w:t xml:space="preserve"> </w:t>
      </w:r>
    </w:p>
    <w:p w14:paraId="4AC64C60" w14:textId="2C508F22" w:rsidR="00971BC0" w:rsidRPr="00F31DB2" w:rsidRDefault="00971BC0" w:rsidP="003C115F">
      <w:pPr>
        <w:pStyle w:val="FootnoteText"/>
      </w:pPr>
      <w:proofErr w:type="gramStart"/>
      <w:r w:rsidRPr="00E42872">
        <w:t>consequences</w:t>
      </w:r>
      <w:proofErr w:type="gramEnd"/>
      <w:r w:rsidRPr="00E42872">
        <w:t>: the doctrine of double effect</w:t>
      </w:r>
      <w:r>
        <w:t>”</w:t>
      </w:r>
      <w:r w:rsidRPr="00E42872">
        <w:t xml:space="preserve">, </w:t>
      </w:r>
      <w:r w:rsidRPr="00E42872">
        <w:rPr>
          <w:i/>
          <w:iCs/>
        </w:rPr>
        <w:t>Philosophy and</w:t>
      </w:r>
      <w:r>
        <w:rPr>
          <w:i/>
          <w:iCs/>
        </w:rPr>
        <w:t xml:space="preserve"> </w:t>
      </w:r>
      <w:r w:rsidRPr="00E42872">
        <w:rPr>
          <w:i/>
          <w:iCs/>
        </w:rPr>
        <w:t xml:space="preserve">Public Affairs, </w:t>
      </w:r>
      <w:r>
        <w:t xml:space="preserve">18 (1989), pp. 338-39; J. M. Fischer, M </w:t>
      </w:r>
      <w:proofErr w:type="spellStart"/>
      <w:r>
        <w:t>Ravizza</w:t>
      </w:r>
      <w:proofErr w:type="spellEnd"/>
      <w:r>
        <w:t xml:space="preserve"> and D </w:t>
      </w:r>
      <w:proofErr w:type="spellStart"/>
      <w:r>
        <w:t>Copp</w:t>
      </w:r>
      <w:proofErr w:type="spellEnd"/>
      <w:r w:rsidRPr="00E42872">
        <w:t>,</w:t>
      </w:r>
      <w:r>
        <w:t xml:space="preserve"> “</w:t>
      </w:r>
      <w:r w:rsidRPr="00E42872">
        <w:t>Quinn on Double Effect: The Problem of ‘Closeness’</w:t>
      </w:r>
      <w:r>
        <w:t>”</w:t>
      </w:r>
      <w:r w:rsidRPr="00E42872">
        <w:t xml:space="preserve">, </w:t>
      </w:r>
      <w:r>
        <w:rPr>
          <w:i/>
          <w:iCs/>
        </w:rPr>
        <w:t>Et</w:t>
      </w:r>
      <w:r w:rsidRPr="00E42872">
        <w:rPr>
          <w:i/>
          <w:iCs/>
        </w:rPr>
        <w:t xml:space="preserve">hics, </w:t>
      </w:r>
      <w:r>
        <w:t xml:space="preserve">103(1993), pp. 711-12; Jeff McMahan, “Revising the Doctrine of Double Effect”, </w:t>
      </w:r>
      <w:r>
        <w:rPr>
          <w:i/>
        </w:rPr>
        <w:t>Journal of Applied Philosophy</w:t>
      </w:r>
      <w:r>
        <w:t xml:space="preserve">, 11 (1994): 201-212.   It has been suggested to me that the Doctrine of Double Effect should not be understood as an attempt to explain the Trolley and Bridge case, because the Closeness Problem means it is obviously unable to give asymmetrical results in these cases.  It seems to me that at least on our intuitive understanding, the agent in Bridge has objectionable intentions with respect to the large man but the agent in Trolley does not have objectionable intentions with respect to the single person.  It is not obvious that the Closeness Problem cannot be resolved in a way that reflects this.  There is certainly an ample literature in which the DDE is understood as an attempt to explain such cases.  I thank Anton </w:t>
      </w:r>
      <w:proofErr w:type="spellStart"/>
      <w:r>
        <w:t>Markoc</w:t>
      </w:r>
      <w:proofErr w:type="spellEnd"/>
      <w:r>
        <w:t xml:space="preserve"> for this point.  For other objections to the Doctrine of Double Effect, see, for example, </w:t>
      </w:r>
      <w:r w:rsidRPr="00677446">
        <w:rPr>
          <w:lang w:val="en-US"/>
        </w:rPr>
        <w:t>Fr</w:t>
      </w:r>
      <w:r>
        <w:rPr>
          <w:lang w:val="en-US"/>
        </w:rPr>
        <w:t xml:space="preserve">ances M. </w:t>
      </w:r>
      <w:proofErr w:type="spellStart"/>
      <w:r>
        <w:rPr>
          <w:lang w:val="en-US"/>
        </w:rPr>
        <w:t>Kamm</w:t>
      </w:r>
      <w:proofErr w:type="spellEnd"/>
      <w:r>
        <w:rPr>
          <w:lang w:val="en-US"/>
        </w:rPr>
        <w:t>,</w:t>
      </w:r>
      <w:r w:rsidRPr="00677446">
        <w:rPr>
          <w:lang w:val="en-US"/>
        </w:rPr>
        <w:t xml:space="preserve"> </w:t>
      </w:r>
      <w:r>
        <w:rPr>
          <w:lang w:val="en-US"/>
        </w:rPr>
        <w:t>“</w:t>
      </w:r>
      <w:r w:rsidRPr="00677446">
        <w:rPr>
          <w:bCs/>
          <w:lang w:val="en-US"/>
        </w:rPr>
        <w:t>The Doctrine of Double Effect: Reflections on Theoretical and Practical Issues</w:t>
      </w:r>
      <w:r>
        <w:rPr>
          <w:bCs/>
          <w:lang w:val="en-US"/>
        </w:rPr>
        <w:t>”</w:t>
      </w:r>
      <w:r w:rsidRPr="00677446">
        <w:rPr>
          <w:bCs/>
          <w:lang w:val="en-US"/>
        </w:rPr>
        <w:t>.</w:t>
      </w:r>
      <w:r w:rsidRPr="00677446">
        <w:rPr>
          <w:lang w:val="en-US"/>
        </w:rPr>
        <w:t xml:space="preserve"> </w:t>
      </w:r>
      <w:r w:rsidRPr="00677446">
        <w:rPr>
          <w:i/>
          <w:iCs/>
          <w:lang w:val="en-US"/>
        </w:rPr>
        <w:t>Journal of Medicine and Philosophy</w:t>
      </w:r>
      <w:r>
        <w:rPr>
          <w:lang w:val="en-US"/>
        </w:rPr>
        <w:t xml:space="preserve"> 16 (1991):571-585;</w:t>
      </w:r>
      <w:r>
        <w:t xml:space="preserve"> </w:t>
      </w:r>
      <w:r w:rsidRPr="000F76A4">
        <w:t>T.M</w:t>
      </w:r>
      <w:r>
        <w:t>.</w:t>
      </w:r>
      <w:r w:rsidRPr="000F76A4">
        <w:t xml:space="preserve"> </w:t>
      </w:r>
      <w:r>
        <w:t>Scanlon</w:t>
      </w:r>
      <w:r w:rsidRPr="000F76A4">
        <w:t xml:space="preserve">, ‘Intention and Permissibility’. </w:t>
      </w:r>
      <w:r w:rsidRPr="000F76A4">
        <w:rPr>
          <w:i/>
        </w:rPr>
        <w:t>Proceedings of the Aristotelian Society</w:t>
      </w:r>
      <w:r w:rsidRPr="000F76A4">
        <w:t xml:space="preserve">, </w:t>
      </w:r>
      <w:r w:rsidRPr="000F76A4">
        <w:rPr>
          <w:i/>
        </w:rPr>
        <w:t xml:space="preserve">Supplementary Volumes, </w:t>
      </w:r>
      <w:r w:rsidRPr="000F76A4">
        <w:t>Vol. 74 (2000): 301-317.</w:t>
      </w:r>
    </w:p>
  </w:footnote>
  <w:footnote w:id="7">
    <w:p w14:paraId="42549408" w14:textId="41F207F3" w:rsidR="00971BC0" w:rsidRPr="00F31DB2" w:rsidRDefault="00971BC0">
      <w:pPr>
        <w:pStyle w:val="FootnoteText"/>
      </w:pPr>
      <w:r w:rsidRPr="00F31DB2">
        <w:rPr>
          <w:rStyle w:val="FootnoteReference"/>
        </w:rPr>
        <w:footnoteRef/>
      </w:r>
      <w:r w:rsidRPr="00F31DB2">
        <w:t xml:space="preserve"> Sometimes it may be difficult to say whether a given principle is a replacement for the </w:t>
      </w:r>
      <w:r>
        <w:t>Doctrine of Double Effect</w:t>
      </w:r>
      <w:r w:rsidRPr="00F31DB2">
        <w:t xml:space="preserve"> or a modification of it.  This does not matter for my purposes.</w:t>
      </w:r>
    </w:p>
  </w:footnote>
  <w:footnote w:id="8">
    <w:p w14:paraId="09414F0B" w14:textId="77777777" w:rsidR="00971BC0" w:rsidRPr="00F31DB2" w:rsidRDefault="00971BC0" w:rsidP="00DD08AD">
      <w:pPr>
        <w:pStyle w:val="FootnoteText"/>
      </w:pPr>
      <w:r w:rsidRPr="00F31DB2">
        <w:rPr>
          <w:rStyle w:val="FootnoteReference"/>
        </w:rPr>
        <w:footnoteRef/>
      </w:r>
      <w:r w:rsidRPr="00F31DB2">
        <w:t xml:space="preserve"> Frances </w:t>
      </w:r>
      <w:proofErr w:type="spellStart"/>
      <w:r w:rsidRPr="00F31DB2">
        <w:t>Kamm</w:t>
      </w:r>
      <w:proofErr w:type="spellEnd"/>
      <w:r w:rsidRPr="00F31DB2">
        <w:t>, Intricate Ethics.  (New York, Oxford University Press. 2007)</w:t>
      </w:r>
      <w:proofErr w:type="gramStart"/>
      <w:r w:rsidRPr="00F31DB2">
        <w:t>, Chapter 5.</w:t>
      </w:r>
      <w:proofErr w:type="gramEnd"/>
    </w:p>
  </w:footnote>
  <w:footnote w:id="9">
    <w:p w14:paraId="0654BF9E" w14:textId="77777777" w:rsidR="00971BC0" w:rsidRPr="00270BFE" w:rsidRDefault="00971BC0" w:rsidP="00270BFE">
      <w:pPr>
        <w:pStyle w:val="FootnoteText"/>
      </w:pPr>
      <w:r>
        <w:rPr>
          <w:rStyle w:val="FootnoteReference"/>
        </w:rPr>
        <w:footnoteRef/>
      </w:r>
      <w:r>
        <w:t xml:space="preserve"> </w:t>
      </w:r>
      <w:r w:rsidRPr="00270BFE">
        <w:t xml:space="preserve">In this paper, I will not attempt to evaluate whether the Doctrine of Double Effect or some alternative principles does the best job of explaining the intuitions in question. </w:t>
      </w:r>
    </w:p>
  </w:footnote>
  <w:footnote w:id="10">
    <w:p w14:paraId="613F630A" w14:textId="17C3EDC9" w:rsidR="00971BC0" w:rsidRPr="00F31DB2" w:rsidRDefault="00971BC0" w:rsidP="00742025">
      <w:pPr>
        <w:pStyle w:val="FootnoteText"/>
      </w:pPr>
      <w:r w:rsidRPr="00F31DB2">
        <w:rPr>
          <w:rStyle w:val="FootnoteReference"/>
        </w:rPr>
        <w:footnoteRef/>
      </w:r>
      <w:r w:rsidRPr="00F31DB2">
        <w:t xml:space="preserve"> The classic examples are Foot’s Rescue I and II: in Rescue I, you choose to rescue five people instead of one person when you cannot rescue both; in Rescue II, you drive over one person on the way to rescue five.  (Philippa Foot, "Killing and Letting Die," Jay Garfield, ed., Abortion: Moral and Legal Perspectives (Amherst, Mass.: University of Massachusetts Press, 1984), pp. 179.) For various reasons, I prefer</w:t>
      </w:r>
      <w:r>
        <w:t xml:space="preserve"> </w:t>
      </w:r>
      <w:r w:rsidRPr="00F31DB2">
        <w:t xml:space="preserve">Push and Non-Interpose, in which you have been bitten by a snake and need to get to hospital immediately.  In Push, a boulder is blocking your path and you push it towards Victor who is trapped on the hillside.  In Non-Interpose, the boulder is already rolling towards Victor and you could interpose your car in the boulder’s path, but refuse because this would delay your trip to hospital.  I use Push and Non-Interpose in various places including Woollard, Doing and Allowing Harm (Oxford University Press, forthcoming).  They are modifications of cases proposed by Jonathan Bennett (‘Morality and Consequences’. In: </w:t>
      </w:r>
      <w:r w:rsidRPr="00F31DB2">
        <w:rPr>
          <w:i/>
        </w:rPr>
        <w:t>The Tanner Lectures on Human Values</w:t>
      </w:r>
      <w:r w:rsidRPr="00F31DB2">
        <w:t xml:space="preserve">, Sterling </w:t>
      </w:r>
      <w:proofErr w:type="spellStart"/>
      <w:r w:rsidRPr="00F31DB2">
        <w:t>McMurrin</w:t>
      </w:r>
      <w:proofErr w:type="spellEnd"/>
      <w:r w:rsidRPr="00F31DB2">
        <w:t xml:space="preserve"> (ed.) Salt Lake City, </w:t>
      </w:r>
      <w:proofErr w:type="gramStart"/>
      <w:r w:rsidRPr="00F31DB2">
        <w:t>University</w:t>
      </w:r>
      <w:proofErr w:type="gramEnd"/>
      <w:r w:rsidRPr="00F31DB2">
        <w:t xml:space="preserve"> of Utah Press. 1981, p. 52-3)</w:t>
      </w:r>
      <w:r>
        <w:t>.</w:t>
      </w:r>
      <w:r w:rsidRPr="00F31DB2">
        <w:t xml:space="preserve">    </w:t>
      </w:r>
    </w:p>
  </w:footnote>
  <w:footnote w:id="11">
    <w:p w14:paraId="0A93BBB4" w14:textId="689B88A1" w:rsidR="00971BC0" w:rsidRPr="00F31DB2" w:rsidRDefault="00971BC0">
      <w:pPr>
        <w:pStyle w:val="FootnoteText"/>
      </w:pPr>
      <w:r w:rsidRPr="00F31DB2">
        <w:rPr>
          <w:rStyle w:val="FootnoteReference"/>
        </w:rPr>
        <w:footnoteRef/>
      </w:r>
      <w:r w:rsidRPr="00F31DB2">
        <w:t xml:space="preserve"> </w:t>
      </w:r>
      <w:r w:rsidRPr="00742025">
        <w:t>Replacements for the Doctrine of Doing and Allowing are less common.  Those who are sceptical of this Doctrine have tended to conclude that there is no morally significant distinction in this area rather than proffering an alternative.</w:t>
      </w:r>
      <w:r>
        <w:t xml:space="preserve">  (See Bennett, </w:t>
      </w:r>
      <w:r>
        <w:rPr>
          <w:i/>
        </w:rPr>
        <w:t>The Act Itself</w:t>
      </w:r>
      <w:r>
        <w:t xml:space="preserve"> (Oxford: Oxford University Press, </w:t>
      </w:r>
      <w:r w:rsidRPr="00F0365C">
        <w:t>1995</w:t>
      </w:r>
      <w:r>
        <w:t>)</w:t>
      </w:r>
      <w:r w:rsidRPr="00D73CE1">
        <w:t xml:space="preserve"> </w:t>
      </w:r>
      <w:r w:rsidRPr="0050397D">
        <w:t xml:space="preserve">Shelly </w:t>
      </w:r>
      <w:proofErr w:type="spellStart"/>
      <w:r>
        <w:t>Kagan</w:t>
      </w:r>
      <w:proofErr w:type="spellEnd"/>
      <w:r>
        <w:t xml:space="preserve">, </w:t>
      </w:r>
      <w:r w:rsidRPr="0050397D">
        <w:rPr>
          <w:i/>
        </w:rPr>
        <w:t>The Limits of Morality</w:t>
      </w:r>
      <w:r>
        <w:t xml:space="preserve"> (Oxford:</w:t>
      </w:r>
      <w:r w:rsidRPr="0050397D">
        <w:t xml:space="preserve"> Oxford University Press</w:t>
      </w:r>
      <w:r>
        <w:t xml:space="preserve">, 1989), </w:t>
      </w:r>
      <w:r w:rsidRPr="0050397D">
        <w:t xml:space="preserve">Michael </w:t>
      </w:r>
      <w:proofErr w:type="spellStart"/>
      <w:r>
        <w:t>Tooley</w:t>
      </w:r>
      <w:proofErr w:type="spellEnd"/>
      <w:r>
        <w:t xml:space="preserve">, </w:t>
      </w:r>
      <w:r w:rsidRPr="0050397D">
        <w:rPr>
          <w:i/>
        </w:rPr>
        <w:t>Abortion and Infanticide</w:t>
      </w:r>
      <w:r>
        <w:t xml:space="preserve"> (</w:t>
      </w:r>
      <w:r w:rsidRPr="0050397D">
        <w:t>Oxford: Clarendon</w:t>
      </w:r>
      <w:r>
        <w:t xml:space="preserve">, </w:t>
      </w:r>
      <w:r w:rsidRPr="0050397D">
        <w:t>1983</w:t>
      </w:r>
      <w:r>
        <w:t xml:space="preserve">) </w:t>
      </w:r>
      <w:r w:rsidRPr="00D73CE1">
        <w:t xml:space="preserve">and </w:t>
      </w:r>
      <w:r>
        <w:t xml:space="preserve">James </w:t>
      </w:r>
      <w:proofErr w:type="spellStart"/>
      <w:r w:rsidRPr="00D73CE1">
        <w:t>Rachels</w:t>
      </w:r>
      <w:proofErr w:type="spellEnd"/>
      <w:r>
        <w:t>,</w:t>
      </w:r>
      <w:r w:rsidRPr="00D73CE1">
        <w:t xml:space="preserve"> </w:t>
      </w:r>
      <w:r>
        <w:t xml:space="preserve">‘Active and Passive </w:t>
      </w:r>
      <w:proofErr w:type="spellStart"/>
      <w:r>
        <w:t>Euthansia</w:t>
      </w:r>
      <w:proofErr w:type="spellEnd"/>
      <w:r>
        <w:t xml:space="preserve">’, </w:t>
      </w:r>
      <w:r>
        <w:rPr>
          <w:i/>
          <w:iCs/>
        </w:rPr>
        <w:t>New England Journal of Medicine</w:t>
      </w:r>
      <w:r>
        <w:t xml:space="preserve"> 292, (January 1975): 78-80</w:t>
      </w:r>
      <w:proofErr w:type="gramStart"/>
      <w:r>
        <w:t>. )</w:t>
      </w:r>
      <w:proofErr w:type="gramEnd"/>
      <w:r>
        <w:t xml:space="preserve"> </w:t>
      </w:r>
      <w:r w:rsidRPr="00742025">
        <w:t>Nonetheless, some authors have put forward principles that can be aptly described as alternatives to the Doctrine of Doing and Allowing.</w:t>
      </w:r>
      <w:r>
        <w:t xml:space="preserve">  (See </w:t>
      </w:r>
      <w:r w:rsidRPr="00F31DB2">
        <w:t>Kai Draper</w:t>
      </w:r>
      <w:r>
        <w:t>’s rights based theory and</w:t>
      </w:r>
      <w:r w:rsidRPr="00F31DB2">
        <w:t xml:space="preserve"> Timothy Hall</w:t>
      </w:r>
      <w:r>
        <w:t>’s</w:t>
      </w:r>
      <w:r w:rsidRPr="00F31DB2">
        <w:t xml:space="preserve"> </w:t>
      </w:r>
      <w:r>
        <w:t>three category distinction (</w:t>
      </w:r>
      <w:r w:rsidRPr="00743807">
        <w:t>Kai</w:t>
      </w:r>
      <w:r>
        <w:t xml:space="preserve"> </w:t>
      </w:r>
      <w:r w:rsidRPr="00743807">
        <w:t xml:space="preserve">Draper, </w:t>
      </w:r>
      <w:r>
        <w:t>‘</w:t>
      </w:r>
      <w:r w:rsidRPr="00743807">
        <w:t>Rights and the</w:t>
      </w:r>
      <w:r>
        <w:t xml:space="preserve"> Doctrine of Doing and Allowing’</w:t>
      </w:r>
      <w:r w:rsidRPr="00743807">
        <w:t xml:space="preserve">, </w:t>
      </w:r>
      <w:r w:rsidRPr="00743807">
        <w:rPr>
          <w:i/>
        </w:rPr>
        <w:t>Philosophy and Public Affairs</w:t>
      </w:r>
      <w:r>
        <w:t xml:space="preserve"> 33 </w:t>
      </w:r>
      <w:r w:rsidRPr="00743807">
        <w:t xml:space="preserve">(July 2005): </w:t>
      </w:r>
      <w:r>
        <w:t>pp.</w:t>
      </w:r>
      <w:r w:rsidRPr="00743807">
        <w:t xml:space="preserve"> 255-280</w:t>
      </w:r>
      <w:r>
        <w:t>; Timothy Hall, ‘</w:t>
      </w:r>
      <w:r w:rsidRPr="00743807">
        <w:t>Doing Harm, Allow</w:t>
      </w:r>
      <w:r>
        <w:t>ing Harm, and Denying Resources’,</w:t>
      </w:r>
      <w:r w:rsidRPr="00743807">
        <w:t xml:space="preserve"> </w:t>
      </w:r>
      <w:r w:rsidRPr="00743807">
        <w:rPr>
          <w:i/>
          <w:iCs/>
        </w:rPr>
        <w:t>Journal of Moral Philosophy</w:t>
      </w:r>
      <w:r w:rsidRPr="00743807">
        <w:t xml:space="preserve"> 5 (</w:t>
      </w:r>
      <w:r>
        <w:t>2008</w:t>
      </w:r>
      <w:r w:rsidRPr="00743807">
        <w:t>):</w:t>
      </w:r>
      <w:r>
        <w:t xml:space="preserve">  pp. </w:t>
      </w:r>
      <w:r w:rsidRPr="00743807">
        <w:t>50-76</w:t>
      </w:r>
      <w:r>
        <w:t>).)</w:t>
      </w:r>
    </w:p>
  </w:footnote>
  <w:footnote w:id="12">
    <w:p w14:paraId="4A537520" w14:textId="6C2864F4" w:rsidR="00971BC0" w:rsidRPr="00F31DB2" w:rsidRDefault="00971BC0" w:rsidP="003C115F">
      <w:pPr>
        <w:pStyle w:val="FootnoteText"/>
      </w:pPr>
      <w:r w:rsidRPr="00F31DB2">
        <w:rPr>
          <w:rStyle w:val="FootnoteReference"/>
        </w:rPr>
        <w:footnoteRef/>
      </w:r>
      <w:r w:rsidRPr="00F31DB2">
        <w:t xml:space="preserve"> I thank Anton </w:t>
      </w:r>
      <w:proofErr w:type="spellStart"/>
      <w:r w:rsidRPr="00F31DB2">
        <w:t>Markoc</w:t>
      </w:r>
      <w:proofErr w:type="spellEnd"/>
      <w:r w:rsidRPr="00F31DB2">
        <w:t xml:space="preserve"> for </w:t>
      </w:r>
      <w:r>
        <w:t>helping me to clarify my thoughts on this</w:t>
      </w:r>
      <w:r w:rsidRPr="00F31DB2">
        <w:t>.</w:t>
      </w:r>
    </w:p>
  </w:footnote>
  <w:footnote w:id="13">
    <w:p w14:paraId="002D6CB7" w14:textId="321B63E7" w:rsidR="00971BC0" w:rsidRPr="00F31DB2" w:rsidRDefault="00971BC0">
      <w:pPr>
        <w:pStyle w:val="FootnoteText"/>
      </w:pPr>
      <w:r w:rsidRPr="00F31DB2">
        <w:rPr>
          <w:rStyle w:val="FootnoteReference"/>
        </w:rPr>
        <w:footnoteRef/>
      </w:r>
      <w:r w:rsidRPr="00F31DB2">
        <w:t xml:space="preserve"> </w:t>
      </w:r>
      <w:r>
        <w:t xml:space="preserve">Philip </w:t>
      </w:r>
      <w:r w:rsidRPr="00F31DB2">
        <w:t xml:space="preserve">Pettit, “Consequentialism” in Singer’s </w:t>
      </w:r>
      <w:r w:rsidRPr="00F31DB2">
        <w:rPr>
          <w:i/>
        </w:rPr>
        <w:t>A Companion to Ethics</w:t>
      </w:r>
      <w:r w:rsidRPr="00F31DB2">
        <w:t>, p. 231.</w:t>
      </w:r>
    </w:p>
  </w:footnote>
  <w:footnote w:id="14">
    <w:p w14:paraId="69B05B5B" w14:textId="54D19084" w:rsidR="00971BC0" w:rsidRPr="00F31DB2" w:rsidRDefault="00971BC0">
      <w:pPr>
        <w:pStyle w:val="FootnoteText"/>
      </w:pPr>
      <w:r w:rsidRPr="00F31DB2">
        <w:rPr>
          <w:rStyle w:val="FootnoteReference"/>
        </w:rPr>
        <w:footnoteRef/>
      </w:r>
      <w:r w:rsidRPr="00F31DB2">
        <w:t xml:space="preserve"> Ibid, p. 232-233. </w:t>
      </w:r>
    </w:p>
  </w:footnote>
  <w:footnote w:id="15">
    <w:p w14:paraId="144BDD07" w14:textId="779E1E0C" w:rsidR="00971BC0" w:rsidRPr="00F31DB2" w:rsidRDefault="00971BC0">
      <w:pPr>
        <w:pStyle w:val="FootnoteText"/>
      </w:pPr>
      <w:r w:rsidRPr="00F31DB2">
        <w:rPr>
          <w:rStyle w:val="FootnoteReference"/>
        </w:rPr>
        <w:footnoteRef/>
      </w:r>
      <w:r w:rsidRPr="00F31DB2">
        <w:t xml:space="preserve"> </w:t>
      </w:r>
      <w:proofErr w:type="gramStart"/>
      <w:r w:rsidRPr="00F31DB2">
        <w:t>Ibid, p. 237.</w:t>
      </w:r>
      <w:proofErr w:type="gramEnd"/>
      <w:r w:rsidRPr="00F31DB2">
        <w:t xml:space="preserve">  Elsewhere, Petit does suggest that for some valuable properties it may sometimes be unclear in practice what a Nonconsequentialist response to these values requires.  He uses happiness as an example.  His worry appears not to be based on the concerns about what it would take for an action to honour happiness, but on the possibility of cases where there is uncertainty about the results of action:  “Non-consequentialists do not tell us how to choose when none of the available options is going to display the relevant value for sure” (p. 233).</w:t>
      </w:r>
    </w:p>
  </w:footnote>
  <w:footnote w:id="16">
    <w:p w14:paraId="183E440D" w14:textId="68B5AFDC" w:rsidR="00971BC0" w:rsidRPr="00F31DB2" w:rsidRDefault="00971BC0">
      <w:pPr>
        <w:pStyle w:val="FootnoteText"/>
      </w:pPr>
      <w:r w:rsidRPr="00F31DB2">
        <w:rPr>
          <w:rStyle w:val="FootnoteReference"/>
        </w:rPr>
        <w:footnoteRef/>
      </w:r>
      <w:r w:rsidRPr="00F31DB2">
        <w:t xml:space="preserve"> </w:t>
      </w:r>
      <w:r>
        <w:t xml:space="preserve">David </w:t>
      </w:r>
      <w:r w:rsidRPr="00F31DB2">
        <w:t>McNaughton</w:t>
      </w:r>
      <w:r>
        <w:t xml:space="preserve"> and Piers Rawlings</w:t>
      </w:r>
      <w:r w:rsidRPr="00F31DB2">
        <w:t>, “</w:t>
      </w:r>
      <w:proofErr w:type="spellStart"/>
      <w:r w:rsidRPr="00F31DB2">
        <w:t>Honoring</w:t>
      </w:r>
      <w:proofErr w:type="spellEnd"/>
      <w:r w:rsidRPr="00F31DB2">
        <w:t xml:space="preserve"> and Promoting Values”,</w:t>
      </w:r>
      <w:r>
        <w:t xml:space="preserve"> </w:t>
      </w:r>
      <w:r w:rsidRPr="00F31DB2">
        <w:rPr>
          <w:i/>
          <w:iCs/>
        </w:rPr>
        <w:t>Ethics</w:t>
      </w:r>
      <w:r w:rsidRPr="00F31DB2">
        <w:t xml:space="preserve">, </w:t>
      </w:r>
      <w:r w:rsidRPr="00FB1D0B">
        <w:rPr>
          <w:bCs/>
        </w:rPr>
        <w:t>102</w:t>
      </w:r>
      <w:r w:rsidRPr="00F31DB2">
        <w:t xml:space="preserve"> (1992), pp. 835-43</w:t>
      </w:r>
      <w:r>
        <w:t>,</w:t>
      </w:r>
      <w:r w:rsidRPr="00F31DB2">
        <w:t xml:space="preserve"> p. 836.</w:t>
      </w:r>
    </w:p>
  </w:footnote>
  <w:footnote w:id="17">
    <w:p w14:paraId="39B08423" w14:textId="38E82F23" w:rsidR="00971BC0" w:rsidRPr="00F31DB2" w:rsidRDefault="00971BC0">
      <w:pPr>
        <w:pStyle w:val="FootnoteText"/>
      </w:pPr>
      <w:r w:rsidRPr="00F31DB2">
        <w:rPr>
          <w:rStyle w:val="FootnoteReference"/>
        </w:rPr>
        <w:footnoteRef/>
      </w:r>
      <w:r w:rsidRPr="00F31DB2">
        <w:t xml:space="preserve"> Pettit,</w:t>
      </w:r>
      <w:r>
        <w:t xml:space="preserve"> “Consequentialism”,</w:t>
      </w:r>
      <w:r w:rsidRPr="00F31DB2">
        <w:t xml:space="preserve"> </w:t>
      </w:r>
      <w:r w:rsidRPr="00FB1D0B">
        <w:t>233</w:t>
      </w:r>
    </w:p>
  </w:footnote>
  <w:footnote w:id="18">
    <w:p w14:paraId="56C86470" w14:textId="211DE9A0" w:rsidR="00971BC0" w:rsidRPr="00F31DB2" w:rsidRDefault="00971BC0">
      <w:pPr>
        <w:pStyle w:val="FootnoteText"/>
      </w:pPr>
      <w:r w:rsidRPr="00F31DB2">
        <w:rPr>
          <w:rStyle w:val="FootnoteReference"/>
        </w:rPr>
        <w:footnoteRef/>
      </w:r>
      <w:r w:rsidRPr="00F31DB2">
        <w:t xml:space="preserve"> Pettit,</w:t>
      </w:r>
      <w:r>
        <w:t xml:space="preserve"> “Consequentialism”</w:t>
      </w:r>
      <w:r w:rsidRPr="00F31DB2">
        <w:t xml:space="preserve"> 237</w:t>
      </w:r>
    </w:p>
  </w:footnote>
  <w:footnote w:id="19">
    <w:p w14:paraId="105385CF" w14:textId="6E47EC5C" w:rsidR="00971BC0" w:rsidRPr="00F31DB2" w:rsidRDefault="00971BC0">
      <w:pPr>
        <w:pStyle w:val="FootnoteText"/>
      </w:pPr>
      <w:r w:rsidRPr="00F31DB2">
        <w:rPr>
          <w:rStyle w:val="FootnoteReference"/>
        </w:rPr>
        <w:footnoteRef/>
      </w:r>
      <w:r w:rsidRPr="00F31DB2">
        <w:t xml:space="preserve"> </w:t>
      </w:r>
      <w:r>
        <w:t>McNaughton and Rawlings</w:t>
      </w:r>
      <w:r w:rsidRPr="00F31DB2">
        <w:t xml:space="preserve"> </w:t>
      </w:r>
      <w:r>
        <w:t>“</w:t>
      </w:r>
      <w:proofErr w:type="spellStart"/>
      <w:r>
        <w:t>Honoring</w:t>
      </w:r>
      <w:proofErr w:type="spellEnd"/>
      <w:r>
        <w:t xml:space="preserve"> and Promoting Values”,</w:t>
      </w:r>
      <w:r w:rsidRPr="00F31DB2">
        <w:t xml:space="preserve"> p. 838</w:t>
      </w:r>
    </w:p>
  </w:footnote>
  <w:footnote w:id="20">
    <w:p w14:paraId="521E40E7" w14:textId="6580A0CA" w:rsidR="00971BC0" w:rsidRPr="00F31DB2" w:rsidRDefault="00971BC0">
      <w:pPr>
        <w:pStyle w:val="FootnoteText"/>
      </w:pPr>
      <w:r w:rsidRPr="00F31DB2">
        <w:rPr>
          <w:rStyle w:val="FootnoteReference"/>
        </w:rPr>
        <w:footnoteRef/>
      </w:r>
      <w:r w:rsidRPr="00F31DB2">
        <w:t xml:space="preserve"> </w:t>
      </w:r>
      <w:proofErr w:type="gramStart"/>
      <w:r w:rsidRPr="00F31DB2">
        <w:t>Ibid, p, 839.</w:t>
      </w:r>
      <w:proofErr w:type="gramEnd"/>
    </w:p>
  </w:footnote>
  <w:footnote w:id="21">
    <w:p w14:paraId="325D380C" w14:textId="22EB79AD" w:rsidR="00971BC0" w:rsidRPr="00F31DB2" w:rsidRDefault="00971BC0">
      <w:pPr>
        <w:pStyle w:val="FootnoteText"/>
      </w:pPr>
      <w:r w:rsidRPr="00F31DB2">
        <w:rPr>
          <w:rStyle w:val="FootnoteReference"/>
        </w:rPr>
        <w:footnoteRef/>
      </w:r>
      <w:r w:rsidRPr="00F31DB2">
        <w:t xml:space="preserve"> </w:t>
      </w:r>
      <w:proofErr w:type="gramStart"/>
      <w:r w:rsidRPr="00F31DB2">
        <w:t>Ibid, p. 838.</w:t>
      </w:r>
      <w:proofErr w:type="gramEnd"/>
    </w:p>
  </w:footnote>
  <w:footnote w:id="22">
    <w:p w14:paraId="16290CBD" w14:textId="6D95E6C5" w:rsidR="00971BC0" w:rsidRPr="00F31DB2" w:rsidRDefault="00971BC0">
      <w:pPr>
        <w:pStyle w:val="FootnoteText"/>
      </w:pPr>
      <w:r w:rsidRPr="00F31DB2">
        <w:rPr>
          <w:rStyle w:val="FootnoteReference"/>
        </w:rPr>
        <w:footnoteRef/>
      </w:r>
      <w:r w:rsidRPr="00F31DB2">
        <w:t xml:space="preserve"> M</w:t>
      </w:r>
      <w:r>
        <w:t xml:space="preserve">cNaughton and </w:t>
      </w:r>
      <w:r w:rsidRPr="00F31DB2">
        <w:t>R</w:t>
      </w:r>
      <w:r>
        <w:t>awlings, “</w:t>
      </w:r>
      <w:proofErr w:type="spellStart"/>
      <w:r>
        <w:t>Honoring</w:t>
      </w:r>
      <w:proofErr w:type="spellEnd"/>
      <w:r>
        <w:t xml:space="preserve"> and Promoting Values”</w:t>
      </w:r>
      <w:r w:rsidRPr="00F31DB2">
        <w:t>, p. 839</w:t>
      </w:r>
    </w:p>
  </w:footnote>
  <w:footnote w:id="23">
    <w:p w14:paraId="07FAA7E0" w14:textId="3DC7DE53" w:rsidR="00971BC0" w:rsidRPr="00F31DB2" w:rsidRDefault="00971BC0" w:rsidP="00A55FB7">
      <w:pPr>
        <w:pStyle w:val="FootnoteText"/>
      </w:pPr>
      <w:r w:rsidRPr="00F31DB2">
        <w:rPr>
          <w:rStyle w:val="FootnoteReference"/>
        </w:rPr>
        <w:footnoteRef/>
      </w:r>
      <w:r w:rsidRPr="00F31DB2">
        <w:t xml:space="preserve"> </w:t>
      </w:r>
      <w:r>
        <w:t xml:space="preserve">Suppose we have a rule such as </w:t>
      </w:r>
      <w:r w:rsidRPr="00A55FB7">
        <w:t xml:space="preserve">(AR) For all </w:t>
      </w:r>
      <w:proofErr w:type="gramStart"/>
      <w:r w:rsidRPr="00A55FB7">
        <w:t>x</w:t>
      </w:r>
      <w:proofErr w:type="gramEnd"/>
      <w:r w:rsidRPr="00A55FB7">
        <w:t>, x i</w:t>
      </w:r>
      <w:r>
        <w:t>s required to ensure that x does not lie</w:t>
      </w:r>
      <w:r w:rsidRPr="00A55FB7">
        <w:t>.</w:t>
      </w:r>
      <w:r>
        <w:t xml:space="preserve">  We</w:t>
      </w:r>
      <w:r w:rsidRPr="00A55FB7">
        <w:t xml:space="preserve"> agent-neutralize </w:t>
      </w:r>
      <w:r>
        <w:t>AR</w:t>
      </w:r>
      <w:r w:rsidRPr="00A55FB7">
        <w:t>, by replacing any occurrences within the brackets of the initial bound variable ‘x’ with a new variable, z, bound to a new universal quantifier within the brackets. This gi</w:t>
      </w:r>
      <w:r>
        <w:t xml:space="preserve">ves us a new agent-neutral rule, (AN) </w:t>
      </w:r>
      <w:r w:rsidRPr="00A55FB7">
        <w:t xml:space="preserve">For all </w:t>
      </w:r>
      <w:proofErr w:type="gramStart"/>
      <w:r w:rsidRPr="00A55FB7">
        <w:t>x</w:t>
      </w:r>
      <w:proofErr w:type="gramEnd"/>
      <w:r w:rsidRPr="00A55FB7">
        <w:t xml:space="preserve">, x is required to ensure that (for all z, </w:t>
      </w:r>
      <w:r>
        <w:t>z does not lie</w:t>
      </w:r>
      <w:r w:rsidRPr="00A55FB7">
        <w:t>).</w:t>
      </w:r>
      <w:r>
        <w:t xml:space="preserve">  </w:t>
      </w:r>
      <w:r w:rsidRPr="00F31DB2">
        <w:t xml:space="preserve">See David McNaughton and Piers </w:t>
      </w:r>
      <w:proofErr w:type="spellStart"/>
      <w:r w:rsidRPr="00F31DB2">
        <w:t>Rawling</w:t>
      </w:r>
      <w:proofErr w:type="spellEnd"/>
      <w:r w:rsidRPr="00F31DB2">
        <w:t>, ‘Agent Relativity and the Doing-Happening Distinction’, Philosophical Studies 63 (1991):</w:t>
      </w:r>
      <w:r>
        <w:t xml:space="preserve"> 167-185.</w:t>
      </w:r>
    </w:p>
  </w:footnote>
  <w:footnote w:id="24">
    <w:p w14:paraId="60F978B7" w14:textId="7109FF6F" w:rsidR="00971BC0" w:rsidRPr="00B53CE8" w:rsidRDefault="00971BC0" w:rsidP="003C115F">
      <w:pPr>
        <w:pStyle w:val="FootnoteText"/>
        <w:rPr>
          <w:lang w:val="en-US"/>
        </w:rPr>
      </w:pPr>
      <w:r>
        <w:rPr>
          <w:rStyle w:val="FootnoteReference"/>
        </w:rPr>
        <w:footnoteRef/>
      </w:r>
      <w:r>
        <w:t xml:space="preserve"> </w:t>
      </w:r>
      <w:r>
        <w:rPr>
          <w:lang w:val="en-US"/>
        </w:rPr>
        <w:t xml:space="preserve">I thank </w:t>
      </w:r>
      <w:proofErr w:type="spellStart"/>
      <w:r>
        <w:rPr>
          <w:lang w:val="en-US"/>
        </w:rPr>
        <w:t>Pekka</w:t>
      </w:r>
      <w:proofErr w:type="spellEnd"/>
      <w:r>
        <w:rPr>
          <w:lang w:val="en-US"/>
        </w:rPr>
        <w:t xml:space="preserve"> </w:t>
      </w:r>
      <w:proofErr w:type="spellStart"/>
      <w:r>
        <w:rPr>
          <w:lang w:val="en-US"/>
        </w:rPr>
        <w:t>V</w:t>
      </w:r>
      <w:r>
        <w:rPr>
          <w:rFonts w:ascii="Calibri" w:hAnsi="Calibri"/>
          <w:lang w:val="en-US"/>
        </w:rPr>
        <w:t>ä</w:t>
      </w:r>
      <w:r>
        <w:rPr>
          <w:lang w:val="en-US"/>
        </w:rPr>
        <w:t>yrynen</w:t>
      </w:r>
      <w:proofErr w:type="spellEnd"/>
      <w:r>
        <w:rPr>
          <w:lang w:val="en-US"/>
        </w:rPr>
        <w:t xml:space="preserve"> for this point.</w:t>
      </w:r>
    </w:p>
  </w:footnote>
  <w:footnote w:id="25">
    <w:p w14:paraId="30FD56CB" w14:textId="7060A9B7" w:rsidR="00971BC0" w:rsidRPr="00F31DB2" w:rsidRDefault="00971BC0" w:rsidP="003C115F">
      <w:pPr>
        <w:pStyle w:val="FootnoteText"/>
      </w:pPr>
      <w:r w:rsidRPr="00F31DB2">
        <w:rPr>
          <w:rStyle w:val="FootnoteReference"/>
        </w:rPr>
        <w:footnoteRef/>
      </w:r>
      <w:r w:rsidRPr="00F31DB2">
        <w:t xml:space="preserve"> I th</w:t>
      </w:r>
      <w:r>
        <w:t>ank Kurt Sylvan and</w:t>
      </w:r>
      <w:r w:rsidRPr="00B53CE8">
        <w:t xml:space="preserve"> </w:t>
      </w:r>
      <w:r>
        <w:t>Dawn Wilson for raising this point</w:t>
      </w:r>
      <w:r w:rsidRPr="00F31DB2">
        <w:t>.  There may be some values</w:t>
      </w:r>
      <w:r>
        <w:t>, for example, humour,</w:t>
      </w:r>
      <w:r w:rsidRPr="00F31DB2">
        <w:t xml:space="preserve"> where the appropriate response is not aptly described as “respect”.</w:t>
      </w:r>
      <w:r>
        <w:t xml:space="preserve">  The values that theories of morally right action are concerned with will generally be values to which the appropriate response is respect.  However, if not, we can treat ‘respect’ as a term of art and stipulate that it includes these other non-promotional ways of responding to value. </w:t>
      </w:r>
      <w:r w:rsidRPr="00F31DB2">
        <w:t xml:space="preserve">      </w:t>
      </w:r>
    </w:p>
  </w:footnote>
  <w:footnote w:id="26">
    <w:p w14:paraId="13E664C1" w14:textId="7AE4F47A" w:rsidR="00971BC0" w:rsidRPr="00F31DB2" w:rsidRDefault="00971BC0" w:rsidP="003C115F">
      <w:pPr>
        <w:pStyle w:val="FootnoteText"/>
      </w:pPr>
      <w:r w:rsidRPr="00F31DB2">
        <w:rPr>
          <w:rStyle w:val="FootnoteReference"/>
        </w:rPr>
        <w:footnoteRef/>
      </w:r>
      <w:r w:rsidRPr="00F31DB2">
        <w:t xml:space="preserve"> The following passage was originally written in terms of countenanced deception rather </w:t>
      </w:r>
      <w:proofErr w:type="spellStart"/>
      <w:r w:rsidRPr="00F31DB2">
        <w:t>mispresentation</w:t>
      </w:r>
      <w:proofErr w:type="spellEnd"/>
      <w:r w:rsidRPr="00F31DB2">
        <w:t xml:space="preserve">.  It was suggested to me that an agent might count as lying even if she does not bring about – or even believe that she will bring about - deception.  I accept that we can lie even if we do not expect to be believed.  However, there is some consequence which must be both foreseen and intended for someone to count as lying: a person being presented with an untruth as if it were truth.  It is this that I intend to pick out with the term “misrepresentation”.   I thank </w:t>
      </w:r>
      <w:proofErr w:type="spellStart"/>
      <w:r w:rsidRPr="00F31DB2">
        <w:t>Kamila</w:t>
      </w:r>
      <w:proofErr w:type="spellEnd"/>
      <w:r w:rsidRPr="00F31DB2">
        <w:t xml:space="preserve"> </w:t>
      </w:r>
      <w:proofErr w:type="spellStart"/>
      <w:r w:rsidRPr="00F31DB2">
        <w:t>Pacovska</w:t>
      </w:r>
      <w:proofErr w:type="spellEnd"/>
      <w:r w:rsidRPr="00F31DB2">
        <w:t xml:space="preserve"> for pressing me on this.</w:t>
      </w:r>
    </w:p>
  </w:footnote>
  <w:footnote w:id="27">
    <w:p w14:paraId="21D5F065" w14:textId="5FD4671D" w:rsidR="00971BC0" w:rsidRPr="00FB1D0B" w:rsidRDefault="00971BC0" w:rsidP="00B860F3">
      <w:pPr>
        <w:pStyle w:val="FootnoteText"/>
      </w:pPr>
      <w:r>
        <w:rPr>
          <w:rStyle w:val="FootnoteReference"/>
        </w:rPr>
        <w:footnoteRef/>
      </w:r>
      <w:r>
        <w:t xml:space="preserve"> </w:t>
      </w:r>
      <w:r>
        <w:rPr>
          <w:lang w:val="en-US"/>
        </w:rPr>
        <w:t>Elizabeth Anscombe argues that the Doctrine of Double Effect is “essential” for Christian Ethics to be able to recognize prohibitions because “…</w:t>
      </w:r>
      <w:r w:rsidRPr="00CF093C">
        <w:rPr>
          <w:lang w:val="en-US"/>
        </w:rPr>
        <w:t>if I am answerable for the foreseen consequences of an action or refusal, as much as for the action itself, then these prohibitions will break down. If someone innocent will die unless I do a wicked thing, then on this view I am his murderer in refusing: so all that is left to me is to weigh up evils.</w:t>
      </w:r>
      <w:r>
        <w:rPr>
          <w:lang w:val="en-US"/>
        </w:rPr>
        <w:t>” (</w:t>
      </w:r>
      <w:r w:rsidRPr="00F31DB2">
        <w:t xml:space="preserve">Anscombe “War and Murder”, in </w:t>
      </w:r>
      <w:r w:rsidRPr="001E2105">
        <w:t xml:space="preserve">Walter Stein (ed.), </w:t>
      </w:r>
      <w:r w:rsidRPr="001E2105">
        <w:rPr>
          <w:i/>
        </w:rPr>
        <w:t>Nuclear Weapons: A Catholic Response</w:t>
      </w:r>
      <w:r w:rsidRPr="001E2105">
        <w:t xml:space="preserve"> </w:t>
      </w:r>
      <w:r>
        <w:t xml:space="preserve">(London, 1961), pp. 44-62, p. 57.) </w:t>
      </w:r>
      <w:r w:rsidRPr="001E2105">
        <w:t xml:space="preserve"> </w:t>
      </w:r>
    </w:p>
  </w:footnote>
  <w:footnote w:id="28">
    <w:p w14:paraId="12614F48" w14:textId="1DB0F9C1" w:rsidR="00971BC0" w:rsidRPr="003716FF" w:rsidRDefault="00971BC0">
      <w:pPr>
        <w:pStyle w:val="FootnoteText"/>
        <w:rPr>
          <w:lang w:val="en-US"/>
        </w:rPr>
      </w:pPr>
      <w:r>
        <w:rPr>
          <w:rStyle w:val="FootnoteReference"/>
        </w:rPr>
        <w:footnoteRef/>
      </w:r>
      <w:r>
        <w:t xml:space="preserve"> </w:t>
      </w:r>
      <w:r>
        <w:rPr>
          <w:lang w:val="en-US"/>
        </w:rPr>
        <w:t xml:space="preserve">I will not normally count as lying if I bring it about that my mother utters a falsehood to my father.  For discussion on these additional conditions see Bennett </w:t>
      </w:r>
      <w:r>
        <w:rPr>
          <w:i/>
          <w:lang w:val="en-US"/>
        </w:rPr>
        <w:t>The Act Itself</w:t>
      </w:r>
      <w:r>
        <w:rPr>
          <w:lang w:val="en-US"/>
        </w:rPr>
        <w:t xml:space="preserve"> (Oxford: Oxford University Press, 1995): 4-6.</w:t>
      </w:r>
    </w:p>
  </w:footnote>
  <w:footnote w:id="29">
    <w:p w14:paraId="4FB9E753" w14:textId="0A77BCF0" w:rsidR="00971BC0" w:rsidRPr="00CA6D59" w:rsidRDefault="00971BC0">
      <w:pPr>
        <w:pStyle w:val="FootnoteText"/>
        <w:rPr>
          <w:lang w:val="en-US"/>
        </w:rPr>
      </w:pPr>
      <w:r>
        <w:rPr>
          <w:rStyle w:val="FootnoteReference"/>
        </w:rPr>
        <w:footnoteRef/>
      </w:r>
      <w:r>
        <w:t xml:space="preserve"> </w:t>
      </w:r>
      <w:r>
        <w:rPr>
          <w:lang w:val="en-US"/>
        </w:rPr>
        <w:t xml:space="preserve">Jonathan </w:t>
      </w:r>
      <w:proofErr w:type="spellStart"/>
      <w:r>
        <w:rPr>
          <w:lang w:val="en-US"/>
        </w:rPr>
        <w:t>Dancy</w:t>
      </w:r>
      <w:proofErr w:type="spellEnd"/>
      <w:r>
        <w:rPr>
          <w:lang w:val="en-US"/>
        </w:rPr>
        <w:t xml:space="preserve">, “Has anyone ever been a Non-Intuitionist”, in Thomas </w:t>
      </w:r>
      <w:proofErr w:type="spellStart"/>
      <w:r>
        <w:rPr>
          <w:lang w:val="en-US"/>
        </w:rPr>
        <w:t>Hurka</w:t>
      </w:r>
      <w:proofErr w:type="spellEnd"/>
      <w:r>
        <w:rPr>
          <w:lang w:val="en-US"/>
        </w:rPr>
        <w:t xml:space="preserve"> (</w:t>
      </w:r>
      <w:proofErr w:type="spellStart"/>
      <w:r>
        <w:rPr>
          <w:lang w:val="en-US"/>
        </w:rPr>
        <w:t>ed</w:t>
      </w:r>
      <w:proofErr w:type="spellEnd"/>
      <w:r>
        <w:rPr>
          <w:lang w:val="en-US"/>
        </w:rPr>
        <w:t xml:space="preserve">) </w:t>
      </w:r>
      <w:proofErr w:type="spellStart"/>
      <w:r w:rsidRPr="00CA13B3">
        <w:rPr>
          <w:i/>
          <w:lang w:val="en-US"/>
        </w:rPr>
        <w:t>Underivative</w:t>
      </w:r>
      <w:proofErr w:type="spellEnd"/>
      <w:r w:rsidRPr="00CA13B3">
        <w:rPr>
          <w:i/>
          <w:lang w:val="en-US"/>
        </w:rPr>
        <w:t xml:space="preserve"> Duty: British Moral Philosophers from </w:t>
      </w:r>
      <w:proofErr w:type="spellStart"/>
      <w:r w:rsidRPr="00CA13B3">
        <w:rPr>
          <w:i/>
          <w:lang w:val="en-US"/>
        </w:rPr>
        <w:t>Sidgwick</w:t>
      </w:r>
      <w:proofErr w:type="spellEnd"/>
      <w:r w:rsidRPr="00CA13B3">
        <w:rPr>
          <w:i/>
          <w:lang w:val="en-US"/>
        </w:rPr>
        <w:t xml:space="preserve"> to Ewing</w:t>
      </w:r>
      <w:r>
        <w:rPr>
          <w:lang w:val="en-US"/>
        </w:rPr>
        <w:t xml:space="preserve">  (Oxford University Press, 2011), p. 91.</w:t>
      </w:r>
    </w:p>
  </w:footnote>
  <w:footnote w:id="30">
    <w:p w14:paraId="72A73B3D" w14:textId="48F6A5EC" w:rsidR="00971BC0" w:rsidRPr="00CA6D59" w:rsidRDefault="00971BC0">
      <w:pPr>
        <w:pStyle w:val="FootnoteText"/>
        <w:rPr>
          <w:lang w:val="en-US"/>
        </w:rPr>
      </w:pPr>
      <w:r>
        <w:rPr>
          <w:rStyle w:val="FootnoteReference"/>
        </w:rPr>
        <w:footnoteRef/>
      </w:r>
      <w:proofErr w:type="spellStart"/>
      <w:proofErr w:type="gramStart"/>
      <w:r>
        <w:rPr>
          <w:lang w:val="en-US"/>
        </w:rPr>
        <w:t>Dancy</w:t>
      </w:r>
      <w:proofErr w:type="spellEnd"/>
      <w:r>
        <w:rPr>
          <w:lang w:val="en-US"/>
        </w:rPr>
        <w:t>, “Has anyone ever been a Non-Intuitionist”</w:t>
      </w:r>
      <w:r>
        <w:t xml:space="preserve"> p. 95.</w:t>
      </w:r>
      <w:proofErr w:type="gramEnd"/>
    </w:p>
  </w:footnote>
  <w:footnote w:id="31">
    <w:p w14:paraId="24FF00BD" w14:textId="08A45B37" w:rsidR="00971BC0" w:rsidRPr="00F31DB2" w:rsidRDefault="00971BC0">
      <w:pPr>
        <w:pStyle w:val="FootnoteText"/>
      </w:pPr>
      <w:r w:rsidRPr="00F31DB2">
        <w:rPr>
          <w:rStyle w:val="FootnoteReference"/>
        </w:rPr>
        <w:footnoteRef/>
      </w:r>
      <w:r w:rsidRPr="00F31DB2">
        <w:t xml:space="preserve"> David McNaughton and Piers </w:t>
      </w:r>
      <w:proofErr w:type="spellStart"/>
      <w:r w:rsidRPr="00F31DB2">
        <w:t>Rawling</w:t>
      </w:r>
      <w:proofErr w:type="spellEnd"/>
      <w:r w:rsidRPr="00F31DB2">
        <w:t>, ‘Agent Relativity and the Doing-Happening Distinction’, Philosophical Studies 63 (1991): 176-177.</w:t>
      </w:r>
    </w:p>
  </w:footnote>
  <w:footnote w:id="32">
    <w:p w14:paraId="65CC2275" w14:textId="77777777" w:rsidR="00971BC0" w:rsidRPr="00F31DB2" w:rsidRDefault="00971BC0" w:rsidP="009D0617">
      <w:pPr>
        <w:pStyle w:val="FootnoteText"/>
      </w:pPr>
      <w:r w:rsidRPr="00F31DB2">
        <w:rPr>
          <w:rStyle w:val="FootnoteReference"/>
        </w:rPr>
        <w:footnoteRef/>
      </w:r>
      <w:r w:rsidRPr="00F31DB2">
        <w:t xml:space="preserve"> C.F. James Dreier, ‘Structures of Normative Theories’, The Monist 76 (1993):</w:t>
      </w:r>
    </w:p>
    <w:p w14:paraId="6352CD80" w14:textId="77777777" w:rsidR="00971BC0" w:rsidRPr="00F31DB2" w:rsidRDefault="00971BC0" w:rsidP="009D0617">
      <w:pPr>
        <w:pStyle w:val="FootnoteText"/>
      </w:pPr>
      <w:r w:rsidRPr="00F31DB2">
        <w:t>22–40; Jennie Louise, ‘Relativity of Value and the Consequentialist Umbrella’, The Philosophical</w:t>
      </w:r>
    </w:p>
    <w:p w14:paraId="7AA29006" w14:textId="77777777" w:rsidR="00971BC0" w:rsidRPr="00F31DB2" w:rsidRDefault="00971BC0" w:rsidP="009D0617">
      <w:pPr>
        <w:pStyle w:val="FootnoteText"/>
      </w:pPr>
      <w:r w:rsidRPr="00F31DB2">
        <w:t xml:space="preserve">Quarterly 54 (2004): 518–536; Douglas W. </w:t>
      </w:r>
      <w:proofErr w:type="spellStart"/>
      <w:r w:rsidRPr="00F31DB2">
        <w:t>Portmore</w:t>
      </w:r>
      <w:proofErr w:type="spellEnd"/>
      <w:r w:rsidRPr="00F31DB2">
        <w:t>, ‘</w:t>
      </w:r>
      <w:proofErr w:type="spellStart"/>
      <w:r w:rsidRPr="00F31DB2">
        <w:t>Consequentializing</w:t>
      </w:r>
      <w:proofErr w:type="spellEnd"/>
      <w:r w:rsidRPr="00F31DB2">
        <w:t xml:space="preserve"> Moral</w:t>
      </w:r>
    </w:p>
    <w:p w14:paraId="497C1EEE" w14:textId="77777777" w:rsidR="00971BC0" w:rsidRPr="00F31DB2" w:rsidRDefault="00971BC0" w:rsidP="009D0617">
      <w:pPr>
        <w:pStyle w:val="FootnoteText"/>
      </w:pPr>
      <w:r w:rsidRPr="00F31DB2">
        <w:t>Theories’, Pacific Philosophical Quarterly, no. 88 (2007): 39–73; Campbell Brown, ‘</w:t>
      </w:r>
      <w:proofErr w:type="spellStart"/>
      <w:r w:rsidRPr="00F31DB2">
        <w:t>Consequentialize</w:t>
      </w:r>
      <w:proofErr w:type="spellEnd"/>
      <w:r w:rsidRPr="00F31DB2">
        <w:t xml:space="preserve"> This!</w:t>
      </w:r>
      <w:proofErr w:type="gramStart"/>
      <w:r w:rsidRPr="00F31DB2">
        <w:t>’,</w:t>
      </w:r>
      <w:proofErr w:type="gramEnd"/>
      <w:r w:rsidRPr="00F31DB2">
        <w:t xml:space="preserve"> Ethics, 121  (2011): 749-777; David McNaughton and Piers </w:t>
      </w:r>
      <w:proofErr w:type="spellStart"/>
      <w:r w:rsidRPr="00F31DB2">
        <w:t>Rawling</w:t>
      </w:r>
      <w:proofErr w:type="spellEnd"/>
      <w:r w:rsidRPr="00F31DB2">
        <w:t>, ‘Agent Relativity and the Doing-Happening Distinction’, Philosophical Studies 63 (1991): 167-185.</w:t>
      </w:r>
    </w:p>
  </w:footnote>
  <w:footnote w:id="33">
    <w:p w14:paraId="67DA7388" w14:textId="76CBDE6B" w:rsidR="00971BC0" w:rsidRPr="00F31DB2" w:rsidRDefault="00971BC0" w:rsidP="003C115F">
      <w:pPr>
        <w:pStyle w:val="FootnoteText"/>
      </w:pPr>
      <w:r w:rsidRPr="00F31DB2">
        <w:rPr>
          <w:rStyle w:val="FootnoteReference"/>
        </w:rPr>
        <w:footnoteRef/>
      </w:r>
      <w:r w:rsidRPr="00F31DB2">
        <w:t xml:space="preserve"> It seems plausible to me that not all values are such that we should promote them if we can do so while </w:t>
      </w:r>
      <w:r>
        <w:t>respect</w:t>
      </w:r>
      <w:r w:rsidRPr="00F31DB2">
        <w:t xml:space="preserve">ing them.  Indeed, </w:t>
      </w:r>
      <w:r>
        <w:t xml:space="preserve">as noted above, I am open to the possibility that there are some values </w:t>
      </w:r>
      <w:r w:rsidRPr="00F31DB2">
        <w:t xml:space="preserve">where </w:t>
      </w:r>
      <w:r>
        <w:t>there is no natural way to understand what it is to promote that value</w:t>
      </w:r>
      <w:r w:rsidRPr="00F31DB2">
        <w:t xml:space="preserve">.  I thank </w:t>
      </w:r>
      <w:r w:rsidR="00832966" w:rsidRPr="00F31DB2">
        <w:t xml:space="preserve">Joseph </w:t>
      </w:r>
      <w:proofErr w:type="spellStart"/>
      <w:r w:rsidR="00832966" w:rsidRPr="00F31DB2">
        <w:t>Raz</w:t>
      </w:r>
      <w:proofErr w:type="spellEnd"/>
      <w:r w:rsidR="00832966" w:rsidRPr="00F31DB2">
        <w:t xml:space="preserve"> </w:t>
      </w:r>
      <w:r w:rsidRPr="00F31DB2">
        <w:t>for p</w:t>
      </w:r>
      <w:r>
        <w:t>ressing me on this</w:t>
      </w:r>
      <w:r w:rsidRPr="00F31DB2">
        <w:t xml:space="preserve">. </w:t>
      </w:r>
    </w:p>
  </w:footnote>
  <w:footnote w:id="34">
    <w:p w14:paraId="39BB67E7" w14:textId="77777777" w:rsidR="00971BC0" w:rsidRPr="00F31DB2" w:rsidRDefault="00971BC0">
      <w:pPr>
        <w:pStyle w:val="FootnoteText"/>
      </w:pPr>
      <w:r w:rsidRPr="00F31DB2">
        <w:rPr>
          <w:rStyle w:val="FootnoteReference"/>
        </w:rPr>
        <w:footnoteRef/>
      </w:r>
      <w:r w:rsidRPr="00F31DB2">
        <w:t xml:space="preserve"> </w:t>
      </w:r>
      <w:proofErr w:type="spellStart"/>
      <w:r w:rsidRPr="00F31DB2">
        <w:t>Kagan</w:t>
      </w:r>
      <w:proofErr w:type="spellEnd"/>
      <w:r w:rsidRPr="00F31DB2">
        <w:t xml:space="preserve">, </w:t>
      </w:r>
      <w:r w:rsidRPr="00F31DB2">
        <w:rPr>
          <w:i/>
        </w:rPr>
        <w:t>The Limits of Morality</w:t>
      </w:r>
      <w:r w:rsidRPr="00F31DB2">
        <w:t>, pp. 151-165</w:t>
      </w:r>
    </w:p>
  </w:footnote>
  <w:footnote w:id="35">
    <w:p w14:paraId="658DE1C8" w14:textId="77777777" w:rsidR="00971BC0" w:rsidRPr="00F31DB2" w:rsidRDefault="00971BC0">
      <w:pPr>
        <w:pStyle w:val="FootnoteText"/>
      </w:pPr>
      <w:r w:rsidRPr="00F31DB2">
        <w:rPr>
          <w:rStyle w:val="FootnoteReference"/>
        </w:rPr>
        <w:footnoteRef/>
      </w:r>
      <w:r w:rsidRPr="00F31DB2">
        <w:t xml:space="preserve"> Ibid, 83-127.</w:t>
      </w:r>
    </w:p>
  </w:footnote>
  <w:footnote w:id="36">
    <w:p w14:paraId="5E6B01EB" w14:textId="276DD340" w:rsidR="00971BC0" w:rsidRPr="0061771B" w:rsidRDefault="00971BC0">
      <w:pPr>
        <w:pStyle w:val="FootnoteText"/>
        <w:rPr>
          <w:lang w:val="en-US"/>
        </w:rPr>
      </w:pPr>
      <w:r>
        <w:rPr>
          <w:rStyle w:val="FootnoteReference"/>
        </w:rPr>
        <w:footnoteRef/>
      </w:r>
      <w:r>
        <w:t xml:space="preserve"> </w:t>
      </w:r>
      <w:r>
        <w:rPr>
          <w:lang w:val="en-US"/>
        </w:rPr>
        <w:t xml:space="preserve">Jeff McMahan also argues that Nonconsequentialists must endorse the Doctrine of Doing and Allowing and that this may be problematic for those who reject the Doctrine of Double Effect.  However, his argument differs substantially from mine:  McMahan’s argument is based on showing that a common objection against the Doctrine of Double Effect also undermines the Doctrine of Doing and Allowing.  </w:t>
      </w:r>
      <w:r>
        <w:t xml:space="preserve">Jeff McMahan, </w:t>
      </w:r>
      <w:r w:rsidRPr="00F31DB2">
        <w:t>“Intentions, Permissibility, Terrorism, and War”, pp. 349–352.</w:t>
      </w:r>
      <w:r>
        <w:rPr>
          <w:lang w:val="en-US"/>
        </w:rPr>
        <w:t xml:space="preserve"> </w:t>
      </w:r>
    </w:p>
  </w:footnote>
  <w:footnote w:id="37">
    <w:p w14:paraId="0F1B9FD5" w14:textId="77777777" w:rsidR="00971BC0" w:rsidRPr="00F31DB2" w:rsidRDefault="00971BC0">
      <w:pPr>
        <w:pStyle w:val="FootnoteText"/>
      </w:pPr>
      <w:r w:rsidRPr="00F31DB2">
        <w:rPr>
          <w:rStyle w:val="FootnoteReference"/>
        </w:rPr>
        <w:footnoteRef/>
      </w:r>
      <w:r w:rsidRPr="00F31DB2">
        <w:t xml:space="preserve"> </w:t>
      </w:r>
      <w:proofErr w:type="spellStart"/>
      <w:proofErr w:type="gramStart"/>
      <w:r w:rsidRPr="00F31DB2">
        <w:t>Kagan</w:t>
      </w:r>
      <w:proofErr w:type="spellEnd"/>
      <w:r w:rsidRPr="00F31DB2">
        <w:t xml:space="preserve">, </w:t>
      </w:r>
      <w:r w:rsidRPr="00F31DB2">
        <w:rPr>
          <w:i/>
        </w:rPr>
        <w:t>The Limits of Morality</w:t>
      </w:r>
      <w:r w:rsidRPr="00F31DB2">
        <w:t>, (New York, Oxford University Press, 1989), p. 151.</w:t>
      </w:r>
      <w:proofErr w:type="gramEnd"/>
    </w:p>
  </w:footnote>
  <w:footnote w:id="38">
    <w:p w14:paraId="31CF709E" w14:textId="77777777" w:rsidR="00971BC0" w:rsidRPr="00F31DB2" w:rsidRDefault="00971BC0">
      <w:pPr>
        <w:pStyle w:val="FootnoteText"/>
      </w:pPr>
      <w:r w:rsidRPr="00F31DB2">
        <w:rPr>
          <w:rStyle w:val="FootnoteReference"/>
        </w:rPr>
        <w:footnoteRef/>
      </w:r>
      <w:r w:rsidRPr="00F31DB2">
        <w:t xml:space="preserve"> </w:t>
      </w:r>
      <w:proofErr w:type="gramStart"/>
      <w:r w:rsidRPr="00F31DB2">
        <w:t>Ibid, p. 152.</w:t>
      </w:r>
      <w:proofErr w:type="gramEnd"/>
    </w:p>
  </w:footnote>
  <w:footnote w:id="39">
    <w:p w14:paraId="7E2026C0" w14:textId="69FBB27B" w:rsidR="00971BC0" w:rsidRPr="00F31DB2" w:rsidRDefault="00971BC0">
      <w:pPr>
        <w:pStyle w:val="FootnoteText"/>
      </w:pPr>
      <w:r w:rsidRPr="00F31DB2">
        <w:rPr>
          <w:rStyle w:val="FootnoteReference"/>
        </w:rPr>
        <w:footnoteRef/>
      </w:r>
      <w:r w:rsidRPr="00F31DB2">
        <w:t xml:space="preserve"> </w:t>
      </w:r>
      <w:proofErr w:type="gramStart"/>
      <w:r w:rsidRPr="00F31DB2">
        <w:t>Ibid, p. 154.</w:t>
      </w:r>
      <w:proofErr w:type="gramEnd"/>
      <w:r>
        <w:t xml:space="preserve">  I have modified Kagan’s original cases to equalise for distance and manner of death.  </w:t>
      </w:r>
      <w:r w:rsidRPr="00F31DB2">
        <w:t>Some people might have the intuition that it is permissible to use the smoke bomb in both these cases.  Others might have the intuition that it is impermissible in both cases.  The first group should imagine progressively greater harms being caused as side effects.  The second group should imagine progressively more serious costs for the agent in refraining from using t</w:t>
      </w:r>
      <w:r>
        <w:t>he smoke bomb.  T</w:t>
      </w:r>
      <w:r w:rsidRPr="00F31DB2">
        <w:t xml:space="preserve">his process </w:t>
      </w:r>
      <w:r>
        <w:t>should</w:t>
      </w:r>
      <w:r w:rsidRPr="00F31DB2">
        <w:t xml:space="preserve"> produce a pair of cases in which the Mosquito Poison behaviour is intuitively impermissible while the Mosquito No-Donation behaviour is intuitively permissible.</w:t>
      </w:r>
    </w:p>
  </w:footnote>
  <w:footnote w:id="40">
    <w:p w14:paraId="327B8D49" w14:textId="3780B1EE" w:rsidR="00971BC0" w:rsidRPr="00F31DB2" w:rsidRDefault="00971BC0" w:rsidP="003C115F">
      <w:pPr>
        <w:pStyle w:val="FootnoteText"/>
      </w:pPr>
      <w:r w:rsidRPr="00F31DB2">
        <w:rPr>
          <w:rStyle w:val="FootnoteReference"/>
        </w:rPr>
        <w:footnoteRef/>
      </w:r>
      <w:r w:rsidRPr="00F31DB2">
        <w:t xml:space="preserve"> </w:t>
      </w:r>
      <w:proofErr w:type="gramStart"/>
      <w:r w:rsidRPr="00F31DB2">
        <w:t>Ibid, p. 155.</w:t>
      </w:r>
      <w:proofErr w:type="gramEnd"/>
      <w:r>
        <w:t xml:space="preserve"> </w:t>
      </w:r>
      <w:r w:rsidRPr="00F31DB2">
        <w:t>The standard Doctrine of Doing and Allowing includes both special constraints against doing harm to individuals for the greater good and special permissions for agents to allow har</w:t>
      </w:r>
      <w:r>
        <w:t>m to avoid costs to themselves.  W</w:t>
      </w:r>
      <w:r w:rsidRPr="00F31DB2">
        <w:t xml:space="preserve">e need both aspects of the Doctrine of Doing and Allowing to give a satisfactory account of due proportion.  The examples given above focus on justifying countenancing foreseeable harm for the benefit of the agent, but it is just as easy to produce a pair of example where the agent wishes to countenance foreseeable harm for the greater good.  I thank </w:t>
      </w:r>
      <w:r w:rsidR="00745592" w:rsidRPr="00F31DB2">
        <w:t xml:space="preserve">Victor </w:t>
      </w:r>
      <w:proofErr w:type="spellStart"/>
      <w:r w:rsidR="00745592" w:rsidRPr="00F31DB2">
        <w:t>Tadros</w:t>
      </w:r>
      <w:proofErr w:type="spellEnd"/>
      <w:r w:rsidR="00745592" w:rsidRPr="00F31DB2">
        <w:t xml:space="preserve"> </w:t>
      </w:r>
      <w:r w:rsidRPr="00F31DB2">
        <w:t xml:space="preserve">for pressing me on this.   </w:t>
      </w:r>
    </w:p>
  </w:footnote>
  <w:footnote w:id="41">
    <w:p w14:paraId="05ADCAEE" w14:textId="0D8A4025" w:rsidR="00971BC0" w:rsidRPr="00F31DB2" w:rsidRDefault="00971BC0" w:rsidP="003C115F">
      <w:pPr>
        <w:pStyle w:val="FootnoteText"/>
      </w:pPr>
      <w:r w:rsidRPr="00F31DB2">
        <w:rPr>
          <w:rStyle w:val="FootnoteReference"/>
        </w:rPr>
        <w:footnoteRef/>
      </w:r>
      <w:r w:rsidRPr="00F31DB2">
        <w:t xml:space="preserve"> </w:t>
      </w:r>
      <w:proofErr w:type="spellStart"/>
      <w:r w:rsidRPr="00F31DB2">
        <w:t>Kagan</w:t>
      </w:r>
      <w:proofErr w:type="spellEnd"/>
      <w:r w:rsidRPr="00F31DB2">
        <w:t xml:space="preserve"> claims that the distinction between doing and allowing falls apart under scrutiny.   Any putative way of drawing the distinction will either give counter-intuitive results or fall victim to vicious circularity by drawing on norm</w:t>
      </w:r>
      <w:r>
        <w:t xml:space="preserve">ative conclusions (pp. 92-111, </w:t>
      </w:r>
      <w:r w:rsidRPr="00F31DB2">
        <w:t xml:space="preserve">p. 155).  For an analysis of the doing/allowing </w:t>
      </w:r>
      <w:proofErr w:type="gramStart"/>
      <w:r w:rsidRPr="00F31DB2">
        <w:t>distinction which</w:t>
      </w:r>
      <w:proofErr w:type="gramEnd"/>
      <w:r w:rsidRPr="00F31DB2">
        <w:t xml:space="preserve"> is neither implausible nor trivial, see </w:t>
      </w:r>
      <w:r w:rsidR="00352CDE" w:rsidRPr="00F31DB2">
        <w:t xml:space="preserve">Woollard, </w:t>
      </w:r>
      <w:r w:rsidR="00352CDE" w:rsidRPr="00F31DB2">
        <w:rPr>
          <w:i/>
        </w:rPr>
        <w:t>Doing and Allowing Harm</w:t>
      </w:r>
      <w:r w:rsidR="00352CDE" w:rsidRPr="00F31DB2">
        <w:t>, (OUP</w:t>
      </w:r>
      <w:r w:rsidR="00352CDE">
        <w:t xml:space="preserve">, 2015). </w:t>
      </w:r>
      <w:proofErr w:type="spellStart"/>
      <w:r w:rsidRPr="00F31DB2">
        <w:t>Kagan</w:t>
      </w:r>
      <w:proofErr w:type="spellEnd"/>
      <w:r w:rsidRPr="00F31DB2">
        <w:t xml:space="preserve"> also argues that the Doctrine of Doing and Allowing, taken seriously, condemns too much because it must count some cases of withdrawing aid as cases of doing harm (pp. 106-110, p. 155).  I suggest that this argument depends upon confusing the doing/allowing distinction and the action/inaction distinction.  For arguments that the doing/allowing distinction and the action/inaction distinction are not the same, see Foot, The Problem of Abortion and the Doctrine of Double Effect, p. 26; McMahan, “Killing, Letting Die, and Withdrawing Aid.” </w:t>
      </w:r>
      <w:r w:rsidRPr="00F31DB2">
        <w:rPr>
          <w:i/>
          <w:iCs/>
        </w:rPr>
        <w:t>Ethics,</w:t>
      </w:r>
      <w:r w:rsidRPr="00F31DB2">
        <w:t xml:space="preserve"> 103</w:t>
      </w:r>
      <w:r>
        <w:t xml:space="preserve"> (Jan</w:t>
      </w:r>
      <w:proofErr w:type="gramStart"/>
      <w:r>
        <w:t>.,</w:t>
      </w:r>
      <w:proofErr w:type="gramEnd"/>
      <w:r>
        <w:t xml:space="preserve"> 1993), p. 251-252, and </w:t>
      </w:r>
      <w:r w:rsidR="00352CDE" w:rsidRPr="00F31DB2">
        <w:t xml:space="preserve">Woollard, “If This is My Body: A </w:t>
      </w:r>
      <w:proofErr w:type="spellStart"/>
      <w:r w:rsidR="00352CDE" w:rsidRPr="00F31DB2">
        <w:t>Defense</w:t>
      </w:r>
      <w:proofErr w:type="spellEnd"/>
      <w:r w:rsidR="00352CDE" w:rsidRPr="00F31DB2">
        <w:t xml:space="preserve"> of the Doctrine of Doing and Allowing,” Pacific Philosophical Quarterly 94 (2013):  318-319.</w:t>
      </w:r>
    </w:p>
  </w:footnote>
  <w:footnote w:id="42">
    <w:p w14:paraId="774EB119" w14:textId="2969C62A" w:rsidR="00971BC0" w:rsidRPr="00F31DB2" w:rsidRDefault="00971BC0" w:rsidP="00224FBB">
      <w:pPr>
        <w:pStyle w:val="FootnoteText"/>
      </w:pPr>
      <w:r w:rsidRPr="00F31DB2">
        <w:rPr>
          <w:rStyle w:val="FootnoteReference"/>
        </w:rPr>
        <w:footnoteRef/>
      </w:r>
      <w:r w:rsidRPr="00F31DB2">
        <w:t xml:space="preserve"> </w:t>
      </w:r>
      <w:proofErr w:type="spellStart"/>
      <w:r w:rsidRPr="00F31DB2">
        <w:t>Kagan</w:t>
      </w:r>
      <w:proofErr w:type="spellEnd"/>
      <w:r w:rsidRPr="00F31DB2">
        <w:t xml:space="preserve">, </w:t>
      </w:r>
      <w:r w:rsidRPr="00F31DB2">
        <w:rPr>
          <w:i/>
        </w:rPr>
        <w:t>The Limits of Morality</w:t>
      </w:r>
      <w:r w:rsidRPr="00F31DB2">
        <w:t xml:space="preserve">, pp. 158-161. </w:t>
      </w:r>
    </w:p>
  </w:footnote>
  <w:footnote w:id="43">
    <w:p w14:paraId="20ED0578" w14:textId="77777777" w:rsidR="00971BC0" w:rsidRPr="00F31DB2" w:rsidRDefault="00971BC0">
      <w:pPr>
        <w:pStyle w:val="FootnoteText"/>
      </w:pPr>
      <w:r w:rsidRPr="00F31DB2">
        <w:rPr>
          <w:rStyle w:val="FootnoteReference"/>
        </w:rPr>
        <w:footnoteRef/>
      </w:r>
      <w:r w:rsidRPr="00F31DB2">
        <w:t xml:space="preserve"> </w:t>
      </w:r>
      <w:proofErr w:type="spellStart"/>
      <w:r w:rsidRPr="00F31DB2">
        <w:t>Kagan</w:t>
      </w:r>
      <w:proofErr w:type="spellEnd"/>
      <w:r w:rsidRPr="00F31DB2">
        <w:t xml:space="preserve">, </w:t>
      </w:r>
      <w:r w:rsidRPr="00F31DB2">
        <w:rPr>
          <w:i/>
          <w:iCs/>
        </w:rPr>
        <w:t>The Limits of Morality</w:t>
      </w:r>
      <w:r w:rsidRPr="00F31DB2">
        <w:t>, p. 159.</w:t>
      </w:r>
    </w:p>
  </w:footnote>
  <w:footnote w:id="44">
    <w:p w14:paraId="3FF789F6" w14:textId="77777777" w:rsidR="00971BC0" w:rsidRPr="00F31DB2" w:rsidRDefault="00971BC0">
      <w:pPr>
        <w:pStyle w:val="FootnoteText"/>
      </w:pPr>
      <w:r w:rsidRPr="00F31DB2">
        <w:rPr>
          <w:rStyle w:val="FootnoteReference"/>
        </w:rPr>
        <w:footnoteRef/>
      </w:r>
      <w:r w:rsidRPr="00F31DB2">
        <w:t xml:space="preserve"> </w:t>
      </w:r>
      <w:proofErr w:type="spellStart"/>
      <w:r w:rsidRPr="00F31DB2">
        <w:t>Kagan</w:t>
      </w:r>
      <w:proofErr w:type="spellEnd"/>
      <w:r w:rsidRPr="00F31DB2">
        <w:t xml:space="preserve">, </w:t>
      </w:r>
      <w:r w:rsidRPr="00F31DB2">
        <w:rPr>
          <w:i/>
        </w:rPr>
        <w:t>The Limits of Morality</w:t>
      </w:r>
      <w:r w:rsidRPr="00F31DB2">
        <w:t>, p. 152 (Italics added.)</w:t>
      </w:r>
    </w:p>
  </w:footnote>
  <w:footnote w:id="45">
    <w:p w14:paraId="16747325" w14:textId="263FEAAB" w:rsidR="00971BC0" w:rsidRPr="00F31DB2" w:rsidRDefault="00971BC0">
      <w:pPr>
        <w:pStyle w:val="FootnoteText"/>
      </w:pPr>
      <w:r w:rsidRPr="00F31DB2">
        <w:rPr>
          <w:rStyle w:val="FootnoteReference"/>
        </w:rPr>
        <w:footnoteRef/>
      </w:r>
      <w:r w:rsidRPr="00F31DB2">
        <w:t xml:space="preserve"> </w:t>
      </w:r>
      <w:proofErr w:type="spellStart"/>
      <w:r w:rsidRPr="00F31DB2">
        <w:t>Kagan</w:t>
      </w:r>
      <w:proofErr w:type="spellEnd"/>
      <w:r w:rsidRPr="00F31DB2">
        <w:t xml:space="preserve"> suggests that “There is some reason to say that due proportion will require nothing at all when it comes to unintended harm that is merely allowed…. It is the interplay of the pro tanto reason to promote the good and the appeal to cost that will yield a set of options and thresholds, determining when it is permissible to allow harm as a mere side effect, and when it is not permissible… Talk of a requirement of due proportion may mislead us, for it may suggest that some additional work is going to be done by something other than the appeal to cost and the pro tanto reason to promote the good.” (</w:t>
      </w:r>
      <w:r w:rsidRPr="00F31DB2">
        <w:rPr>
          <w:i/>
        </w:rPr>
        <w:t xml:space="preserve">The Limits of Morality, </w:t>
      </w:r>
      <w:r w:rsidRPr="00F31DB2">
        <w:t xml:space="preserve">p. 157).  </w:t>
      </w:r>
    </w:p>
  </w:footnote>
  <w:footnote w:id="46">
    <w:p w14:paraId="0B10EAEB" w14:textId="5127909B" w:rsidR="00971BC0" w:rsidRPr="00B53CE8" w:rsidRDefault="00971BC0" w:rsidP="003C115F">
      <w:pPr>
        <w:pStyle w:val="FootnoteText"/>
        <w:rPr>
          <w:lang w:val="en-US"/>
        </w:rPr>
      </w:pPr>
      <w:r>
        <w:rPr>
          <w:rStyle w:val="FootnoteReference"/>
        </w:rPr>
        <w:footnoteRef/>
      </w:r>
      <w:r>
        <w:t xml:space="preserve"> </w:t>
      </w:r>
      <w:r>
        <w:rPr>
          <w:lang w:val="en-US"/>
        </w:rPr>
        <w:t xml:space="preserve">I thank </w:t>
      </w:r>
      <w:r w:rsidR="007D5A2A">
        <w:rPr>
          <w:lang w:val="en-US"/>
        </w:rPr>
        <w:t xml:space="preserve">Nick Zangwill </w:t>
      </w:r>
      <w:r>
        <w:rPr>
          <w:lang w:val="en-US"/>
        </w:rPr>
        <w:t>for showing I needed to extend my comments on this issue.</w:t>
      </w:r>
    </w:p>
  </w:footnote>
  <w:footnote w:id="47">
    <w:p w14:paraId="0C71FE94" w14:textId="6D6333D5" w:rsidR="00971BC0" w:rsidRPr="00F31DB2" w:rsidRDefault="00971BC0">
      <w:pPr>
        <w:pStyle w:val="FootnoteText"/>
      </w:pPr>
      <w:r w:rsidRPr="00F31DB2">
        <w:rPr>
          <w:rStyle w:val="FootnoteReference"/>
        </w:rPr>
        <w:footnoteRef/>
      </w:r>
      <w:r w:rsidRPr="00F31DB2">
        <w:t xml:space="preserve"> See </w:t>
      </w:r>
      <w:r>
        <w:t xml:space="preserve">T.M. </w:t>
      </w:r>
      <w:r w:rsidRPr="00F31DB2">
        <w:t>Scanlon for a defence of the practice of holding some normative assumptions fixed while assessing others. (T.M. Scanlon, What</w:t>
      </w:r>
      <w:r w:rsidRPr="00F31DB2">
        <w:rPr>
          <w:i/>
          <w:iCs/>
        </w:rPr>
        <w:t xml:space="preserve"> We Owe to Each Other</w:t>
      </w:r>
      <w:r w:rsidRPr="00F31DB2">
        <w:t>.  Cambridge, Mass.: Harvard University Press. 1998, p. 213-215).</w:t>
      </w:r>
    </w:p>
  </w:footnote>
  <w:footnote w:id="48">
    <w:p w14:paraId="19B1839B" w14:textId="66428D12" w:rsidR="00971BC0" w:rsidRPr="004A4541" w:rsidRDefault="00971BC0" w:rsidP="003C115F">
      <w:pPr>
        <w:pStyle w:val="FootnoteText"/>
        <w:rPr>
          <w:lang w:val="en-US"/>
        </w:rPr>
      </w:pPr>
      <w:r>
        <w:rPr>
          <w:rStyle w:val="FootnoteReference"/>
        </w:rPr>
        <w:footnoteRef/>
      </w:r>
      <w:r>
        <w:t xml:space="preserve"> </w:t>
      </w:r>
      <w:r>
        <w:rPr>
          <w:lang w:val="en-US"/>
        </w:rPr>
        <w:t xml:space="preserve">See T.M. Scanlon, </w:t>
      </w:r>
      <w:r w:rsidRPr="00B33763">
        <w:rPr>
          <w:i/>
          <w:lang w:val="en-US"/>
        </w:rPr>
        <w:t>Moral Dimensions: Permissibility, Meaning, Blame</w:t>
      </w:r>
      <w:r>
        <w:rPr>
          <w:lang w:val="en-US"/>
        </w:rPr>
        <w:t xml:space="preserve"> (Harvard University Press, 2010). I thank </w:t>
      </w:r>
      <w:r w:rsidR="007D5A2A">
        <w:rPr>
          <w:lang w:val="en-US"/>
        </w:rPr>
        <w:t xml:space="preserve">Daniel </w:t>
      </w:r>
      <w:proofErr w:type="spellStart"/>
      <w:r w:rsidR="007D5A2A">
        <w:rPr>
          <w:lang w:val="en-US"/>
        </w:rPr>
        <w:t>Elstein</w:t>
      </w:r>
      <w:proofErr w:type="spellEnd"/>
      <w:r w:rsidR="007D5A2A">
        <w:rPr>
          <w:lang w:val="en-US"/>
        </w:rPr>
        <w:t xml:space="preserve">, Anton </w:t>
      </w:r>
      <w:proofErr w:type="spellStart"/>
      <w:r w:rsidR="007D5A2A">
        <w:rPr>
          <w:lang w:val="en-US"/>
        </w:rPr>
        <w:t>Markoc</w:t>
      </w:r>
      <w:proofErr w:type="spellEnd"/>
      <w:r w:rsidR="007D5A2A">
        <w:rPr>
          <w:lang w:val="en-US"/>
        </w:rPr>
        <w:t xml:space="preserve"> and Victor </w:t>
      </w:r>
      <w:proofErr w:type="spellStart"/>
      <w:r w:rsidR="007D5A2A">
        <w:rPr>
          <w:lang w:val="en-US"/>
        </w:rPr>
        <w:t>Tadros</w:t>
      </w:r>
      <w:proofErr w:type="spellEnd"/>
      <w:r w:rsidR="007D5A2A">
        <w:rPr>
          <w:lang w:val="en-US"/>
        </w:rPr>
        <w:t xml:space="preserve"> </w:t>
      </w:r>
      <w:r>
        <w:rPr>
          <w:lang w:val="en-US"/>
        </w:rPr>
        <w:t>whose comments made me clarify this.</w:t>
      </w:r>
    </w:p>
  </w:footnote>
  <w:footnote w:id="49">
    <w:p w14:paraId="14979286" w14:textId="6D1F4B84" w:rsidR="00971BC0" w:rsidRPr="00F31DB2" w:rsidRDefault="00971BC0" w:rsidP="003C115F">
      <w:pPr>
        <w:pStyle w:val="FootnoteText"/>
      </w:pPr>
      <w:r w:rsidRPr="00F31DB2">
        <w:rPr>
          <w:rStyle w:val="FootnoteReference"/>
        </w:rPr>
        <w:footnoteRef/>
      </w:r>
      <w:r w:rsidRPr="00F31DB2">
        <w:t xml:space="preserve"> I thank </w:t>
      </w:r>
      <w:r w:rsidR="00AD2031" w:rsidRPr="00F31DB2">
        <w:t xml:space="preserve">a member of the audience at the Workshop on the Moral Significance of Intentions, 21-22 February 2014, Leeds </w:t>
      </w:r>
      <w:r w:rsidRPr="00F31DB2">
        <w:t>for pressing me on this.</w:t>
      </w:r>
    </w:p>
  </w:footnote>
  <w:footnote w:id="50">
    <w:p w14:paraId="488C1535" w14:textId="3F717E1C" w:rsidR="00971BC0" w:rsidRPr="00F31DB2" w:rsidRDefault="00971BC0" w:rsidP="003C115F">
      <w:pPr>
        <w:pStyle w:val="FootnoteText"/>
      </w:pPr>
      <w:r w:rsidRPr="00F31DB2">
        <w:rPr>
          <w:rStyle w:val="FootnoteReference"/>
        </w:rPr>
        <w:footnoteRef/>
      </w:r>
      <w:r w:rsidRPr="00F31DB2">
        <w:t xml:space="preserve"> It can be very difficult to argue that a certain way of acting is the best way to</w:t>
      </w:r>
      <w:r>
        <w:t xml:space="preserve"> respect</w:t>
      </w:r>
      <w:r w:rsidRPr="00F31DB2">
        <w:t xml:space="preserve"> a given value.  For example, there is a classic defence of deontological constraints which claims that agents have greater inviolability if it is impermissible to harm them even if this is necessary to p</w:t>
      </w:r>
      <w:r>
        <w:t xml:space="preserve">revent others from being harmed.  </w:t>
      </w:r>
      <w:r w:rsidRPr="00F31DB2">
        <w:t xml:space="preserve">Shelley </w:t>
      </w:r>
      <w:proofErr w:type="spellStart"/>
      <w:r w:rsidRPr="00F31DB2">
        <w:t>Kagan</w:t>
      </w:r>
      <w:proofErr w:type="spellEnd"/>
      <w:r w:rsidRPr="00F31DB2">
        <w:t xml:space="preserve"> notes that such agents may have higher inviolability but they have lower “</w:t>
      </w:r>
      <w:proofErr w:type="spellStart"/>
      <w:r w:rsidRPr="00F31DB2">
        <w:t>saveability</w:t>
      </w:r>
      <w:proofErr w:type="spellEnd"/>
      <w:r w:rsidRPr="00F31DB2">
        <w:t xml:space="preserve">” than under an alternative principle that maximizes harm prevention.  </w:t>
      </w:r>
      <w:proofErr w:type="gramStart"/>
      <w:r w:rsidRPr="00F31DB2">
        <w:t>(</w:t>
      </w:r>
      <w:proofErr w:type="spellStart"/>
      <w:r w:rsidRPr="00F31DB2">
        <w:t>Kagan</w:t>
      </w:r>
      <w:proofErr w:type="spellEnd"/>
      <w:r w:rsidRPr="00F31DB2">
        <w:t>, 1991, 919-920).</w:t>
      </w:r>
      <w:proofErr w:type="gramEnd"/>
      <w:r w:rsidRPr="00F31DB2">
        <w:t xml:space="preserve">  This can be understood as a disagreement about which principle does the best job of </w:t>
      </w:r>
      <w:r>
        <w:t>respect</w:t>
      </w:r>
      <w:r w:rsidRPr="00F31DB2">
        <w:t xml:space="preserve">ing the value of persons.  Disputes of this kind suggest that the concept of </w:t>
      </w:r>
      <w:r>
        <w:t>respect</w:t>
      </w:r>
      <w:r w:rsidRPr="00F31DB2">
        <w:t xml:space="preserve">ing may be initially too vague.  This would count in favour of starting by defending </w:t>
      </w:r>
      <w:r w:rsidRPr="00D2304A">
        <w:t xml:space="preserve">the Doctrine of Double Effect and the Doctrine of Doing and Allowing </w:t>
      </w:r>
      <w:r w:rsidRPr="00F31DB2">
        <w:t xml:space="preserve">using these concrete principles to give an account of the </w:t>
      </w:r>
      <w:r>
        <w:t>respecting</w:t>
      </w:r>
      <w:r w:rsidRPr="00F31DB2">
        <w:t xml:space="preserve">/promoting distinction.  I thank </w:t>
      </w:r>
      <w:proofErr w:type="spellStart"/>
      <w:r w:rsidR="00AD2031" w:rsidRPr="00F31DB2">
        <w:t>Pekka</w:t>
      </w:r>
      <w:proofErr w:type="spellEnd"/>
      <w:r w:rsidR="00AD2031" w:rsidRPr="00F31DB2">
        <w:t xml:space="preserve"> </w:t>
      </w:r>
      <w:proofErr w:type="spellStart"/>
      <w:r w:rsidR="00AD2031" w:rsidRPr="00F31DB2">
        <w:t>V</w:t>
      </w:r>
      <w:r w:rsidR="00AD2031">
        <w:rPr>
          <w:rFonts w:ascii="Calibri" w:hAnsi="Calibri"/>
        </w:rPr>
        <w:t>ä</w:t>
      </w:r>
      <w:r w:rsidR="00AD2031" w:rsidRPr="00F31DB2">
        <w:t>yrynen</w:t>
      </w:r>
      <w:proofErr w:type="spellEnd"/>
      <w:r w:rsidR="00AD2031" w:rsidRPr="00F31DB2">
        <w:t xml:space="preserve"> and Gerald Lang </w:t>
      </w:r>
      <w:r w:rsidRPr="00F31DB2">
        <w:t xml:space="preserve">for the </w:t>
      </w:r>
      <w:r>
        <w:t>objection</w:t>
      </w:r>
      <w:r w:rsidRPr="00F31DB2">
        <w:t xml:space="preserve"> and suggested response, respectively.</w:t>
      </w:r>
    </w:p>
  </w:footnote>
  <w:footnote w:id="51">
    <w:p w14:paraId="41166739" w14:textId="087CD73F" w:rsidR="00971BC0" w:rsidRPr="00F31DB2" w:rsidRDefault="00971BC0" w:rsidP="003C115F">
      <w:pPr>
        <w:pStyle w:val="FootnoteText"/>
      </w:pPr>
      <w:r w:rsidRPr="00F31DB2">
        <w:rPr>
          <w:rStyle w:val="FootnoteReference"/>
        </w:rPr>
        <w:footnoteRef/>
      </w:r>
      <w:r w:rsidRPr="00F31DB2">
        <w:t xml:space="preserve"> I thank </w:t>
      </w:r>
      <w:r w:rsidR="00AD2031" w:rsidRPr="00F31DB2">
        <w:t xml:space="preserve">Chris Bennett </w:t>
      </w:r>
      <w:r w:rsidRPr="00F31DB2">
        <w:t>for pressing me on this.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066D8"/>
    <w:multiLevelType w:val="hybridMultilevel"/>
    <w:tmpl w:val="BBAC4484"/>
    <w:lvl w:ilvl="0" w:tplc="689215E8">
      <w:numFmt w:val="bullet"/>
      <w:lvlText w:val="-"/>
      <w:lvlJc w:val="left"/>
      <w:pPr>
        <w:ind w:left="720" w:hanging="360"/>
      </w:pPr>
      <w:rPr>
        <w:rFonts w:ascii="Book Antiqua" w:eastAsiaTheme="minorHAnsi" w:hAnsi="Book Antiq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6435462"/>
    <w:multiLevelType w:val="hybridMultilevel"/>
    <w:tmpl w:val="F1284F46"/>
    <w:lvl w:ilvl="0" w:tplc="2BC6A10C">
      <w:numFmt w:val="bullet"/>
      <w:lvlText w:val="-"/>
      <w:lvlJc w:val="left"/>
      <w:pPr>
        <w:ind w:left="720" w:hanging="360"/>
      </w:pPr>
      <w:rPr>
        <w:rFonts w:ascii="Book Antiqua" w:eastAsiaTheme="minorHAnsi" w:hAnsi="Book Antiq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D62"/>
    <w:rsid w:val="00004284"/>
    <w:rsid w:val="000055DC"/>
    <w:rsid w:val="000078BB"/>
    <w:rsid w:val="00007ECE"/>
    <w:rsid w:val="00033F7B"/>
    <w:rsid w:val="00034780"/>
    <w:rsid w:val="0003734C"/>
    <w:rsid w:val="000414B4"/>
    <w:rsid w:val="00044CAF"/>
    <w:rsid w:val="00054EBD"/>
    <w:rsid w:val="000601DD"/>
    <w:rsid w:val="00075182"/>
    <w:rsid w:val="00087CC3"/>
    <w:rsid w:val="00091EA2"/>
    <w:rsid w:val="000925AF"/>
    <w:rsid w:val="000A1C02"/>
    <w:rsid w:val="000A1C73"/>
    <w:rsid w:val="000A2167"/>
    <w:rsid w:val="000A6971"/>
    <w:rsid w:val="000B233A"/>
    <w:rsid w:val="000C1623"/>
    <w:rsid w:val="000C4EC1"/>
    <w:rsid w:val="000D3211"/>
    <w:rsid w:val="000D4669"/>
    <w:rsid w:val="000D4E88"/>
    <w:rsid w:val="000E74D5"/>
    <w:rsid w:val="000F096D"/>
    <w:rsid w:val="000F3499"/>
    <w:rsid w:val="000F76A4"/>
    <w:rsid w:val="00100047"/>
    <w:rsid w:val="00101B46"/>
    <w:rsid w:val="0010227D"/>
    <w:rsid w:val="00105F6F"/>
    <w:rsid w:val="0012375F"/>
    <w:rsid w:val="00127978"/>
    <w:rsid w:val="00127A1F"/>
    <w:rsid w:val="00127B1F"/>
    <w:rsid w:val="0014092F"/>
    <w:rsid w:val="00140B88"/>
    <w:rsid w:val="00144D10"/>
    <w:rsid w:val="00154B0F"/>
    <w:rsid w:val="0015677D"/>
    <w:rsid w:val="00171C55"/>
    <w:rsid w:val="00175414"/>
    <w:rsid w:val="0018022C"/>
    <w:rsid w:val="001848FC"/>
    <w:rsid w:val="001927D3"/>
    <w:rsid w:val="00195B86"/>
    <w:rsid w:val="001A4F62"/>
    <w:rsid w:val="001A57B0"/>
    <w:rsid w:val="001A6B22"/>
    <w:rsid w:val="001B0023"/>
    <w:rsid w:val="001B6663"/>
    <w:rsid w:val="001C0BD7"/>
    <w:rsid w:val="001C1DFF"/>
    <w:rsid w:val="001C1F10"/>
    <w:rsid w:val="001C29CA"/>
    <w:rsid w:val="001C6657"/>
    <w:rsid w:val="001C7577"/>
    <w:rsid w:val="001D1D19"/>
    <w:rsid w:val="001D2FF1"/>
    <w:rsid w:val="001D41F4"/>
    <w:rsid w:val="001D782F"/>
    <w:rsid w:val="001D79BA"/>
    <w:rsid w:val="001E2105"/>
    <w:rsid w:val="001E2929"/>
    <w:rsid w:val="001E5E7D"/>
    <w:rsid w:val="00201528"/>
    <w:rsid w:val="00204329"/>
    <w:rsid w:val="00211704"/>
    <w:rsid w:val="00211C2E"/>
    <w:rsid w:val="002136AC"/>
    <w:rsid w:val="00224FBB"/>
    <w:rsid w:val="00225914"/>
    <w:rsid w:val="00226BCF"/>
    <w:rsid w:val="00226CB8"/>
    <w:rsid w:val="00227B7A"/>
    <w:rsid w:val="00233C59"/>
    <w:rsid w:val="00245706"/>
    <w:rsid w:val="002474B2"/>
    <w:rsid w:val="0025136D"/>
    <w:rsid w:val="00256011"/>
    <w:rsid w:val="00261946"/>
    <w:rsid w:val="002656D9"/>
    <w:rsid w:val="002662C1"/>
    <w:rsid w:val="00270BFE"/>
    <w:rsid w:val="00271C44"/>
    <w:rsid w:val="00283967"/>
    <w:rsid w:val="00283F6F"/>
    <w:rsid w:val="002870D5"/>
    <w:rsid w:val="00293CFE"/>
    <w:rsid w:val="00294584"/>
    <w:rsid w:val="002954B3"/>
    <w:rsid w:val="002A3CD7"/>
    <w:rsid w:val="002A5806"/>
    <w:rsid w:val="002A5972"/>
    <w:rsid w:val="002B5EE2"/>
    <w:rsid w:val="002B65CF"/>
    <w:rsid w:val="002C0A72"/>
    <w:rsid w:val="002C2DE3"/>
    <w:rsid w:val="002D0FEE"/>
    <w:rsid w:val="002D3B7B"/>
    <w:rsid w:val="002D45A0"/>
    <w:rsid w:val="002D6500"/>
    <w:rsid w:val="002E0064"/>
    <w:rsid w:val="002E3313"/>
    <w:rsid w:val="002F2C46"/>
    <w:rsid w:val="002F47B2"/>
    <w:rsid w:val="002F5F56"/>
    <w:rsid w:val="002F7787"/>
    <w:rsid w:val="003020F5"/>
    <w:rsid w:val="0030321D"/>
    <w:rsid w:val="00303A9B"/>
    <w:rsid w:val="00312E63"/>
    <w:rsid w:val="003141EE"/>
    <w:rsid w:val="00315C67"/>
    <w:rsid w:val="00321F03"/>
    <w:rsid w:val="00322416"/>
    <w:rsid w:val="00324EC7"/>
    <w:rsid w:val="00327A8C"/>
    <w:rsid w:val="00345986"/>
    <w:rsid w:val="003461B4"/>
    <w:rsid w:val="00346FF0"/>
    <w:rsid w:val="00352146"/>
    <w:rsid w:val="00352A8C"/>
    <w:rsid w:val="00352CDE"/>
    <w:rsid w:val="00353ED0"/>
    <w:rsid w:val="00360311"/>
    <w:rsid w:val="00362A2A"/>
    <w:rsid w:val="00363D46"/>
    <w:rsid w:val="00365260"/>
    <w:rsid w:val="00370AE3"/>
    <w:rsid w:val="003716FF"/>
    <w:rsid w:val="00376723"/>
    <w:rsid w:val="00383BE0"/>
    <w:rsid w:val="00387A13"/>
    <w:rsid w:val="0039446C"/>
    <w:rsid w:val="003A21D1"/>
    <w:rsid w:val="003A5A38"/>
    <w:rsid w:val="003B4E09"/>
    <w:rsid w:val="003C115F"/>
    <w:rsid w:val="003C12E3"/>
    <w:rsid w:val="003C3BB1"/>
    <w:rsid w:val="003D45EF"/>
    <w:rsid w:val="003D4AA2"/>
    <w:rsid w:val="003E498B"/>
    <w:rsid w:val="003F06BF"/>
    <w:rsid w:val="003F4737"/>
    <w:rsid w:val="00403367"/>
    <w:rsid w:val="004063A9"/>
    <w:rsid w:val="00410232"/>
    <w:rsid w:val="00411AD7"/>
    <w:rsid w:val="00412FF6"/>
    <w:rsid w:val="004148B5"/>
    <w:rsid w:val="00420420"/>
    <w:rsid w:val="00420783"/>
    <w:rsid w:val="00420C00"/>
    <w:rsid w:val="00421EDF"/>
    <w:rsid w:val="00426A9E"/>
    <w:rsid w:val="0042704D"/>
    <w:rsid w:val="00436B28"/>
    <w:rsid w:val="004427CC"/>
    <w:rsid w:val="00443621"/>
    <w:rsid w:val="004466E0"/>
    <w:rsid w:val="004477B8"/>
    <w:rsid w:val="00452BA5"/>
    <w:rsid w:val="00455776"/>
    <w:rsid w:val="0045706F"/>
    <w:rsid w:val="004603F7"/>
    <w:rsid w:val="00461C5C"/>
    <w:rsid w:val="00466B0A"/>
    <w:rsid w:val="00467839"/>
    <w:rsid w:val="0046794F"/>
    <w:rsid w:val="004733B8"/>
    <w:rsid w:val="0047402B"/>
    <w:rsid w:val="00476ACC"/>
    <w:rsid w:val="004844D8"/>
    <w:rsid w:val="00484CC7"/>
    <w:rsid w:val="00485E08"/>
    <w:rsid w:val="004931E1"/>
    <w:rsid w:val="00494E1C"/>
    <w:rsid w:val="00496825"/>
    <w:rsid w:val="004A2699"/>
    <w:rsid w:val="004A4541"/>
    <w:rsid w:val="004B2122"/>
    <w:rsid w:val="004B4C77"/>
    <w:rsid w:val="004B6CD8"/>
    <w:rsid w:val="004C41D0"/>
    <w:rsid w:val="004D52A7"/>
    <w:rsid w:val="004D57E9"/>
    <w:rsid w:val="004E022E"/>
    <w:rsid w:val="004E5A6A"/>
    <w:rsid w:val="004E708E"/>
    <w:rsid w:val="004F3AA1"/>
    <w:rsid w:val="004F3C7F"/>
    <w:rsid w:val="00502D26"/>
    <w:rsid w:val="00504006"/>
    <w:rsid w:val="00505424"/>
    <w:rsid w:val="00513748"/>
    <w:rsid w:val="0051627E"/>
    <w:rsid w:val="005261EA"/>
    <w:rsid w:val="005344AC"/>
    <w:rsid w:val="0054067C"/>
    <w:rsid w:val="0054274E"/>
    <w:rsid w:val="00545A70"/>
    <w:rsid w:val="0054660D"/>
    <w:rsid w:val="00574686"/>
    <w:rsid w:val="0057509C"/>
    <w:rsid w:val="00581A7F"/>
    <w:rsid w:val="00582C07"/>
    <w:rsid w:val="00584DAC"/>
    <w:rsid w:val="00590AD9"/>
    <w:rsid w:val="0059676B"/>
    <w:rsid w:val="005A662E"/>
    <w:rsid w:val="005B588E"/>
    <w:rsid w:val="005B7FAF"/>
    <w:rsid w:val="005C2505"/>
    <w:rsid w:val="005C76C7"/>
    <w:rsid w:val="005C7760"/>
    <w:rsid w:val="005D1F59"/>
    <w:rsid w:val="005D4987"/>
    <w:rsid w:val="005E40CE"/>
    <w:rsid w:val="005F39F4"/>
    <w:rsid w:val="005F495D"/>
    <w:rsid w:val="00600C11"/>
    <w:rsid w:val="006015B1"/>
    <w:rsid w:val="00605782"/>
    <w:rsid w:val="00606D96"/>
    <w:rsid w:val="006126F7"/>
    <w:rsid w:val="0061771B"/>
    <w:rsid w:val="00617CB8"/>
    <w:rsid w:val="00622403"/>
    <w:rsid w:val="00623791"/>
    <w:rsid w:val="00636F4C"/>
    <w:rsid w:val="00642BB3"/>
    <w:rsid w:val="006439CF"/>
    <w:rsid w:val="006461B9"/>
    <w:rsid w:val="00650F01"/>
    <w:rsid w:val="0065392E"/>
    <w:rsid w:val="006675B8"/>
    <w:rsid w:val="006676DB"/>
    <w:rsid w:val="00677446"/>
    <w:rsid w:val="00680CD6"/>
    <w:rsid w:val="00681946"/>
    <w:rsid w:val="006864A2"/>
    <w:rsid w:val="0069033D"/>
    <w:rsid w:val="006A2A00"/>
    <w:rsid w:val="006A722B"/>
    <w:rsid w:val="006B1EE4"/>
    <w:rsid w:val="006B3C24"/>
    <w:rsid w:val="006B4B3A"/>
    <w:rsid w:val="006C2005"/>
    <w:rsid w:val="006C2431"/>
    <w:rsid w:val="006C3633"/>
    <w:rsid w:val="006C62D3"/>
    <w:rsid w:val="006D03A2"/>
    <w:rsid w:val="006D25EE"/>
    <w:rsid w:val="006D3BE6"/>
    <w:rsid w:val="006D3E3A"/>
    <w:rsid w:val="006D6258"/>
    <w:rsid w:val="006D6C2A"/>
    <w:rsid w:val="006E507E"/>
    <w:rsid w:val="006F4F5C"/>
    <w:rsid w:val="00701B86"/>
    <w:rsid w:val="0070216E"/>
    <w:rsid w:val="007032C8"/>
    <w:rsid w:val="0070338B"/>
    <w:rsid w:val="00703477"/>
    <w:rsid w:val="007040E6"/>
    <w:rsid w:val="007041F1"/>
    <w:rsid w:val="00711242"/>
    <w:rsid w:val="00715168"/>
    <w:rsid w:val="007162D3"/>
    <w:rsid w:val="00721525"/>
    <w:rsid w:val="0072494E"/>
    <w:rsid w:val="00725791"/>
    <w:rsid w:val="0073218E"/>
    <w:rsid w:val="00733A6C"/>
    <w:rsid w:val="0073545F"/>
    <w:rsid w:val="0073680C"/>
    <w:rsid w:val="00742025"/>
    <w:rsid w:val="00745592"/>
    <w:rsid w:val="007525C9"/>
    <w:rsid w:val="00752D32"/>
    <w:rsid w:val="00753E56"/>
    <w:rsid w:val="00761843"/>
    <w:rsid w:val="00772BB5"/>
    <w:rsid w:val="007800F4"/>
    <w:rsid w:val="00780540"/>
    <w:rsid w:val="00780857"/>
    <w:rsid w:val="007830D3"/>
    <w:rsid w:val="007849F4"/>
    <w:rsid w:val="00785E8A"/>
    <w:rsid w:val="00795341"/>
    <w:rsid w:val="00797B45"/>
    <w:rsid w:val="00797E0D"/>
    <w:rsid w:val="007A0AE9"/>
    <w:rsid w:val="007A3708"/>
    <w:rsid w:val="007A3834"/>
    <w:rsid w:val="007B0BB2"/>
    <w:rsid w:val="007B6CEF"/>
    <w:rsid w:val="007C1EEB"/>
    <w:rsid w:val="007C6816"/>
    <w:rsid w:val="007D0B5F"/>
    <w:rsid w:val="007D1548"/>
    <w:rsid w:val="007D2FD6"/>
    <w:rsid w:val="007D490F"/>
    <w:rsid w:val="007D5A2A"/>
    <w:rsid w:val="007D75A6"/>
    <w:rsid w:val="007E0F87"/>
    <w:rsid w:val="007E3F2C"/>
    <w:rsid w:val="007E6E10"/>
    <w:rsid w:val="007E7E63"/>
    <w:rsid w:val="0081033D"/>
    <w:rsid w:val="00810C5F"/>
    <w:rsid w:val="00811C9F"/>
    <w:rsid w:val="00816FC0"/>
    <w:rsid w:val="0082124B"/>
    <w:rsid w:val="0082490D"/>
    <w:rsid w:val="00831C7E"/>
    <w:rsid w:val="00832966"/>
    <w:rsid w:val="00834653"/>
    <w:rsid w:val="008361D8"/>
    <w:rsid w:val="00840630"/>
    <w:rsid w:val="008428ED"/>
    <w:rsid w:val="00842F1C"/>
    <w:rsid w:val="00847C39"/>
    <w:rsid w:val="00860156"/>
    <w:rsid w:val="0086044C"/>
    <w:rsid w:val="0086423C"/>
    <w:rsid w:val="00864248"/>
    <w:rsid w:val="0086472D"/>
    <w:rsid w:val="008746C9"/>
    <w:rsid w:val="00874B69"/>
    <w:rsid w:val="00881C51"/>
    <w:rsid w:val="00882163"/>
    <w:rsid w:val="00883D0E"/>
    <w:rsid w:val="008874A2"/>
    <w:rsid w:val="008911DD"/>
    <w:rsid w:val="00893518"/>
    <w:rsid w:val="008A173B"/>
    <w:rsid w:val="008B0BB6"/>
    <w:rsid w:val="008C1CE2"/>
    <w:rsid w:val="008C54DE"/>
    <w:rsid w:val="008C5804"/>
    <w:rsid w:val="008D0137"/>
    <w:rsid w:val="008E0271"/>
    <w:rsid w:val="008E2A7D"/>
    <w:rsid w:val="008E659C"/>
    <w:rsid w:val="008F0B5E"/>
    <w:rsid w:val="00902B56"/>
    <w:rsid w:val="00902D22"/>
    <w:rsid w:val="009049A0"/>
    <w:rsid w:val="00911129"/>
    <w:rsid w:val="00917728"/>
    <w:rsid w:val="009269B0"/>
    <w:rsid w:val="0093264F"/>
    <w:rsid w:val="00944E56"/>
    <w:rsid w:val="00952921"/>
    <w:rsid w:val="00954D61"/>
    <w:rsid w:val="009579BD"/>
    <w:rsid w:val="00957CCD"/>
    <w:rsid w:val="00960C99"/>
    <w:rsid w:val="0096212B"/>
    <w:rsid w:val="0096369F"/>
    <w:rsid w:val="0096685F"/>
    <w:rsid w:val="00971BC0"/>
    <w:rsid w:val="0097219D"/>
    <w:rsid w:val="00983A46"/>
    <w:rsid w:val="00994A9D"/>
    <w:rsid w:val="009951CB"/>
    <w:rsid w:val="00996DD9"/>
    <w:rsid w:val="009A2B2F"/>
    <w:rsid w:val="009A3C69"/>
    <w:rsid w:val="009A5302"/>
    <w:rsid w:val="009A701B"/>
    <w:rsid w:val="009B1BC3"/>
    <w:rsid w:val="009B30BB"/>
    <w:rsid w:val="009B3CD5"/>
    <w:rsid w:val="009C0C2E"/>
    <w:rsid w:val="009C76CC"/>
    <w:rsid w:val="009D0617"/>
    <w:rsid w:val="009D21A5"/>
    <w:rsid w:val="009D4479"/>
    <w:rsid w:val="009E2D58"/>
    <w:rsid w:val="009F238B"/>
    <w:rsid w:val="009F28DA"/>
    <w:rsid w:val="009F4DF1"/>
    <w:rsid w:val="009F5826"/>
    <w:rsid w:val="00A02A84"/>
    <w:rsid w:val="00A033DD"/>
    <w:rsid w:val="00A100AB"/>
    <w:rsid w:val="00A10F0E"/>
    <w:rsid w:val="00A11976"/>
    <w:rsid w:val="00A159F8"/>
    <w:rsid w:val="00A22B35"/>
    <w:rsid w:val="00A271E5"/>
    <w:rsid w:val="00A37994"/>
    <w:rsid w:val="00A448BA"/>
    <w:rsid w:val="00A55FB7"/>
    <w:rsid w:val="00A633AD"/>
    <w:rsid w:val="00A65E1C"/>
    <w:rsid w:val="00A72344"/>
    <w:rsid w:val="00A77BCC"/>
    <w:rsid w:val="00A82E5C"/>
    <w:rsid w:val="00A93191"/>
    <w:rsid w:val="00AB2749"/>
    <w:rsid w:val="00AB3A36"/>
    <w:rsid w:val="00AC47CB"/>
    <w:rsid w:val="00AD139B"/>
    <w:rsid w:val="00AD2031"/>
    <w:rsid w:val="00AD46F5"/>
    <w:rsid w:val="00AD759D"/>
    <w:rsid w:val="00AD7800"/>
    <w:rsid w:val="00AE267C"/>
    <w:rsid w:val="00AE292F"/>
    <w:rsid w:val="00AE6558"/>
    <w:rsid w:val="00AF0766"/>
    <w:rsid w:val="00B01EDD"/>
    <w:rsid w:val="00B023B7"/>
    <w:rsid w:val="00B0473B"/>
    <w:rsid w:val="00B074B7"/>
    <w:rsid w:val="00B0752F"/>
    <w:rsid w:val="00B12101"/>
    <w:rsid w:val="00B12FDF"/>
    <w:rsid w:val="00B131EC"/>
    <w:rsid w:val="00B14BDD"/>
    <w:rsid w:val="00B222DB"/>
    <w:rsid w:val="00B2259B"/>
    <w:rsid w:val="00B27D4E"/>
    <w:rsid w:val="00B33763"/>
    <w:rsid w:val="00B4553A"/>
    <w:rsid w:val="00B45CB8"/>
    <w:rsid w:val="00B47B1A"/>
    <w:rsid w:val="00B53CE8"/>
    <w:rsid w:val="00B608F2"/>
    <w:rsid w:val="00B63A67"/>
    <w:rsid w:val="00B653B0"/>
    <w:rsid w:val="00B66213"/>
    <w:rsid w:val="00B67230"/>
    <w:rsid w:val="00B67672"/>
    <w:rsid w:val="00B678E9"/>
    <w:rsid w:val="00B729A7"/>
    <w:rsid w:val="00B73C8D"/>
    <w:rsid w:val="00B822CF"/>
    <w:rsid w:val="00B860F3"/>
    <w:rsid w:val="00B918C1"/>
    <w:rsid w:val="00BA0C4A"/>
    <w:rsid w:val="00BA3E57"/>
    <w:rsid w:val="00BA5313"/>
    <w:rsid w:val="00BB6D62"/>
    <w:rsid w:val="00BC14F4"/>
    <w:rsid w:val="00BC2221"/>
    <w:rsid w:val="00BD2A2D"/>
    <w:rsid w:val="00BD645B"/>
    <w:rsid w:val="00BD6608"/>
    <w:rsid w:val="00BD7B75"/>
    <w:rsid w:val="00BE1E15"/>
    <w:rsid w:val="00BE59F5"/>
    <w:rsid w:val="00BE79A3"/>
    <w:rsid w:val="00BF2522"/>
    <w:rsid w:val="00BF3B79"/>
    <w:rsid w:val="00BF4197"/>
    <w:rsid w:val="00BF4509"/>
    <w:rsid w:val="00BF60E6"/>
    <w:rsid w:val="00C00681"/>
    <w:rsid w:val="00C04297"/>
    <w:rsid w:val="00C05F28"/>
    <w:rsid w:val="00C12A95"/>
    <w:rsid w:val="00C12D20"/>
    <w:rsid w:val="00C130B2"/>
    <w:rsid w:val="00C15382"/>
    <w:rsid w:val="00C25859"/>
    <w:rsid w:val="00C2692D"/>
    <w:rsid w:val="00C27500"/>
    <w:rsid w:val="00C34DC7"/>
    <w:rsid w:val="00C35B6E"/>
    <w:rsid w:val="00C36129"/>
    <w:rsid w:val="00C37E7A"/>
    <w:rsid w:val="00C46638"/>
    <w:rsid w:val="00C551EE"/>
    <w:rsid w:val="00C55C97"/>
    <w:rsid w:val="00C56552"/>
    <w:rsid w:val="00C57B8B"/>
    <w:rsid w:val="00C61F58"/>
    <w:rsid w:val="00C64DB5"/>
    <w:rsid w:val="00C668F6"/>
    <w:rsid w:val="00C66CC9"/>
    <w:rsid w:val="00C7511D"/>
    <w:rsid w:val="00C776E2"/>
    <w:rsid w:val="00C82871"/>
    <w:rsid w:val="00C961E1"/>
    <w:rsid w:val="00C962C8"/>
    <w:rsid w:val="00C96EF2"/>
    <w:rsid w:val="00CA13B3"/>
    <w:rsid w:val="00CA25EC"/>
    <w:rsid w:val="00CA273C"/>
    <w:rsid w:val="00CA6D59"/>
    <w:rsid w:val="00CB11F9"/>
    <w:rsid w:val="00CB4C02"/>
    <w:rsid w:val="00CC302D"/>
    <w:rsid w:val="00CD649F"/>
    <w:rsid w:val="00CE22C3"/>
    <w:rsid w:val="00CE7BC8"/>
    <w:rsid w:val="00CF0742"/>
    <w:rsid w:val="00CF093C"/>
    <w:rsid w:val="00CF4358"/>
    <w:rsid w:val="00CF4529"/>
    <w:rsid w:val="00CF5B0F"/>
    <w:rsid w:val="00CF796C"/>
    <w:rsid w:val="00D04E28"/>
    <w:rsid w:val="00D05A76"/>
    <w:rsid w:val="00D12221"/>
    <w:rsid w:val="00D207FC"/>
    <w:rsid w:val="00D22DEB"/>
    <w:rsid w:val="00D2304A"/>
    <w:rsid w:val="00D25E39"/>
    <w:rsid w:val="00D51417"/>
    <w:rsid w:val="00D51F3B"/>
    <w:rsid w:val="00D5210C"/>
    <w:rsid w:val="00D54606"/>
    <w:rsid w:val="00D62C19"/>
    <w:rsid w:val="00D661EE"/>
    <w:rsid w:val="00D77477"/>
    <w:rsid w:val="00D77755"/>
    <w:rsid w:val="00D8551F"/>
    <w:rsid w:val="00D87FD8"/>
    <w:rsid w:val="00D9022E"/>
    <w:rsid w:val="00D9068B"/>
    <w:rsid w:val="00D95532"/>
    <w:rsid w:val="00DA0E01"/>
    <w:rsid w:val="00DA4AFF"/>
    <w:rsid w:val="00DA7DB8"/>
    <w:rsid w:val="00DB582D"/>
    <w:rsid w:val="00DB74E2"/>
    <w:rsid w:val="00DC01B6"/>
    <w:rsid w:val="00DC2EAA"/>
    <w:rsid w:val="00DC7F55"/>
    <w:rsid w:val="00DD08AD"/>
    <w:rsid w:val="00DD2D59"/>
    <w:rsid w:val="00DD323A"/>
    <w:rsid w:val="00DD53D6"/>
    <w:rsid w:val="00DE0AE5"/>
    <w:rsid w:val="00DE1CB4"/>
    <w:rsid w:val="00DE2200"/>
    <w:rsid w:val="00DE3542"/>
    <w:rsid w:val="00DE6876"/>
    <w:rsid w:val="00DE7CCE"/>
    <w:rsid w:val="00DF0B88"/>
    <w:rsid w:val="00DF575F"/>
    <w:rsid w:val="00E06D39"/>
    <w:rsid w:val="00E12B31"/>
    <w:rsid w:val="00E22F93"/>
    <w:rsid w:val="00E31716"/>
    <w:rsid w:val="00E32C28"/>
    <w:rsid w:val="00E42872"/>
    <w:rsid w:val="00E445A2"/>
    <w:rsid w:val="00E45C53"/>
    <w:rsid w:val="00E47543"/>
    <w:rsid w:val="00E477E3"/>
    <w:rsid w:val="00E56494"/>
    <w:rsid w:val="00E61415"/>
    <w:rsid w:val="00E61D2A"/>
    <w:rsid w:val="00E62A55"/>
    <w:rsid w:val="00E6588D"/>
    <w:rsid w:val="00E74690"/>
    <w:rsid w:val="00E7589E"/>
    <w:rsid w:val="00E778F6"/>
    <w:rsid w:val="00E77926"/>
    <w:rsid w:val="00E77AB2"/>
    <w:rsid w:val="00E86955"/>
    <w:rsid w:val="00E92E62"/>
    <w:rsid w:val="00E941FC"/>
    <w:rsid w:val="00E94637"/>
    <w:rsid w:val="00E94D62"/>
    <w:rsid w:val="00E95362"/>
    <w:rsid w:val="00E96B9D"/>
    <w:rsid w:val="00E97337"/>
    <w:rsid w:val="00E97613"/>
    <w:rsid w:val="00EA5496"/>
    <w:rsid w:val="00EB0D22"/>
    <w:rsid w:val="00EB1E8C"/>
    <w:rsid w:val="00EC7313"/>
    <w:rsid w:val="00ED10C9"/>
    <w:rsid w:val="00ED5887"/>
    <w:rsid w:val="00ED6D91"/>
    <w:rsid w:val="00ED7780"/>
    <w:rsid w:val="00EE2266"/>
    <w:rsid w:val="00EF29EF"/>
    <w:rsid w:val="00EF7C31"/>
    <w:rsid w:val="00F023D4"/>
    <w:rsid w:val="00F04F20"/>
    <w:rsid w:val="00F06934"/>
    <w:rsid w:val="00F070E9"/>
    <w:rsid w:val="00F14C1E"/>
    <w:rsid w:val="00F27731"/>
    <w:rsid w:val="00F31327"/>
    <w:rsid w:val="00F31DB2"/>
    <w:rsid w:val="00F405CE"/>
    <w:rsid w:val="00F411B3"/>
    <w:rsid w:val="00F42A0A"/>
    <w:rsid w:val="00F430FB"/>
    <w:rsid w:val="00F61741"/>
    <w:rsid w:val="00F64C74"/>
    <w:rsid w:val="00F6595B"/>
    <w:rsid w:val="00F664B9"/>
    <w:rsid w:val="00F710B5"/>
    <w:rsid w:val="00F71F40"/>
    <w:rsid w:val="00F736AC"/>
    <w:rsid w:val="00F75490"/>
    <w:rsid w:val="00F76982"/>
    <w:rsid w:val="00F82107"/>
    <w:rsid w:val="00F82BF9"/>
    <w:rsid w:val="00F85BCB"/>
    <w:rsid w:val="00F93023"/>
    <w:rsid w:val="00F97CAC"/>
    <w:rsid w:val="00FA1F43"/>
    <w:rsid w:val="00FA268D"/>
    <w:rsid w:val="00FB1D0B"/>
    <w:rsid w:val="00FB3CF7"/>
    <w:rsid w:val="00FB402A"/>
    <w:rsid w:val="00FB5C68"/>
    <w:rsid w:val="00FC58BC"/>
    <w:rsid w:val="00FC7D2C"/>
    <w:rsid w:val="00FD6AD5"/>
    <w:rsid w:val="00FD782B"/>
    <w:rsid w:val="00FE1B2D"/>
    <w:rsid w:val="00FE28F0"/>
    <w:rsid w:val="00FE35F7"/>
    <w:rsid w:val="00FE369D"/>
    <w:rsid w:val="00FE3BDE"/>
    <w:rsid w:val="00FF71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A81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01B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01B6"/>
  </w:style>
  <w:style w:type="paragraph" w:styleId="Footer">
    <w:name w:val="footer"/>
    <w:basedOn w:val="Normal"/>
    <w:link w:val="FooterChar"/>
    <w:uiPriority w:val="99"/>
    <w:unhideWhenUsed/>
    <w:rsid w:val="00DC0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1B6"/>
  </w:style>
  <w:style w:type="paragraph" w:styleId="FootnoteText">
    <w:name w:val="footnote text"/>
    <w:basedOn w:val="Normal"/>
    <w:link w:val="FootnoteTextChar"/>
    <w:uiPriority w:val="99"/>
    <w:unhideWhenUsed/>
    <w:rsid w:val="00F64C74"/>
    <w:pPr>
      <w:spacing w:after="0" w:line="240" w:lineRule="auto"/>
    </w:pPr>
    <w:rPr>
      <w:sz w:val="20"/>
      <w:szCs w:val="20"/>
    </w:rPr>
  </w:style>
  <w:style w:type="character" w:customStyle="1" w:styleId="FootnoteTextChar">
    <w:name w:val="Footnote Text Char"/>
    <w:basedOn w:val="DefaultParagraphFont"/>
    <w:link w:val="FootnoteText"/>
    <w:uiPriority w:val="99"/>
    <w:rsid w:val="00F64C74"/>
    <w:rPr>
      <w:sz w:val="20"/>
      <w:szCs w:val="20"/>
    </w:rPr>
  </w:style>
  <w:style w:type="character" w:styleId="FootnoteReference">
    <w:name w:val="footnote reference"/>
    <w:basedOn w:val="DefaultParagraphFont"/>
    <w:uiPriority w:val="99"/>
    <w:unhideWhenUsed/>
    <w:rsid w:val="00F64C74"/>
    <w:rPr>
      <w:vertAlign w:val="superscript"/>
    </w:rPr>
  </w:style>
  <w:style w:type="paragraph" w:styleId="ListParagraph">
    <w:name w:val="List Paragraph"/>
    <w:basedOn w:val="Normal"/>
    <w:uiPriority w:val="34"/>
    <w:qFormat/>
    <w:rsid w:val="00622403"/>
    <w:pPr>
      <w:ind w:left="720"/>
      <w:contextualSpacing/>
    </w:pPr>
  </w:style>
  <w:style w:type="table" w:styleId="TableGrid">
    <w:name w:val="Table Grid"/>
    <w:basedOn w:val="TableNormal"/>
    <w:uiPriority w:val="59"/>
    <w:rsid w:val="00735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C7760"/>
    <w:rPr>
      <w:sz w:val="18"/>
      <w:szCs w:val="18"/>
    </w:rPr>
  </w:style>
  <w:style w:type="paragraph" w:styleId="CommentText">
    <w:name w:val="annotation text"/>
    <w:basedOn w:val="Normal"/>
    <w:link w:val="CommentTextChar"/>
    <w:uiPriority w:val="99"/>
    <w:semiHidden/>
    <w:unhideWhenUsed/>
    <w:rsid w:val="005C7760"/>
    <w:pPr>
      <w:spacing w:line="240" w:lineRule="auto"/>
    </w:pPr>
    <w:rPr>
      <w:sz w:val="24"/>
      <w:szCs w:val="24"/>
    </w:rPr>
  </w:style>
  <w:style w:type="character" w:customStyle="1" w:styleId="CommentTextChar">
    <w:name w:val="Comment Text Char"/>
    <w:basedOn w:val="DefaultParagraphFont"/>
    <w:link w:val="CommentText"/>
    <w:uiPriority w:val="99"/>
    <w:semiHidden/>
    <w:rsid w:val="005C7760"/>
    <w:rPr>
      <w:sz w:val="24"/>
      <w:szCs w:val="24"/>
    </w:rPr>
  </w:style>
  <w:style w:type="paragraph" w:styleId="CommentSubject">
    <w:name w:val="annotation subject"/>
    <w:basedOn w:val="CommentText"/>
    <w:next w:val="CommentText"/>
    <w:link w:val="CommentSubjectChar"/>
    <w:uiPriority w:val="99"/>
    <w:semiHidden/>
    <w:unhideWhenUsed/>
    <w:rsid w:val="005C7760"/>
    <w:rPr>
      <w:b/>
      <w:bCs/>
      <w:sz w:val="20"/>
      <w:szCs w:val="20"/>
    </w:rPr>
  </w:style>
  <w:style w:type="character" w:customStyle="1" w:styleId="CommentSubjectChar">
    <w:name w:val="Comment Subject Char"/>
    <w:basedOn w:val="CommentTextChar"/>
    <w:link w:val="CommentSubject"/>
    <w:uiPriority w:val="99"/>
    <w:semiHidden/>
    <w:rsid w:val="005C7760"/>
    <w:rPr>
      <w:b/>
      <w:bCs/>
      <w:sz w:val="20"/>
      <w:szCs w:val="20"/>
    </w:rPr>
  </w:style>
  <w:style w:type="paragraph" w:styleId="BalloonText">
    <w:name w:val="Balloon Text"/>
    <w:basedOn w:val="Normal"/>
    <w:link w:val="BalloonTextChar"/>
    <w:uiPriority w:val="99"/>
    <w:semiHidden/>
    <w:unhideWhenUsed/>
    <w:rsid w:val="005C776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7760"/>
    <w:rPr>
      <w:rFonts w:ascii="Lucida Grande" w:hAnsi="Lucida Grande" w:cs="Lucida Grande"/>
      <w:sz w:val="18"/>
      <w:szCs w:val="18"/>
    </w:rPr>
  </w:style>
  <w:style w:type="paragraph" w:styleId="NormalWeb">
    <w:name w:val="Normal (Web)"/>
    <w:basedOn w:val="Normal"/>
    <w:uiPriority w:val="99"/>
    <w:semiHidden/>
    <w:unhideWhenUsed/>
    <w:rsid w:val="001E2105"/>
    <w:rPr>
      <w:rFonts w:ascii="Times New Roman" w:hAnsi="Times New Roman" w:cs="Times New Roman"/>
      <w:sz w:val="24"/>
      <w:szCs w:val="24"/>
    </w:rPr>
  </w:style>
  <w:style w:type="character" w:styleId="Hyperlink">
    <w:name w:val="Hyperlink"/>
    <w:basedOn w:val="DefaultParagraphFont"/>
    <w:uiPriority w:val="99"/>
    <w:unhideWhenUsed/>
    <w:rsid w:val="00677446"/>
    <w:rPr>
      <w:color w:val="0000FF" w:themeColor="hyperlink"/>
      <w:u w:val="single"/>
    </w:rPr>
  </w:style>
  <w:style w:type="character" w:styleId="FollowedHyperlink">
    <w:name w:val="FollowedHyperlink"/>
    <w:basedOn w:val="DefaultParagraphFont"/>
    <w:uiPriority w:val="99"/>
    <w:semiHidden/>
    <w:unhideWhenUsed/>
    <w:rsid w:val="0067744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01B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01B6"/>
  </w:style>
  <w:style w:type="paragraph" w:styleId="Footer">
    <w:name w:val="footer"/>
    <w:basedOn w:val="Normal"/>
    <w:link w:val="FooterChar"/>
    <w:uiPriority w:val="99"/>
    <w:unhideWhenUsed/>
    <w:rsid w:val="00DC0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1B6"/>
  </w:style>
  <w:style w:type="paragraph" w:styleId="FootnoteText">
    <w:name w:val="footnote text"/>
    <w:basedOn w:val="Normal"/>
    <w:link w:val="FootnoteTextChar"/>
    <w:uiPriority w:val="99"/>
    <w:unhideWhenUsed/>
    <w:rsid w:val="00F64C74"/>
    <w:pPr>
      <w:spacing w:after="0" w:line="240" w:lineRule="auto"/>
    </w:pPr>
    <w:rPr>
      <w:sz w:val="20"/>
      <w:szCs w:val="20"/>
    </w:rPr>
  </w:style>
  <w:style w:type="character" w:customStyle="1" w:styleId="FootnoteTextChar">
    <w:name w:val="Footnote Text Char"/>
    <w:basedOn w:val="DefaultParagraphFont"/>
    <w:link w:val="FootnoteText"/>
    <w:uiPriority w:val="99"/>
    <w:rsid w:val="00F64C74"/>
    <w:rPr>
      <w:sz w:val="20"/>
      <w:szCs w:val="20"/>
    </w:rPr>
  </w:style>
  <w:style w:type="character" w:styleId="FootnoteReference">
    <w:name w:val="footnote reference"/>
    <w:basedOn w:val="DefaultParagraphFont"/>
    <w:uiPriority w:val="99"/>
    <w:unhideWhenUsed/>
    <w:rsid w:val="00F64C74"/>
    <w:rPr>
      <w:vertAlign w:val="superscript"/>
    </w:rPr>
  </w:style>
  <w:style w:type="paragraph" w:styleId="ListParagraph">
    <w:name w:val="List Paragraph"/>
    <w:basedOn w:val="Normal"/>
    <w:uiPriority w:val="34"/>
    <w:qFormat/>
    <w:rsid w:val="00622403"/>
    <w:pPr>
      <w:ind w:left="720"/>
      <w:contextualSpacing/>
    </w:pPr>
  </w:style>
  <w:style w:type="table" w:styleId="TableGrid">
    <w:name w:val="Table Grid"/>
    <w:basedOn w:val="TableNormal"/>
    <w:uiPriority w:val="59"/>
    <w:rsid w:val="00735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C7760"/>
    <w:rPr>
      <w:sz w:val="18"/>
      <w:szCs w:val="18"/>
    </w:rPr>
  </w:style>
  <w:style w:type="paragraph" w:styleId="CommentText">
    <w:name w:val="annotation text"/>
    <w:basedOn w:val="Normal"/>
    <w:link w:val="CommentTextChar"/>
    <w:uiPriority w:val="99"/>
    <w:semiHidden/>
    <w:unhideWhenUsed/>
    <w:rsid w:val="005C7760"/>
    <w:pPr>
      <w:spacing w:line="240" w:lineRule="auto"/>
    </w:pPr>
    <w:rPr>
      <w:sz w:val="24"/>
      <w:szCs w:val="24"/>
    </w:rPr>
  </w:style>
  <w:style w:type="character" w:customStyle="1" w:styleId="CommentTextChar">
    <w:name w:val="Comment Text Char"/>
    <w:basedOn w:val="DefaultParagraphFont"/>
    <w:link w:val="CommentText"/>
    <w:uiPriority w:val="99"/>
    <w:semiHidden/>
    <w:rsid w:val="005C7760"/>
    <w:rPr>
      <w:sz w:val="24"/>
      <w:szCs w:val="24"/>
    </w:rPr>
  </w:style>
  <w:style w:type="paragraph" w:styleId="CommentSubject">
    <w:name w:val="annotation subject"/>
    <w:basedOn w:val="CommentText"/>
    <w:next w:val="CommentText"/>
    <w:link w:val="CommentSubjectChar"/>
    <w:uiPriority w:val="99"/>
    <w:semiHidden/>
    <w:unhideWhenUsed/>
    <w:rsid w:val="005C7760"/>
    <w:rPr>
      <w:b/>
      <w:bCs/>
      <w:sz w:val="20"/>
      <w:szCs w:val="20"/>
    </w:rPr>
  </w:style>
  <w:style w:type="character" w:customStyle="1" w:styleId="CommentSubjectChar">
    <w:name w:val="Comment Subject Char"/>
    <w:basedOn w:val="CommentTextChar"/>
    <w:link w:val="CommentSubject"/>
    <w:uiPriority w:val="99"/>
    <w:semiHidden/>
    <w:rsid w:val="005C7760"/>
    <w:rPr>
      <w:b/>
      <w:bCs/>
      <w:sz w:val="20"/>
      <w:szCs w:val="20"/>
    </w:rPr>
  </w:style>
  <w:style w:type="paragraph" w:styleId="BalloonText">
    <w:name w:val="Balloon Text"/>
    <w:basedOn w:val="Normal"/>
    <w:link w:val="BalloonTextChar"/>
    <w:uiPriority w:val="99"/>
    <w:semiHidden/>
    <w:unhideWhenUsed/>
    <w:rsid w:val="005C776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7760"/>
    <w:rPr>
      <w:rFonts w:ascii="Lucida Grande" w:hAnsi="Lucida Grande" w:cs="Lucida Grande"/>
      <w:sz w:val="18"/>
      <w:szCs w:val="18"/>
    </w:rPr>
  </w:style>
  <w:style w:type="paragraph" w:styleId="NormalWeb">
    <w:name w:val="Normal (Web)"/>
    <w:basedOn w:val="Normal"/>
    <w:uiPriority w:val="99"/>
    <w:semiHidden/>
    <w:unhideWhenUsed/>
    <w:rsid w:val="001E2105"/>
    <w:rPr>
      <w:rFonts w:ascii="Times New Roman" w:hAnsi="Times New Roman" w:cs="Times New Roman"/>
      <w:sz w:val="24"/>
      <w:szCs w:val="24"/>
    </w:rPr>
  </w:style>
  <w:style w:type="character" w:styleId="Hyperlink">
    <w:name w:val="Hyperlink"/>
    <w:basedOn w:val="DefaultParagraphFont"/>
    <w:uiPriority w:val="99"/>
    <w:unhideWhenUsed/>
    <w:rsid w:val="00677446"/>
    <w:rPr>
      <w:color w:val="0000FF" w:themeColor="hyperlink"/>
      <w:u w:val="single"/>
    </w:rPr>
  </w:style>
  <w:style w:type="character" w:styleId="FollowedHyperlink">
    <w:name w:val="FollowedHyperlink"/>
    <w:basedOn w:val="DefaultParagraphFont"/>
    <w:uiPriority w:val="99"/>
    <w:semiHidden/>
    <w:unhideWhenUsed/>
    <w:rsid w:val="006774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5652">
      <w:bodyDiv w:val="1"/>
      <w:marLeft w:val="0"/>
      <w:marRight w:val="0"/>
      <w:marTop w:val="0"/>
      <w:marBottom w:val="0"/>
      <w:divBdr>
        <w:top w:val="none" w:sz="0" w:space="0" w:color="auto"/>
        <w:left w:val="none" w:sz="0" w:space="0" w:color="auto"/>
        <w:bottom w:val="none" w:sz="0" w:space="0" w:color="auto"/>
        <w:right w:val="none" w:sz="0" w:space="0" w:color="auto"/>
      </w:divBdr>
      <w:divsChild>
        <w:div w:id="245921330">
          <w:marLeft w:val="0"/>
          <w:marRight w:val="0"/>
          <w:marTop w:val="0"/>
          <w:marBottom w:val="0"/>
          <w:divBdr>
            <w:top w:val="none" w:sz="0" w:space="0" w:color="auto"/>
            <w:left w:val="none" w:sz="0" w:space="0" w:color="auto"/>
            <w:bottom w:val="none" w:sz="0" w:space="0" w:color="auto"/>
            <w:right w:val="none" w:sz="0" w:space="0" w:color="auto"/>
          </w:divBdr>
          <w:divsChild>
            <w:div w:id="1467746151">
              <w:marLeft w:val="0"/>
              <w:marRight w:val="0"/>
              <w:marTop w:val="0"/>
              <w:marBottom w:val="0"/>
              <w:divBdr>
                <w:top w:val="none" w:sz="0" w:space="0" w:color="auto"/>
                <w:left w:val="none" w:sz="0" w:space="0" w:color="auto"/>
                <w:bottom w:val="none" w:sz="0" w:space="0" w:color="auto"/>
                <w:right w:val="none" w:sz="0" w:space="0" w:color="auto"/>
              </w:divBdr>
              <w:divsChild>
                <w:div w:id="1968662010">
                  <w:marLeft w:val="0"/>
                  <w:marRight w:val="0"/>
                  <w:marTop w:val="0"/>
                  <w:marBottom w:val="0"/>
                  <w:divBdr>
                    <w:top w:val="none" w:sz="0" w:space="0" w:color="auto"/>
                    <w:left w:val="none" w:sz="0" w:space="0" w:color="auto"/>
                    <w:bottom w:val="none" w:sz="0" w:space="0" w:color="auto"/>
                    <w:right w:val="none" w:sz="0" w:space="0" w:color="auto"/>
                  </w:divBdr>
                  <w:divsChild>
                    <w:div w:id="21328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704410">
      <w:bodyDiv w:val="1"/>
      <w:marLeft w:val="0"/>
      <w:marRight w:val="0"/>
      <w:marTop w:val="0"/>
      <w:marBottom w:val="0"/>
      <w:divBdr>
        <w:top w:val="none" w:sz="0" w:space="0" w:color="auto"/>
        <w:left w:val="none" w:sz="0" w:space="0" w:color="auto"/>
        <w:bottom w:val="none" w:sz="0" w:space="0" w:color="auto"/>
        <w:right w:val="none" w:sz="0" w:space="0" w:color="auto"/>
      </w:divBdr>
      <w:divsChild>
        <w:div w:id="1565801610">
          <w:marLeft w:val="0"/>
          <w:marRight w:val="0"/>
          <w:marTop w:val="0"/>
          <w:marBottom w:val="0"/>
          <w:divBdr>
            <w:top w:val="none" w:sz="0" w:space="0" w:color="auto"/>
            <w:left w:val="none" w:sz="0" w:space="0" w:color="auto"/>
            <w:bottom w:val="none" w:sz="0" w:space="0" w:color="auto"/>
            <w:right w:val="none" w:sz="0" w:space="0" w:color="auto"/>
          </w:divBdr>
          <w:divsChild>
            <w:div w:id="1860583264">
              <w:marLeft w:val="0"/>
              <w:marRight w:val="0"/>
              <w:marTop w:val="0"/>
              <w:marBottom w:val="0"/>
              <w:divBdr>
                <w:top w:val="none" w:sz="0" w:space="0" w:color="auto"/>
                <w:left w:val="none" w:sz="0" w:space="0" w:color="auto"/>
                <w:bottom w:val="none" w:sz="0" w:space="0" w:color="auto"/>
                <w:right w:val="none" w:sz="0" w:space="0" w:color="auto"/>
              </w:divBdr>
              <w:divsChild>
                <w:div w:id="466898148">
                  <w:marLeft w:val="0"/>
                  <w:marRight w:val="0"/>
                  <w:marTop w:val="0"/>
                  <w:marBottom w:val="0"/>
                  <w:divBdr>
                    <w:top w:val="none" w:sz="0" w:space="0" w:color="auto"/>
                    <w:left w:val="none" w:sz="0" w:space="0" w:color="auto"/>
                    <w:bottom w:val="none" w:sz="0" w:space="0" w:color="auto"/>
                    <w:right w:val="none" w:sz="0" w:space="0" w:color="auto"/>
                  </w:divBdr>
                  <w:divsChild>
                    <w:div w:id="633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72055">
      <w:bodyDiv w:val="1"/>
      <w:marLeft w:val="0"/>
      <w:marRight w:val="0"/>
      <w:marTop w:val="0"/>
      <w:marBottom w:val="0"/>
      <w:divBdr>
        <w:top w:val="none" w:sz="0" w:space="0" w:color="auto"/>
        <w:left w:val="none" w:sz="0" w:space="0" w:color="auto"/>
        <w:bottom w:val="none" w:sz="0" w:space="0" w:color="auto"/>
        <w:right w:val="none" w:sz="0" w:space="0" w:color="auto"/>
      </w:divBdr>
      <w:divsChild>
        <w:div w:id="1357467828">
          <w:marLeft w:val="0"/>
          <w:marRight w:val="0"/>
          <w:marTop w:val="0"/>
          <w:marBottom w:val="0"/>
          <w:divBdr>
            <w:top w:val="none" w:sz="0" w:space="0" w:color="auto"/>
            <w:left w:val="none" w:sz="0" w:space="0" w:color="auto"/>
            <w:bottom w:val="none" w:sz="0" w:space="0" w:color="auto"/>
            <w:right w:val="none" w:sz="0" w:space="0" w:color="auto"/>
          </w:divBdr>
          <w:divsChild>
            <w:div w:id="898517856">
              <w:marLeft w:val="0"/>
              <w:marRight w:val="0"/>
              <w:marTop w:val="0"/>
              <w:marBottom w:val="0"/>
              <w:divBdr>
                <w:top w:val="none" w:sz="0" w:space="0" w:color="auto"/>
                <w:left w:val="none" w:sz="0" w:space="0" w:color="auto"/>
                <w:bottom w:val="none" w:sz="0" w:space="0" w:color="auto"/>
                <w:right w:val="none" w:sz="0" w:space="0" w:color="auto"/>
              </w:divBdr>
              <w:divsChild>
                <w:div w:id="1239094708">
                  <w:marLeft w:val="0"/>
                  <w:marRight w:val="0"/>
                  <w:marTop w:val="0"/>
                  <w:marBottom w:val="0"/>
                  <w:divBdr>
                    <w:top w:val="none" w:sz="0" w:space="0" w:color="auto"/>
                    <w:left w:val="none" w:sz="0" w:space="0" w:color="auto"/>
                    <w:bottom w:val="none" w:sz="0" w:space="0" w:color="auto"/>
                    <w:right w:val="none" w:sz="0" w:space="0" w:color="auto"/>
                  </w:divBdr>
                  <w:divsChild>
                    <w:div w:id="19486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51792">
      <w:bodyDiv w:val="1"/>
      <w:marLeft w:val="0"/>
      <w:marRight w:val="0"/>
      <w:marTop w:val="0"/>
      <w:marBottom w:val="0"/>
      <w:divBdr>
        <w:top w:val="none" w:sz="0" w:space="0" w:color="auto"/>
        <w:left w:val="none" w:sz="0" w:space="0" w:color="auto"/>
        <w:bottom w:val="none" w:sz="0" w:space="0" w:color="auto"/>
        <w:right w:val="none" w:sz="0" w:space="0" w:color="auto"/>
      </w:divBdr>
      <w:divsChild>
        <w:div w:id="266885411">
          <w:marLeft w:val="0"/>
          <w:marRight w:val="0"/>
          <w:marTop w:val="0"/>
          <w:marBottom w:val="0"/>
          <w:divBdr>
            <w:top w:val="none" w:sz="0" w:space="0" w:color="auto"/>
            <w:left w:val="none" w:sz="0" w:space="0" w:color="auto"/>
            <w:bottom w:val="none" w:sz="0" w:space="0" w:color="auto"/>
            <w:right w:val="none" w:sz="0" w:space="0" w:color="auto"/>
          </w:divBdr>
          <w:divsChild>
            <w:div w:id="1982612135">
              <w:marLeft w:val="0"/>
              <w:marRight w:val="0"/>
              <w:marTop w:val="0"/>
              <w:marBottom w:val="0"/>
              <w:divBdr>
                <w:top w:val="none" w:sz="0" w:space="0" w:color="auto"/>
                <w:left w:val="none" w:sz="0" w:space="0" w:color="auto"/>
                <w:bottom w:val="none" w:sz="0" w:space="0" w:color="auto"/>
                <w:right w:val="none" w:sz="0" w:space="0" w:color="auto"/>
              </w:divBdr>
              <w:divsChild>
                <w:div w:id="1996299773">
                  <w:marLeft w:val="0"/>
                  <w:marRight w:val="0"/>
                  <w:marTop w:val="0"/>
                  <w:marBottom w:val="0"/>
                  <w:divBdr>
                    <w:top w:val="none" w:sz="0" w:space="0" w:color="auto"/>
                    <w:left w:val="none" w:sz="0" w:space="0" w:color="auto"/>
                    <w:bottom w:val="none" w:sz="0" w:space="0" w:color="auto"/>
                    <w:right w:val="none" w:sz="0" w:space="0" w:color="auto"/>
                  </w:divBdr>
                  <w:divsChild>
                    <w:div w:id="20256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17489">
      <w:bodyDiv w:val="1"/>
      <w:marLeft w:val="0"/>
      <w:marRight w:val="0"/>
      <w:marTop w:val="0"/>
      <w:marBottom w:val="0"/>
      <w:divBdr>
        <w:top w:val="none" w:sz="0" w:space="0" w:color="auto"/>
        <w:left w:val="none" w:sz="0" w:space="0" w:color="auto"/>
        <w:bottom w:val="none" w:sz="0" w:space="0" w:color="auto"/>
        <w:right w:val="none" w:sz="0" w:space="0" w:color="auto"/>
      </w:divBdr>
      <w:divsChild>
        <w:div w:id="923534425">
          <w:marLeft w:val="0"/>
          <w:marRight w:val="0"/>
          <w:marTop w:val="0"/>
          <w:marBottom w:val="0"/>
          <w:divBdr>
            <w:top w:val="none" w:sz="0" w:space="0" w:color="auto"/>
            <w:left w:val="none" w:sz="0" w:space="0" w:color="auto"/>
            <w:bottom w:val="none" w:sz="0" w:space="0" w:color="auto"/>
            <w:right w:val="none" w:sz="0" w:space="0" w:color="auto"/>
          </w:divBdr>
          <w:divsChild>
            <w:div w:id="961422183">
              <w:marLeft w:val="0"/>
              <w:marRight w:val="0"/>
              <w:marTop w:val="0"/>
              <w:marBottom w:val="0"/>
              <w:divBdr>
                <w:top w:val="none" w:sz="0" w:space="0" w:color="auto"/>
                <w:left w:val="none" w:sz="0" w:space="0" w:color="auto"/>
                <w:bottom w:val="none" w:sz="0" w:space="0" w:color="auto"/>
                <w:right w:val="none" w:sz="0" w:space="0" w:color="auto"/>
              </w:divBdr>
              <w:divsChild>
                <w:div w:id="1805543519">
                  <w:marLeft w:val="0"/>
                  <w:marRight w:val="0"/>
                  <w:marTop w:val="0"/>
                  <w:marBottom w:val="0"/>
                  <w:divBdr>
                    <w:top w:val="none" w:sz="0" w:space="0" w:color="auto"/>
                    <w:left w:val="none" w:sz="0" w:space="0" w:color="auto"/>
                    <w:bottom w:val="none" w:sz="0" w:space="0" w:color="auto"/>
                    <w:right w:val="none" w:sz="0" w:space="0" w:color="auto"/>
                  </w:divBdr>
                  <w:divsChild>
                    <w:div w:id="9547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3276">
      <w:bodyDiv w:val="1"/>
      <w:marLeft w:val="0"/>
      <w:marRight w:val="0"/>
      <w:marTop w:val="0"/>
      <w:marBottom w:val="0"/>
      <w:divBdr>
        <w:top w:val="none" w:sz="0" w:space="0" w:color="auto"/>
        <w:left w:val="none" w:sz="0" w:space="0" w:color="auto"/>
        <w:bottom w:val="none" w:sz="0" w:space="0" w:color="auto"/>
        <w:right w:val="none" w:sz="0" w:space="0" w:color="auto"/>
      </w:divBdr>
      <w:divsChild>
        <w:div w:id="801315724">
          <w:marLeft w:val="0"/>
          <w:marRight w:val="0"/>
          <w:marTop w:val="0"/>
          <w:marBottom w:val="0"/>
          <w:divBdr>
            <w:top w:val="none" w:sz="0" w:space="0" w:color="auto"/>
            <w:left w:val="none" w:sz="0" w:space="0" w:color="auto"/>
            <w:bottom w:val="none" w:sz="0" w:space="0" w:color="auto"/>
            <w:right w:val="none" w:sz="0" w:space="0" w:color="auto"/>
          </w:divBdr>
          <w:divsChild>
            <w:div w:id="1580826094">
              <w:marLeft w:val="0"/>
              <w:marRight w:val="0"/>
              <w:marTop w:val="0"/>
              <w:marBottom w:val="0"/>
              <w:divBdr>
                <w:top w:val="none" w:sz="0" w:space="0" w:color="auto"/>
                <w:left w:val="none" w:sz="0" w:space="0" w:color="auto"/>
                <w:bottom w:val="none" w:sz="0" w:space="0" w:color="auto"/>
                <w:right w:val="none" w:sz="0" w:space="0" w:color="auto"/>
              </w:divBdr>
              <w:divsChild>
                <w:div w:id="1051154857">
                  <w:marLeft w:val="0"/>
                  <w:marRight w:val="0"/>
                  <w:marTop w:val="0"/>
                  <w:marBottom w:val="0"/>
                  <w:divBdr>
                    <w:top w:val="none" w:sz="0" w:space="0" w:color="auto"/>
                    <w:left w:val="none" w:sz="0" w:space="0" w:color="auto"/>
                    <w:bottom w:val="none" w:sz="0" w:space="0" w:color="auto"/>
                    <w:right w:val="none" w:sz="0" w:space="0" w:color="auto"/>
                  </w:divBdr>
                  <w:divsChild>
                    <w:div w:id="15218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0AF19-0D78-CC42-A478-E01C61CA2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8256</Words>
  <Characters>42770</Characters>
  <Application>Microsoft Macintosh Word</Application>
  <DocSecurity>0</DocSecurity>
  <Lines>611</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Fiona Woollard</cp:lastModifiedBy>
  <cp:revision>11</cp:revision>
  <dcterms:created xsi:type="dcterms:W3CDTF">2016-09-02T08:44:00Z</dcterms:created>
  <dcterms:modified xsi:type="dcterms:W3CDTF">2016-09-02T08:58:00Z</dcterms:modified>
</cp:coreProperties>
</file>